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8f428a78ab8b7d5bc0b830daa8e36a2ec2edb4"/>
    <w:p>
      <w:pPr>
        <w:pStyle w:val="Heading1"/>
      </w:pPr>
      <w:r>
        <w:t xml:space="preserve">KCOR: Mortality-Neutralized Cohort Comparison Under Selection-Induced Hazard Curvature</w:t>
      </w:r>
    </w:p>
    <w:bookmarkStart w:id="20" w:name="abstract"/>
    <w:p>
      <w:pPr>
        <w:pStyle w:val="Heading2"/>
      </w:pPr>
      <w:r>
        <w:t xml:space="preserve">Abstract</w:t>
      </w:r>
    </w:p>
    <w:p>
      <w:pPr>
        <w:pStyle w:val="FirstParagraph"/>
      </w:pPr>
      <w:r>
        <w:t xml:space="preserve">Retrospective observational studies are frequently used to assess the mortality impact of medical interventions, yet such analyses are often invalidated by selection bias and non-exchangeable cohorts. In particular, intervention uptake commonly induces systematic differences in mortality curvature—differences in the shape of log-hazard trajectories over time—that violate the assumptions of standard epidemiologic methods such as Cox proportional hazards models, age-standardized mortality rates, and inverse-probability weighting. We introduce</w:t>
      </w:r>
      <w:r>
        <w:t xml:space="preserve"> </w:t>
      </w:r>
      <w:r>
        <w:rPr>
          <w:bCs/>
          <w:b/>
        </w:rPr>
        <w:t xml:space="preserve">KCOR (Kirsch Cumulative Outcomes Ratio)</w:t>
      </w:r>
      <w:r>
        <w:t xml:space="preserve">, a method that neutralizes cohort-specific mortality curvature prior to comparison by explicitly modeling and removing intrinsic hazard dynamics. KCOR is grounded in Gompertz mortality with frailty and employs a generalized relaxation model to accommodate selection-induced depletion of susceptibles. We describe the KCOR framework, its mathematical foundation, and its validation using negative and positive control tests. KCOR enables valid mortality comparisons in settings where traditional retrospective methods fail.</w:t>
      </w:r>
    </w:p>
    <w:bookmarkEnd w:id="20"/>
    <w:bookmarkStart w:id="24" w:name="introduction"/>
    <w:p>
      <w:pPr>
        <w:pStyle w:val="Heading2"/>
      </w:pPr>
      <w:r>
        <w:t xml:space="preserve">1. Introduction</w:t>
      </w:r>
    </w:p>
    <w:bookmarkStart w:id="21" w:name="X4a9674f5dc5004b796d0566b49497e6e93c27c6"/>
    <w:p>
      <w:pPr>
        <w:pStyle w:val="Heading3"/>
      </w:pPr>
      <w:r>
        <w:t xml:space="preserve">1.1 Retrospective evaluation of intervention mortality</w:t>
      </w:r>
    </w:p>
    <w:p>
      <w:pPr>
        <w:pStyle w:val="FirstParagraph"/>
      </w:pPr>
      <w:r>
        <w:t xml:space="preserve">Randomized controlled trials (RCTs) are the gold standard for causal inference but are typically underpowered to detect rare outcomes such as all-cause mortality. Consequently, retrospective observational analyses are widely used to evaluate mortality effects of medical interventions.</w:t>
      </w:r>
    </w:p>
    <w:bookmarkEnd w:id="21"/>
    <w:bookmarkStart w:id="22" w:name="X72efd7ceb997cf53ac580a517490497bab3312b"/>
    <w:p>
      <w:pPr>
        <w:pStyle w:val="Heading3"/>
      </w:pPr>
      <w:r>
        <w:t xml:space="preserve">1.2 Failure of exchangeability under selection</w:t>
      </w:r>
    </w:p>
    <w:p>
      <w:pPr>
        <w:pStyle w:val="FirstParagraph"/>
      </w:pPr>
      <w:r>
        <w:t xml:space="preserve">When intervention uptake is voluntary or prioritized, cohorts are not exchangeable. The Healthy Vaccinee Effect (HVE), both static and dynamic, induces systematic differences in frailty and mortality dynamics that persist even after covariate adjustment.</w:t>
      </w:r>
    </w:p>
    <w:bookmarkEnd w:id="22"/>
    <w:bookmarkStart w:id="23" w:name="contribution-of-this-work"/>
    <w:p>
      <w:pPr>
        <w:pStyle w:val="Heading3"/>
      </w:pPr>
      <w:r>
        <w:t xml:space="preserve">1.3 Contribution of this work</w:t>
      </w:r>
    </w:p>
    <w:p>
      <w:pPr>
        <w:pStyle w:val="FirstParagraph"/>
      </w:pPr>
      <w:r>
        <w:t xml:space="preserve">This paper introduces KCOR, a method that explicitly removes cohort-specific mortality curvature prior to comparison, enabling valid inference from retrospective data where standard methods fail.</w:t>
      </w:r>
    </w:p>
    <w:bookmarkEnd w:id="23"/>
    <w:bookmarkEnd w:id="24"/>
    <w:bookmarkStart w:id="45" w:name="methods"/>
    <w:p>
      <w:pPr>
        <w:pStyle w:val="Heading2"/>
      </w:pPr>
      <w:r>
        <w:t xml:space="preserve">2. Methods</w:t>
      </w:r>
    </w:p>
    <w:bookmarkStart w:id="25" w:name="X1608fc4ce79c6f6d12adb9dfd9ff63640943593"/>
    <w:p>
      <w:pPr>
        <w:pStyle w:val="Heading3"/>
      </w:pPr>
      <w:r>
        <w:t xml:space="preserve">2.1 Conceptual framework: mortality level vs curvature</w:t>
      </w:r>
    </w:p>
    <w:p>
      <w:pPr>
        <w:pStyle w:val="FirstParagraph"/>
      </w:pPr>
      <w:r>
        <w:t xml:space="preserve">Differences in mortality between cohorts can arise from level effects (intercepts) or curvature effects (slopes and higher-order shape). Selection primarily induces curvature differences, which must be neutralized before comparison.</w:t>
      </w:r>
    </w:p>
    <w:bookmarkEnd w:id="25"/>
    <w:bookmarkStart w:id="26" w:name="cohort-construction"/>
    <w:p>
      <w:pPr>
        <w:pStyle w:val="Heading3"/>
      </w:pPr>
      <w:r>
        <w:t xml:space="preserve">2.2 Cohort construction</w:t>
      </w:r>
    </w:p>
    <w:p>
      <w:pPr>
        <w:pStyle w:val="FirstParagraph"/>
      </w:pPr>
      <w:r>
        <w:t xml:space="preserve">Cohorts are fixed at enrollment and defined by intervention status at a specified time. No censoring or cohort switching is permitted. Analysis proceeds in event time.</w:t>
      </w:r>
    </w:p>
    <w:p>
      <w:pPr>
        <w:pStyle w:val="BodyText"/>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w:t>
      </w:r>
      <w:r>
        <w:t xml:space="preserve"> </w:t>
      </w:r>
      <w:r>
        <w:t xml:space="preserve">“</w:t>
      </w:r>
      <w:r>
        <w:t xml:space="preserve">as-treated</w:t>
      </w:r>
      <w:r>
        <w:t xml:space="preserve">”</w:t>
      </w:r>
      <w:r>
        <w:t xml:space="preserve"> </w:t>
      </w:r>
      <w:r>
        <w:t xml:space="preserve">formulations are therefore treated as sensitivity analyses rather than primary estimands.</w:t>
      </w:r>
    </w:p>
    <w:bookmarkEnd w:id="26"/>
    <w:bookmarkStart w:id="27" w:name="hazard-estimation"/>
    <w:p>
      <w:pPr>
        <w:pStyle w:val="Heading3"/>
      </w:pPr>
      <w:r>
        <w:t xml:space="preserve">2.3 Hazard estimation</w:t>
      </w:r>
    </w:p>
    <w:p>
      <w:pPr>
        <w:pStyle w:val="FirstParagraph"/>
      </w:pPr>
      <w:r>
        <w:t xml:space="preserve">Let</w:t>
      </w:r>
      <w:r>
        <w:t xml:space="preserve"> </w:t>
      </w:r>
      <m:oMath>
        <m:r>
          <m:t>s</m:t>
        </m:r>
      </m:oMath>
      <w:r>
        <w:t xml:space="preserve"> </w:t>
      </w:r>
      <w:r>
        <w:t xml:space="preserve">denote event time since enrollment,</w:t>
      </w:r>
      <w:r>
        <w:t xml:space="preserve"> </w:t>
      </w:r>
      <m:oMath>
        <m:r>
          <m:t>D</m:t>
        </m:r>
        <m:d>
          <m:dPr>
            <m:begChr m:val="("/>
            <m:endChr m:val=")"/>
            <m:sepChr m:val=""/>
            <m:grow/>
          </m:dPr>
          <m:e>
            <m:r>
              <m:t>s</m:t>
            </m:r>
          </m:e>
        </m:d>
      </m:oMath>
      <w:r>
        <w:t xml:space="preserve"> </w:t>
      </w:r>
      <w:r>
        <w:t xml:space="preserve">deaths during interval</w:t>
      </w:r>
      <w:r>
        <w:t xml:space="preserve"> </w:t>
      </w:r>
      <m:oMath>
        <m:r>
          <m:t>s</m:t>
        </m:r>
      </m:oMath>
      <w:r>
        <w:t xml:space="preserve">, and</w:t>
      </w:r>
      <w:r>
        <w:t xml:space="preserve"> </w:t>
      </w:r>
      <m:oMath>
        <m:r>
          <m:t>N</m:t>
        </m:r>
        <m:d>
          <m:dPr>
            <m:begChr m:val="("/>
            <m:endChr m:val=")"/>
            <m:sepChr m:val=""/>
            <m:grow/>
          </m:dPr>
          <m:e>
            <m:r>
              <m:t>s</m:t>
            </m:r>
          </m:e>
        </m:d>
      </m:oMath>
      <w:r>
        <w:t xml:space="preserve"> </w:t>
      </w:r>
      <w:r>
        <w:t xml:space="preserve">the number at risk at the start of</w:t>
      </w:r>
      <w:r>
        <w:t xml:space="preserve"> </w:t>
      </w:r>
      <m:oMath>
        <m:r>
          <m:t>s</m:t>
        </m:r>
      </m:oMath>
      <w:r>
        <w:t xml:space="preserve">. Hazards are treated as piecewise-constant and computed as</w:t>
      </w:r>
    </w:p>
    <w:p>
      <w:pPr>
        <w:pStyle w:val="BodyText"/>
      </w:pPr>
      <m:oMathPara>
        <m:oMathParaPr>
          <m:jc m:val="center"/>
        </m:oMathParaPr>
        <m:oMath>
          <m:r>
            <m:t>h</m:t>
          </m:r>
          <m:d>
            <m:dPr>
              <m:begChr m:val="("/>
              <m:endChr m:val=")"/>
              <m:sepChr m:val=""/>
              <m:grow/>
            </m:dPr>
            <m:e>
              <m:r>
                <m:t>s</m:t>
              </m:r>
            </m:e>
          </m:d>
          <m:r>
            <m:rPr>
              <m:sty m:val="p"/>
            </m:rPr>
            <m:t>=</m:t>
          </m:r>
          <m:r>
            <m:rPr>
              <m:sty m:val="p"/>
            </m:rPr>
            <m:t>−</m:t>
          </m:r>
          <m:r>
            <m:rPr>
              <m:sty m:val="p"/>
            </m:rPr>
            <m:t>ln</m:t>
          </m:r>
          <m:d>
            <m:dPr>
              <m:begChr m:val="("/>
              <m:endChr m:val=")"/>
              <m:sepChr m:val=""/>
              <m:grow/>
            </m:dPr>
            <m:e>
              <m:r>
                <m:t>1</m:t>
              </m:r>
              <m:r>
                <m:rPr>
                  <m:sty m:val="p"/>
                </m:rPr>
                <m:t>−</m:t>
              </m:r>
              <m:f>
                <m:fPr>
                  <m:type m:val="bar"/>
                </m:fPr>
                <m:num>
                  <m:r>
                    <m:t>D</m:t>
                  </m:r>
                  <m:d>
                    <m:dPr>
                      <m:begChr m:val="("/>
                      <m:endChr m:val=")"/>
                      <m:sepChr m:val=""/>
                      <m:grow/>
                    </m:dPr>
                    <m:e>
                      <m:r>
                        <m:t>s</m:t>
                      </m:r>
                    </m:e>
                  </m:d>
                </m:num>
                <m:den>
                  <m:r>
                    <m:t>N</m:t>
                  </m:r>
                  <m:d>
                    <m:dPr>
                      <m:begChr m:val="("/>
                      <m:endChr m:val=")"/>
                      <m:sepChr m:val=""/>
                      <m:grow/>
                    </m:dPr>
                    <m:e>
                      <m:r>
                        <m:t>s</m:t>
                      </m:r>
                    </m:e>
                  </m:d>
                </m:den>
              </m:f>
            </m:e>
          </m:d>
          <m:r>
            <m:rPr>
              <m:sty m:val="p"/>
            </m:rPr>
            <m:t>.</m:t>
          </m:r>
        </m:oMath>
      </m:oMathPara>
    </w:p>
    <w:p>
      <w:pPr>
        <w:pStyle w:val="FirstParagraph"/>
      </w:pPr>
      <w:r>
        <w:t xml:space="preserve">This formulation already normalizes for cohort size at risk. KCOR does not compare raw death counts; all downstream comparisons are performed in hazard space, where population size differences are explicitly accounted for at each event-time interval.</w:t>
      </w:r>
    </w:p>
    <w:bookmarkEnd w:id="27"/>
    <w:bookmarkStart w:id="30" w:name="mortality-modeling"/>
    <w:p>
      <w:pPr>
        <w:pStyle w:val="Heading3"/>
      </w:pPr>
      <w:r>
        <w:t xml:space="preserve">2.4 Mortality modeling</w:t>
      </w:r>
    </w:p>
    <w:bookmarkStart w:id="28" w:name="individual-level-gompertz-mortality"/>
    <w:p>
      <w:pPr>
        <w:pStyle w:val="Heading4"/>
      </w:pPr>
      <w:r>
        <w:t xml:space="preserve">2.4.1 Individual-level Gompertz mortality</w:t>
      </w:r>
    </w:p>
    <w:p>
      <w:pPr>
        <w:pStyle w:val="FirstParagraph"/>
      </w:pPr>
      <w:r>
        <w:t xml:space="preserve">Adult human mortality is well approximated by</w:t>
      </w:r>
    </w:p>
    <w:p>
      <w:pPr>
        <w:pStyle w:val="BodyText"/>
      </w:pPr>
      <m:oMathPara>
        <m:oMathParaPr>
          <m:jc m:val="center"/>
        </m:oMathParaPr>
        <m:oMath>
          <m:sSub>
            <m:e>
              <m:r>
                <m:t>h</m:t>
              </m:r>
            </m:e>
            <m:sub>
              <m:r>
                <m:t>i</m:t>
              </m:r>
            </m:sub>
          </m:sSub>
          <m:d>
            <m:dPr>
              <m:begChr m:val="("/>
              <m:endChr m:val=")"/>
              <m:sepChr m:val=""/>
              <m:grow/>
            </m:dPr>
            <m:e>
              <m:r>
                <m:t>s</m:t>
              </m:r>
            </m:e>
          </m:d>
          <m:r>
            <m:rPr>
              <m:sty m:val="p"/>
            </m:rPr>
            <m:t>=</m:t>
          </m:r>
          <m:sSub>
            <m:e>
              <m:r>
                <m:t>z</m:t>
              </m:r>
            </m:e>
            <m:sub>
              <m:r>
                <m:t>i</m:t>
              </m:r>
            </m:sub>
          </m:sSub>
          <m:sSup>
            <m:e>
              <m:r>
                <m:t>e</m:t>
              </m:r>
            </m:e>
            <m:sup>
              <m:r>
                <m:t>k</m:t>
              </m:r>
              <m:r>
                <m:t>s</m:t>
              </m:r>
            </m:sup>
          </m:sSup>
          <m:r>
            <m:rPr>
              <m:sty m:val="p"/>
            </m:rPr>
            <m:t>,</m:t>
          </m:r>
        </m:oMath>
      </m:oMathPara>
    </w:p>
    <w:p>
      <w:pPr>
        <w:pStyle w:val="FirstParagraph"/>
      </w:pPr>
      <w:r>
        <w:t xml:space="preserve">where</w:t>
      </w:r>
      <w:r>
        <w:t xml:space="preserve"> </w:t>
      </w:r>
      <m:oMath>
        <m:sSub>
          <m:e>
            <m:r>
              <m:t>z</m:t>
            </m:r>
          </m:e>
          <m:sub>
            <m:r>
              <m:t>i</m:t>
            </m:r>
          </m:sub>
        </m:sSub>
      </m:oMath>
      <w:r>
        <w:t xml:space="preserve"> </w:t>
      </w:r>
      <w:r>
        <w:t xml:space="preserve">is individual frailty and</w:t>
      </w:r>
      <w:r>
        <w:t xml:space="preserve"> </w:t>
      </w:r>
      <m:oMath>
        <m:r>
          <m:t>k</m:t>
        </m:r>
      </m:oMath>
      <w:r>
        <w:t xml:space="preserve"> </w:t>
      </w:r>
      <w:r>
        <w:t xml:space="preserve">the Gompertz log-slope.</w:t>
      </w:r>
    </w:p>
    <w:bookmarkEnd w:id="28"/>
    <w:bookmarkStart w:id="29" w:name="frailty-mixing-and-depletion"/>
    <w:p>
      <w:pPr>
        <w:pStyle w:val="Heading4"/>
      </w:pPr>
      <w:r>
        <w:t xml:space="preserve">2.4.2 Frailty mixing and depletion</w:t>
      </w:r>
    </w:p>
    <w:p>
      <w:pPr>
        <w:pStyle w:val="FirstParagraph"/>
      </w:pPr>
      <w:r>
        <w:t xml:space="preserve">At the cohort level, frailty heterogeneity and selective depletion distort log-hazard trajectories, inducing curvature.</w:t>
      </w:r>
    </w:p>
    <w:bookmarkEnd w:id="29"/>
    <w:bookmarkEnd w:id="30"/>
    <w:bookmarkStart w:id="31" w:name="generalized-gompertzfrailty-model"/>
    <w:p>
      <w:pPr>
        <w:pStyle w:val="Heading3"/>
      </w:pPr>
      <w:r>
        <w:t xml:space="preserve">2.5 Generalized Gompertz–Frailty model</w:t>
      </w:r>
    </w:p>
    <w:p>
      <w:pPr>
        <w:pStyle w:val="FirstParagraph"/>
      </w:pPr>
      <w:r>
        <w:t xml:space="preserve">To accommodate selection-induced curvature, KCOR uses</w:t>
      </w:r>
    </w:p>
    <w:p>
      <w:pPr>
        <w:pStyle w:val="BodyText"/>
      </w:pPr>
      <m:oMathPara>
        <m:oMathParaPr>
          <m:jc m:val="center"/>
        </m:oMathParaPr>
        <m:oMath>
          <m:r>
            <m:rPr>
              <m:sty m:val="p"/>
            </m:rPr>
            <m:t>log</m:t>
          </m:r>
          <m:r>
            <m:t>h</m:t>
          </m:r>
          <m:d>
            <m:dPr>
              <m:begChr m:val="("/>
              <m:endChr m:val=")"/>
              <m:sepChr m:val=""/>
              <m:grow/>
            </m:dPr>
            <m:e>
              <m:r>
                <m:t>s</m:t>
              </m:r>
            </m:e>
          </m:d>
          <m:r>
            <m:rPr>
              <m:sty m:val="p"/>
            </m:rPr>
            <m:t>=</m:t>
          </m:r>
          <m:r>
            <m:t>C</m:t>
          </m:r>
          <m:r>
            <m:rPr>
              <m:sty m:val="p"/>
            </m:rPr>
            <m:t>+</m:t>
          </m:r>
          <m:sSub>
            <m:e>
              <m:r>
                <m:t>k</m:t>
              </m:r>
            </m:e>
            <m:sub>
              <m:r>
                <m:rPr>
                  <m:sty m:val="p"/>
                </m:rPr>
                <m:t>∞</m:t>
              </m:r>
            </m:sub>
          </m:sSub>
          <m:r>
            <m:t>s</m:t>
          </m:r>
          <m:r>
            <m:rPr>
              <m:sty m:val="p"/>
            </m:rPr>
            <m:t>+</m:t>
          </m:r>
          <m:d>
            <m:dPr>
              <m:begChr m:val="("/>
              <m:endChr m:val=")"/>
              <m:sepChr m:val=""/>
              <m:grow/>
            </m:dPr>
            <m:e>
              <m:sSub>
                <m:e>
                  <m:r>
                    <m:t>k</m:t>
                  </m:r>
                </m:e>
                <m:sub>
                  <m:r>
                    <m:t>0</m:t>
                  </m:r>
                </m:sub>
              </m:sSub>
              <m:r>
                <m:rPr>
                  <m:sty m:val="p"/>
                </m:rPr>
                <m:t>−</m:t>
              </m:r>
              <m:sSub>
                <m:e>
                  <m:r>
                    <m:t>k</m:t>
                  </m:r>
                </m:e>
                <m:sub>
                  <m:r>
                    <m:rPr>
                      <m:sty m:val="p"/>
                    </m:rPr>
                    <m:t>∞</m:t>
                  </m:r>
                </m:sub>
              </m:sSub>
            </m:e>
          </m:d>
          <m:r>
            <m:t>τ</m:t>
          </m:r>
          <m:d>
            <m:dPr>
              <m:begChr m:val="("/>
              <m:endChr m:val=")"/>
              <m:sepChr m:val=""/>
              <m:grow/>
            </m:dPr>
            <m:e>
              <m:r>
                <m:t>1</m:t>
              </m:r>
              <m:r>
                <m:rPr>
                  <m:sty m:val="p"/>
                </m:rPr>
                <m:t>−</m:t>
              </m:r>
              <m:sSup>
                <m:e>
                  <m:r>
                    <m:t>e</m:t>
                  </m:r>
                </m:e>
                <m:sup>
                  <m:r>
                    <m:rPr>
                      <m:sty m:val="p"/>
                    </m:rPr>
                    <m:t>−</m:t>
                  </m:r>
                  <m:r>
                    <m:t>s</m:t>
                  </m:r>
                  <m:r>
                    <m:rPr>
                      <m:sty m:val="p"/>
                    </m:rPr>
                    <m:t>/</m:t>
                  </m:r>
                  <m:r>
                    <m:t>τ</m:t>
                  </m:r>
                </m:sup>
              </m:sSup>
            </m:e>
          </m:d>
          <m:r>
            <m:rPr>
              <m:sty m:val="p"/>
            </m:rPr>
            <m:t>.</m:t>
          </m:r>
        </m:oMath>
      </m:oMathPara>
    </w:p>
    <w:p>
      <w:pPr>
        <w:pStyle w:val="FirstParagraph"/>
      </w:pPr>
      <w:r>
        <w:t xml:space="preserve">The instantaneous slope is</w:t>
      </w:r>
    </w:p>
    <w:p>
      <w:pPr>
        <w:pStyle w:val="BodyText"/>
      </w:pPr>
      <m:oMathPara>
        <m:oMathParaPr>
          <m:jc m:val="center"/>
        </m:oMathParaPr>
        <m:oMath>
          <m:r>
            <m:t>k</m:t>
          </m:r>
          <m:d>
            <m:dPr>
              <m:begChr m:val="("/>
              <m:endChr m:val=")"/>
              <m:sepChr m:val=""/>
              <m:grow/>
            </m:dPr>
            <m:e>
              <m:r>
                <m:t>s</m:t>
              </m:r>
            </m:e>
          </m:d>
          <m:r>
            <m:rPr>
              <m:sty m:val="p"/>
            </m:rPr>
            <m:t>=</m:t>
          </m:r>
          <m:sSub>
            <m:e>
              <m:r>
                <m:t>k</m:t>
              </m:r>
            </m:e>
            <m:sub>
              <m:r>
                <m:rPr>
                  <m:sty m:val="p"/>
                </m:rPr>
                <m:t>∞</m:t>
              </m:r>
            </m:sub>
          </m:sSub>
          <m:r>
            <m:rPr>
              <m:sty m:val="p"/>
            </m:rPr>
            <m:t>+</m:t>
          </m:r>
          <m:d>
            <m:dPr>
              <m:begChr m:val="("/>
              <m:endChr m:val=")"/>
              <m:sepChr m:val=""/>
              <m:grow/>
            </m:dPr>
            <m:e>
              <m:sSub>
                <m:e>
                  <m:r>
                    <m:t>k</m:t>
                  </m:r>
                </m:e>
                <m:sub>
                  <m:r>
                    <m:t>0</m:t>
                  </m:r>
                </m:sub>
              </m:sSub>
              <m:r>
                <m:rPr>
                  <m:sty m:val="p"/>
                </m:rPr>
                <m:t>−</m:t>
              </m:r>
              <m:sSub>
                <m:e>
                  <m:r>
                    <m:t>k</m:t>
                  </m:r>
                </m:e>
                <m:sub>
                  <m:r>
                    <m:rPr>
                      <m:sty m:val="p"/>
                    </m:rPr>
                    <m:t>∞</m:t>
                  </m:r>
                </m:sub>
              </m:sSub>
            </m:e>
          </m:d>
          <m:sSup>
            <m:e>
              <m:r>
                <m:t>e</m:t>
              </m:r>
            </m:e>
            <m:sup>
              <m:r>
                <m:rPr>
                  <m:sty m:val="p"/>
                </m:rPr>
                <m:t>−</m:t>
              </m:r>
              <m:r>
                <m:t>s</m:t>
              </m:r>
              <m:r>
                <m:rPr>
                  <m:sty m:val="p"/>
                </m:rPr>
                <m:t>/</m:t>
              </m:r>
              <m:r>
                <m:t>τ</m:t>
              </m:r>
            </m:sup>
          </m:sSup>
          <m:r>
            <m:rPr>
              <m:sty m:val="p"/>
            </m:rPr>
            <m:t>.</m:t>
          </m:r>
        </m:oMath>
      </m:oMathPara>
    </w:p>
    <w:p>
      <w:pPr>
        <w:pStyle w:val="FirstParagraph"/>
      </w:pPr>
      <w:r>
        <w:t xml:space="preserve">This formulation allows the log-hazard slope to relax smoothly from an initial value</w:t>
      </w:r>
      <w:r>
        <w:t xml:space="preserve"> </w:t>
      </w:r>
      <m:oMath>
        <m:sSub>
          <m:e>
            <m:r>
              <m:t>k</m:t>
            </m:r>
          </m:e>
          <m:sub>
            <m:r>
              <m:t>0</m:t>
            </m:r>
          </m:sub>
        </m:sSub>
      </m:oMath>
      <w:r>
        <w:t xml:space="preserve"> </w:t>
      </w:r>
      <w:r>
        <w:t xml:space="preserve">toward an asymptotic value</w:t>
      </w:r>
      <w:r>
        <w:t xml:space="preserve"> </w:t>
      </w:r>
      <m:oMath>
        <m:sSub>
          <m:e>
            <m:r>
              <m:t>k</m:t>
            </m:r>
          </m:e>
          <m:sub>
            <m:r>
              <m:rPr>
                <m:sty m:val="p"/>
              </m:rPr>
              <m:t>∞</m:t>
            </m:r>
          </m:sub>
        </m:sSub>
      </m:oMath>
      <w:r>
        <w:t xml:space="preserve"> </w:t>
      </w:r>
      <w:r>
        <w:t xml:space="preserve">over a characteristic timescale</w:t>
      </w:r>
      <w:r>
        <w:t xml:space="preserve"> </w:t>
      </w:r>
      <m:oMath>
        <m:r>
          <m:t>τ</m:t>
        </m:r>
      </m:oMath>
      <w:r>
        <w:t xml:space="preserve">. Such relaxation captures depletion of high-frailty individuals under selection and generalizes the standard Gompertz model to cohort-level dynamics.</w:t>
      </w:r>
    </w:p>
    <w:bookmarkEnd w:id="31"/>
    <w:bookmarkStart w:id="34" w:name="slope-estimation"/>
    <w:p>
      <w:pPr>
        <w:pStyle w:val="Heading3"/>
      </w:pPr>
      <w:r>
        <w:t xml:space="preserve">2.6 Slope estimation</w:t>
      </w:r>
    </w:p>
    <w:bookmarkStart w:id="32" w:name="linear-case-ages-80"/>
    <w:p>
      <w:pPr>
        <w:pStyle w:val="Heading4"/>
      </w:pPr>
      <w:r>
        <w:t xml:space="preserve">2.6.1 Linear case (ages &lt; 80)</w:t>
      </w:r>
    </w:p>
    <w:p>
      <w:pPr>
        <w:pStyle w:val="FirstParagraph"/>
      </w:pPr>
      <w:r>
        <w:t xml:space="preserve">For younger cohorts,</w:t>
      </w:r>
    </w:p>
    <w:p>
      <w:pPr>
        <w:pStyle w:val="BodyText"/>
      </w:pPr>
      <m:oMathPara>
        <m:oMathParaPr>
          <m:jc m:val="center"/>
        </m:oMathParaPr>
        <m:oMath>
          <m:r>
            <m:rPr>
              <m:sty m:val="p"/>
            </m:rPr>
            <m:t>log</m:t>
          </m:r>
          <m:r>
            <m:t>h</m:t>
          </m:r>
          <m:d>
            <m:dPr>
              <m:begChr m:val="("/>
              <m:endChr m:val=")"/>
              <m:sepChr m:val=""/>
              <m:grow/>
            </m:dPr>
            <m:e>
              <m:r>
                <m:t>s</m:t>
              </m:r>
            </m:e>
          </m:d>
          <m:r>
            <m:rPr>
              <m:sty m:val="p"/>
            </m:rPr>
            <m:t>=</m:t>
          </m:r>
          <m:r>
            <m:t>α</m:t>
          </m:r>
          <m:r>
            <m:rPr>
              <m:sty m:val="p"/>
            </m:rPr>
            <m:t>+</m:t>
          </m:r>
          <m:r>
            <m:t>β</m:t>
          </m:r>
          <m:r>
            <m:t>s</m:t>
          </m:r>
        </m:oMath>
      </m:oMathPara>
    </w:p>
    <w:p>
      <w:pPr>
        <w:pStyle w:val="FirstParagraph"/>
      </w:pPr>
      <w:r>
        <w:t xml:space="preserve">is estimated via quantile regression (</w:t>
      </w:r>
      <m:oMath>
        <m:r>
          <m:t>τ</m:t>
        </m:r>
        <m:r>
          <m:rPr>
            <m:sty m:val="p"/>
          </m:rPr>
          <m:t>=</m:t>
        </m:r>
        <m:r>
          <m:t>0.5</m:t>
        </m:r>
      </m:oMath>
      <w:r>
        <w:t xml:space="preserve">).</w:t>
      </w:r>
    </w:p>
    <w:bookmarkEnd w:id="32"/>
    <w:bookmarkStart w:id="33" w:name="generalized-case-ages-80"/>
    <w:p>
      <w:pPr>
        <w:pStyle w:val="Heading4"/>
      </w:pPr>
      <w:r>
        <w:t xml:space="preserve">2.6.2 Generalized case (ages ≥ 80)</w:t>
      </w:r>
    </w:p>
    <w:p>
      <w:pPr>
        <w:pStyle w:val="FirstParagraph"/>
      </w:pPr>
      <w:r>
        <w:t xml:space="preserve">For older cohorts, the generalized model is fit and</w:t>
      </w:r>
      <w:r>
        <w:t xml:space="preserve"> </w:t>
      </w:r>
      <m:oMath>
        <m:d>
          <m:dPr>
            <m:begChr m:val="("/>
            <m:endChr m:val=")"/>
            <m:sepChr m:val=""/>
            <m:grow/>
          </m:dPr>
          <m:e>
            <m:sSub>
              <m:e>
                <m:r>
                  <m:t>k</m:t>
                </m:r>
              </m:e>
              <m:sub>
                <m:r>
                  <m:t>0</m:t>
                </m:r>
              </m:sub>
            </m:sSub>
            <m:r>
              <m:rPr>
                <m:sty m:val="p"/>
              </m:rPr>
              <m:t>,</m:t>
            </m:r>
            <m:sSub>
              <m:e>
                <m:r>
                  <m:t>k</m:t>
                </m:r>
              </m:e>
              <m:sub>
                <m:r>
                  <m:rPr>
                    <m:sty m:val="p"/>
                  </m:rPr>
                  <m:t>∞</m:t>
                </m:r>
              </m:sub>
            </m:sSub>
            <m:r>
              <m:rPr>
                <m:sty m:val="p"/>
              </m:rPr>
              <m:t>,</m:t>
            </m:r>
            <m:r>
              <m:t>τ</m:t>
            </m:r>
          </m:e>
        </m:d>
      </m:oMath>
      <w:r>
        <w:t xml:space="preserve"> </w:t>
      </w:r>
      <w:r>
        <w:t xml:space="preserve">estimated.</w:t>
      </w:r>
    </w:p>
    <w:bookmarkEnd w:id="33"/>
    <w:bookmarkEnd w:id="34"/>
    <w:bookmarkStart w:id="37" w:name="curvature-slopeshape-normalization"/>
    <w:p>
      <w:pPr>
        <w:pStyle w:val="Heading3"/>
      </w:pPr>
      <w:r>
        <w:t xml:space="preserve">2.7 Curvature (slope/shape) normalization</w:t>
      </w:r>
    </w:p>
    <w:p>
      <w:pPr>
        <w:pStyle w:val="FirstParagraph"/>
      </w:pPr>
      <w:r>
        <w:t xml:space="preserve">Normalization is performed in log-hazard space.</w:t>
      </w:r>
    </w:p>
    <w:bookmarkStart w:id="35" w:name="linear-normalization"/>
    <w:p>
      <w:pPr>
        <w:pStyle w:val="Heading4"/>
      </w:pPr>
      <w:r>
        <w:t xml:space="preserve">2.7.1 Linear normalization</w:t>
      </w:r>
    </w:p>
    <w:p>
      <w:pPr>
        <w:pStyle w:val="FirstParagraph"/>
      </w:pPr>
      <m:oMathPara>
        <m:oMathParaPr>
          <m:jc m:val="center"/>
        </m:oMathParaPr>
        <m:oMath>
          <m:sSub>
            <m:e>
              <m:r>
                <m:t>h</m:t>
              </m:r>
            </m:e>
            <m:sub>
              <m:r>
                <m:rPr>
                  <m:nor/>
                  <m:sty m:val="p"/>
                </m:rPr>
                <m:t>adj</m:t>
              </m:r>
            </m:sub>
          </m:sSub>
          <m:d>
            <m:dPr>
              <m:begChr m:val="("/>
              <m:endChr m:val=")"/>
              <m:sepChr m:val=""/>
              <m:grow/>
            </m:dPr>
            <m:e>
              <m:r>
                <m:t>s</m:t>
              </m:r>
            </m:e>
          </m:d>
          <m:r>
            <m:rPr>
              <m:sty m:val="p"/>
            </m:rPr>
            <m:t>=</m:t>
          </m:r>
          <m:r>
            <m:t>h</m:t>
          </m:r>
          <m:d>
            <m:dPr>
              <m:begChr m:val="("/>
              <m:endChr m:val=")"/>
              <m:sepChr m:val=""/>
              <m:grow/>
            </m:dPr>
            <m:e>
              <m:r>
                <m:t>s</m:t>
              </m:r>
            </m:e>
          </m:d>
          <m:sSup>
            <m:e>
              <m:r>
                <m:t>e</m:t>
              </m:r>
            </m:e>
            <m:sup>
              <m:r>
                <m:rPr>
                  <m:sty m:val="p"/>
                </m:rPr>
                <m:t>−</m:t>
              </m:r>
              <m:r>
                <m:t>β</m:t>
              </m:r>
              <m:r>
                <m:t>s</m:t>
              </m:r>
            </m:sup>
          </m:sSup>
          <m:r>
            <m:rPr>
              <m:sty m:val="p"/>
            </m:rPr>
            <m:t>.</m:t>
          </m:r>
        </m:oMath>
      </m:oMathPara>
    </w:p>
    <w:bookmarkEnd w:id="35"/>
    <w:bookmarkStart w:id="36" w:name="generalized-shape-normalization"/>
    <w:p>
      <w:pPr>
        <w:pStyle w:val="Heading4"/>
      </w:pPr>
      <w:r>
        <w:t xml:space="preserve">2.7.2 Generalized shape normalization</w:t>
      </w:r>
    </w:p>
    <w:p>
      <w:pPr>
        <w:pStyle w:val="FirstParagraph"/>
      </w:pPr>
      <m:oMathPara>
        <m:oMathParaPr>
          <m:jc m:val="center"/>
        </m:oMathParaPr>
        <m:oMath>
          <m:sSub>
            <m:e>
              <m:r>
                <m:t>h</m:t>
              </m:r>
            </m:e>
            <m:sub>
              <m:r>
                <m:rPr>
                  <m:nor/>
                  <m:sty m:val="p"/>
                </m:rPr>
                <m:t>adj</m:t>
              </m:r>
            </m:sub>
          </m:sSub>
          <m:d>
            <m:dPr>
              <m:begChr m:val="("/>
              <m:endChr m:val=")"/>
              <m:sepChr m:val=""/>
              <m:grow/>
            </m:dPr>
            <m:e>
              <m:r>
                <m:t>s</m:t>
              </m:r>
            </m:e>
          </m:d>
          <m:r>
            <m:rPr>
              <m:sty m:val="p"/>
            </m:rPr>
            <m:t>=</m:t>
          </m:r>
          <m:r>
            <m:t>h</m:t>
          </m:r>
          <m:d>
            <m:dPr>
              <m:begChr m:val="("/>
              <m:endChr m:val=")"/>
              <m:sepChr m:val=""/>
              <m:grow/>
            </m:dPr>
            <m:e>
              <m:r>
                <m:t>s</m:t>
              </m:r>
            </m:e>
          </m:d>
          <m:r>
            <m:rPr>
              <m:sty m:val="p"/>
            </m:rPr>
            <m:t>exp</m:t>
          </m:r>
          <m:d>
            <m:dPr>
              <m:begChr m:val="["/>
              <m:endChr m:val="]"/>
              <m:sepChr m:val=""/>
              <m:grow/>
            </m:dPr>
            <m:e>
              <m:r>
                <m:rPr>
                  <m:sty m:val="p"/>
                </m:rPr>
                <m:t>−</m:t>
              </m:r>
              <m:sSub>
                <m:e>
                  <m:r>
                    <m:t>k</m:t>
                  </m:r>
                </m:e>
                <m:sub>
                  <m:r>
                    <m:rPr>
                      <m:sty m:val="p"/>
                    </m:rPr>
                    <m:t>∞</m:t>
                  </m:r>
                </m:sub>
              </m:sSub>
              <m:r>
                <m:t>s</m:t>
              </m:r>
              <m:r>
                <m:rPr>
                  <m:sty m:val="p"/>
                </m:rPr>
                <m:t>−</m:t>
              </m:r>
              <m:d>
                <m:dPr>
                  <m:begChr m:val="("/>
                  <m:endChr m:val=")"/>
                  <m:sepChr m:val=""/>
                  <m:grow/>
                </m:dPr>
                <m:e>
                  <m:sSub>
                    <m:e>
                      <m:r>
                        <m:t>k</m:t>
                      </m:r>
                    </m:e>
                    <m:sub>
                      <m:r>
                        <m:t>0</m:t>
                      </m:r>
                    </m:sub>
                  </m:sSub>
                  <m:r>
                    <m:rPr>
                      <m:sty m:val="p"/>
                    </m:rPr>
                    <m:t>−</m:t>
                  </m:r>
                  <m:sSub>
                    <m:e>
                      <m:r>
                        <m:t>k</m:t>
                      </m:r>
                    </m:e>
                    <m:sub>
                      <m:r>
                        <m:rPr>
                          <m:sty m:val="p"/>
                        </m:rPr>
                        <m:t>∞</m:t>
                      </m:r>
                    </m:sub>
                  </m:sSub>
                </m:e>
              </m:d>
              <m:r>
                <m:t>τ</m:t>
              </m:r>
              <m:d>
                <m:dPr>
                  <m:begChr m:val="("/>
                  <m:endChr m:val=")"/>
                  <m:sepChr m:val=""/>
                  <m:grow/>
                </m:dPr>
                <m:e>
                  <m:r>
                    <m:t>1</m:t>
                  </m:r>
                  <m:r>
                    <m:rPr>
                      <m:sty m:val="p"/>
                    </m:rPr>
                    <m:t>−</m:t>
                  </m:r>
                  <m:sSup>
                    <m:e>
                      <m:r>
                        <m:t>e</m:t>
                      </m:r>
                    </m:e>
                    <m:sup>
                      <m:r>
                        <m:rPr>
                          <m:sty m:val="p"/>
                        </m:rPr>
                        <m:t>−</m:t>
                      </m:r>
                      <m:r>
                        <m:t>s</m:t>
                      </m:r>
                      <m:r>
                        <m:rPr>
                          <m:sty m:val="p"/>
                        </m:rPr>
                        <m:t>/</m:t>
                      </m:r>
                      <m:r>
                        <m:t>τ</m:t>
                      </m:r>
                    </m:sup>
                  </m:sSup>
                </m:e>
              </m:d>
            </m:e>
          </m:d>
          <m:r>
            <m:rPr>
              <m:sty m:val="p"/>
            </m:rPr>
            <m:t>.</m:t>
          </m:r>
        </m:oMath>
      </m:oMathPara>
    </w:p>
    <w:p>
      <w:pPr>
        <w:pStyle w:val="FirstParagraph"/>
      </w:pPr>
      <w:r>
        <w:t xml:space="preserve">Curvature normalization removes cohort-specific intrinsic hazard dynamics while preserving relative event timing. This transformation is applied independently to each cohort and does not introduce cross-cohort adjustment or reweighting. Its sole purpose is to neutralize differences in mortality shape induced by selection.</w:t>
      </w:r>
    </w:p>
    <w:bookmarkEnd w:id="36"/>
    <w:bookmarkEnd w:id="37"/>
    <w:bookmarkStart w:id="38" w:name="kcor-estimator"/>
    <w:p>
      <w:pPr>
        <w:pStyle w:val="Heading3"/>
      </w:pPr>
      <w:r>
        <w:t xml:space="preserve">2.8 KCOR estimator</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w:t>
      </w:r>
    </w:p>
    <w:p>
      <w:pPr>
        <w:pStyle w:val="BodyText"/>
      </w:pPr>
      <m:oMathPara>
        <m:oMathParaPr>
          <m:jc m:val="center"/>
        </m:oMathParaPr>
        <m:oMath>
          <m:r>
            <m:rPr>
              <m:nor/>
              <m:sty m:val="p"/>
            </m:rPr>
            <m:t>KCOR</m:t>
          </m:r>
          <m:d>
            <m:dPr>
              <m:begChr m:val="("/>
              <m:endChr m:val=")"/>
              <m:sepChr m:val=""/>
              <m:grow/>
            </m:dPr>
            <m:e>
              <m:r>
                <m:t>t</m:t>
              </m:r>
            </m:e>
          </m:d>
          <m:r>
            <m:rPr>
              <m:sty m:val="p"/>
            </m:rPr>
            <m:t>=</m:t>
          </m:r>
          <m:f>
            <m:fPr>
              <m:type m:val="bar"/>
            </m:fPr>
            <m:num>
              <m:nary>
                <m:naryPr>
                  <m:chr m:val="∑"/>
                  <m:limLoc m:val="undOvr"/>
                  <m:subHide m:val="0"/>
                  <m:supHide m:val="1"/>
                </m:naryPr>
                <m:sub>
                  <m:r>
                    <m:t>s</m:t>
                  </m:r>
                  <m:r>
                    <m:rPr>
                      <m:sty m:val="p"/>
                    </m:rPr>
                    <m:t>≤</m:t>
                  </m:r>
                  <m:r>
                    <m:t>t</m:t>
                  </m:r>
                </m:sub>
                <m:sup>
                  <m:r>
                    <m:t>​</m:t>
                  </m:r>
                </m:sup>
                <m:e>
                  <m:sSub>
                    <m:e>
                      <m:r>
                        <m:t>h</m:t>
                      </m:r>
                    </m:e>
                    <m:sub>
                      <m:r>
                        <m:rPr>
                          <m:nor/>
                          <m:sty m:val="p"/>
                        </m:rPr>
                        <m:t>adj</m:t>
                      </m:r>
                      <m:r>
                        <m:rPr>
                          <m:sty m:val="p"/>
                        </m:rPr>
                        <m:t>,</m:t>
                      </m:r>
                      <m:r>
                        <m:t>A</m:t>
                      </m:r>
                    </m:sub>
                  </m:sSub>
                </m:e>
              </m:nary>
              <m:d>
                <m:dPr>
                  <m:begChr m:val="("/>
                  <m:endChr m:val=")"/>
                  <m:sepChr m:val=""/>
                  <m:grow/>
                </m:dPr>
                <m:e>
                  <m:r>
                    <m:t>s</m:t>
                  </m:r>
                </m:e>
              </m:d>
            </m:num>
            <m:den>
              <m:nary>
                <m:naryPr>
                  <m:chr m:val="∑"/>
                  <m:limLoc m:val="undOvr"/>
                  <m:subHide m:val="0"/>
                  <m:supHide m:val="1"/>
                </m:naryPr>
                <m:sub>
                  <m:r>
                    <m:t>s</m:t>
                  </m:r>
                  <m:r>
                    <m:rPr>
                      <m:sty m:val="p"/>
                    </m:rPr>
                    <m:t>≤</m:t>
                  </m:r>
                  <m:r>
                    <m:t>t</m:t>
                  </m:r>
                </m:sub>
                <m:sup>
                  <m:r>
                    <m:t>​</m:t>
                  </m:r>
                </m:sup>
                <m:e>
                  <m:sSub>
                    <m:e>
                      <m:r>
                        <m:t>h</m:t>
                      </m:r>
                    </m:e>
                    <m:sub>
                      <m:r>
                        <m:rPr>
                          <m:nor/>
                          <m:sty m:val="p"/>
                        </m:rPr>
                        <m:t>adj</m:t>
                      </m:r>
                      <m:r>
                        <m:rPr>
                          <m:sty m:val="p"/>
                        </m:rPr>
                        <m:t>,</m:t>
                      </m:r>
                      <m:r>
                        <m:t>B</m:t>
                      </m:r>
                    </m:sub>
                  </m:sSub>
                </m:e>
              </m:nary>
              <m:d>
                <m:dPr>
                  <m:begChr m:val="("/>
                  <m:endChr m:val=")"/>
                  <m:sepChr m:val=""/>
                  <m:grow/>
                </m:dPr>
                <m:e>
                  <m:r>
                    <m:t>s</m:t>
                  </m:r>
                </m:e>
              </m:d>
            </m:den>
          </m:f>
          <m:r>
            <m:rPr>
              <m:sty m:val="p"/>
            </m:rPr>
            <m:t>.</m:t>
          </m:r>
        </m:oMath>
      </m:oMathPara>
    </w:p>
    <w:p>
      <w:pPr>
        <w:pStyle w:val="FirstParagraph"/>
      </w:pPr>
      <w:r>
        <w:t xml:space="preserve">Because curvature normalization renders hazards comparable up to a multiplicative constant, KCOR compares cumulative adjusted hazards rather than instantaneous values. The estimator is invariant under common rescaling of both cohorts.</w:t>
      </w:r>
    </w:p>
    <w:bookmarkEnd w:id="38"/>
    <w:bookmarkStart w:id="39" w:name="stabilization-and-anchoring"/>
    <w:p>
      <w:pPr>
        <w:pStyle w:val="Heading3"/>
      </w:pPr>
      <w:r>
        <w:t xml:space="preserve">2.9 Stabilization and anchoring</w:t>
      </w:r>
    </w:p>
    <w:p>
      <w:pPr>
        <w:pStyle w:val="FirstParagraph"/>
      </w:pPr>
      <w:r>
        <w:t xml:space="preserve">KCOR is normalized using weeks 3–6 post-enrollment; weeks 1–2 are excluded.</w:t>
      </w:r>
    </w:p>
    <w:p>
      <w:pPr>
        <w:pStyle w:val="BodyText"/>
      </w:pPr>
      <w:r>
        <w:t xml:space="preserve">Anchoring fixes the arbitrary multiplicative scale of curvature-normalized hazards by equating cumulative adjusted hazard over a prespecified early post-enrollment window. This step fixes units rather than altering relative mortality and does not affect KCOR values beyond scale normalization. Equivalent results are obtained under symmetric or one-sided scaling.</w:t>
      </w:r>
    </w:p>
    <w:bookmarkEnd w:id="39"/>
    <w:bookmarkStart w:id="42" w:name="validation-strategy"/>
    <w:p>
      <w:pPr>
        <w:pStyle w:val="Heading3"/>
      </w:pPr>
      <w:r>
        <w:t xml:space="preserve">2.10 Validation strategy</w:t>
      </w:r>
    </w:p>
    <w:bookmarkStart w:id="40" w:name="negative-controls"/>
    <w:p>
      <w:pPr>
        <w:pStyle w:val="Heading4"/>
      </w:pPr>
      <w:r>
        <w:t xml:space="preserve">2.10.1 Negative controls</w:t>
      </w:r>
    </w:p>
    <w:p>
      <w:pPr>
        <w:pStyle w:val="FirstParagraph"/>
      </w:pPr>
      <w:r>
        <w:t xml:space="preserve">Closed-population nulls and pathological frailty mixtures.</w:t>
      </w:r>
    </w:p>
    <w:bookmarkEnd w:id="40"/>
    <w:bookmarkStart w:id="41" w:name="positive-controls"/>
    <w:p>
      <w:pPr>
        <w:pStyle w:val="Heading4"/>
      </w:pPr>
      <w:r>
        <w:t xml:space="preserve">2.10.2 Positive controls</w:t>
      </w:r>
    </w:p>
    <w:p>
      <w:pPr>
        <w:pStyle w:val="FirstParagraph"/>
      </w:pPr>
      <w:r>
        <w:t xml:space="preserve">Known mortality waves and transient risk periods.</w:t>
      </w:r>
    </w:p>
    <w:bookmarkEnd w:id="41"/>
    <w:bookmarkEnd w:id="42"/>
    <w:bookmarkStart w:id="43" w:name="sensitivity-analyses"/>
    <w:p>
      <w:pPr>
        <w:pStyle w:val="Heading3"/>
      </w:pPr>
      <w:r>
        <w:t xml:space="preserve">2.11 Sensitivity analyses</w:t>
      </w:r>
    </w:p>
    <w:p>
      <w:pPr>
        <w:pStyle w:val="FirstParagraph"/>
      </w:pPr>
      <w:r>
        <w:t xml:space="preserve">Variation of normalization windows, slope estimation, and age stratification.</w:t>
      </w:r>
    </w:p>
    <w:p>
      <w:pPr>
        <w:pStyle w:val="BodyText"/>
      </w:pPr>
      <w:r>
        <w:t xml:space="preserve">Sensitivity analyses are prespecified and used to assess robustness of the KCOR estimator to reasonable variations in modeling choices. They are not used to optimize or select results.</w:t>
      </w:r>
    </w:p>
    <w:bookmarkEnd w:id="43"/>
    <w:bookmarkStart w:id="44" w:name="uncertainty-quantification"/>
    <w:p>
      <w:pPr>
        <w:pStyle w:val="Heading3"/>
      </w:pPr>
      <w:r>
        <w:t xml:space="preserve">2.12 Uncertainty quantification</w:t>
      </w:r>
    </w:p>
    <w:p>
      <w:pPr>
        <w:pStyle w:val="FirstParagraph"/>
      </w:pPr>
      <w:r>
        <w:t xml:space="preserve">Monte Carlo resampling captures uncertainty from death counts and slope estimation.</w:t>
      </w:r>
    </w:p>
    <w:p>
      <w:pPr>
        <w:pStyle w:val="BodyText"/>
      </w:pPr>
      <w:r>
        <w:t xml:space="preserve">Uncertainty intervals reflect stochastic event realization and model-fit uncertainty in hazard slope estimation. They do not assume sampling from a superpopulation and are therefore not interpreted as classical confidence intervals for a population mean.</w:t>
      </w:r>
    </w:p>
    <w:bookmarkEnd w:id="44"/>
    <w:bookmarkEnd w:id="45"/>
    <w:bookmarkStart w:id="46" w:name="results"/>
    <w:p>
      <w:pPr>
        <w:pStyle w:val="Heading2"/>
      </w:pPr>
      <w:r>
        <w:t xml:space="preserve">3. Results</w:t>
      </w:r>
    </w:p>
    <w:p>
      <w:pPr>
        <w:pStyle w:val="FirstParagraph"/>
      </w:pPr>
      <w:r>
        <w:t xml:space="preserve">(Results to be presented for selected datasets.)</w:t>
      </w:r>
    </w:p>
    <w:bookmarkEnd w:id="46"/>
    <w:bookmarkStart w:id="47" w:name="discussion"/>
    <w:p>
      <w:pPr>
        <w:pStyle w:val="Heading2"/>
      </w:pPr>
      <w:r>
        <w:t xml:space="preserve">4. Discussion</w:t>
      </w:r>
    </w:p>
    <w:p>
      <w:pPr>
        <w:pStyle w:val="FirstParagraph"/>
      </w:pPr>
      <w:r>
        <w:t xml:space="preserve">KCOR provides a principled approach to retrospective mortality analysis by addressing selection-induced curvature directly.</w:t>
      </w:r>
    </w:p>
    <w:bookmarkEnd w:id="47"/>
    <w:bookmarkStart w:id="48" w:name="limitations"/>
    <w:p>
      <w:pPr>
        <w:pStyle w:val="Heading2"/>
      </w:pPr>
      <w:r>
        <w:t xml:space="preserve">5. Limitations</w:t>
      </w:r>
    </w:p>
    <w:p>
      <w:pPr>
        <w:pStyle w:val="FirstParagraph"/>
      </w:pPr>
      <w:r>
        <w:t xml:space="preserve">KCOR is not intended to replace RCTs and requires sufficient follow-up to estimate curvature reliably.</w:t>
      </w:r>
    </w:p>
    <w:bookmarkEnd w:id="48"/>
    <w:bookmarkStart w:id="49" w:name="conclusion"/>
    <w:p>
      <w:pPr>
        <w:pStyle w:val="Heading2"/>
      </w:pPr>
      <w:r>
        <w:t xml:space="preserve">6. Conclusion</w:t>
      </w:r>
    </w:p>
    <w:p>
      <w:pPr>
        <w:pStyle w:val="FirstParagraph"/>
      </w:pPr>
      <w:r>
        <w:t xml:space="preserve">By neutralizing intrinsic mortality curvature, KCOR enables valid cohort comparisons where traditional methods fail.</w:t>
      </w:r>
    </w:p>
    <w:bookmarkEnd w:id="49"/>
    <w:bookmarkStart w:id="54" w:name="supplementary-material"/>
    <w:p>
      <w:pPr>
        <w:pStyle w:val="Heading2"/>
      </w:pPr>
      <w:r>
        <w:t xml:space="preserve">Supplementary Material</w:t>
      </w:r>
    </w:p>
    <w:bookmarkStart w:id="50" w:name="appendix-a.-mathematical-derivations"/>
    <w:p>
      <w:pPr>
        <w:pStyle w:val="Heading3"/>
      </w:pPr>
      <w:r>
        <w:t xml:space="preserve">Appendix A. Mathematical derivations</w:t>
      </w:r>
    </w:p>
    <w:bookmarkEnd w:id="50"/>
    <w:bookmarkStart w:id="51" w:name="X0776a25fc99423e525df76088fb4fb1500b9b78"/>
    <w:p>
      <w:pPr>
        <w:pStyle w:val="Heading3"/>
      </w:pPr>
      <w:r>
        <w:t xml:space="preserve">Appendix B. Pathological frailty examples</w:t>
      </w:r>
    </w:p>
    <w:bookmarkEnd w:id="51"/>
    <w:bookmarkStart w:id="52" w:name="appendix-c.-additional-figures"/>
    <w:p>
      <w:pPr>
        <w:pStyle w:val="Heading3"/>
      </w:pPr>
      <w:r>
        <w:t xml:space="preserve">Appendix C. Additional figures</w:t>
      </w:r>
    </w:p>
    <w:bookmarkEnd w:id="52"/>
    <w:bookmarkStart w:id="53" w:name="appendix-d.-implementation-details"/>
    <w:p>
      <w:pPr>
        <w:pStyle w:val="Heading3"/>
      </w:pPr>
      <w:r>
        <w:t xml:space="preserve">Appendix D. Implementation details</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2025-12-20T03:12:23Z</dcterms:created>
  <dcterms:modified xsi:type="dcterms:W3CDTF">2025-12-20T03:12:23Z</dcterms:modified>
</cp:coreProperties>
</file>

<file path=docProps/custom.xml><?xml version="1.0" encoding="utf-8"?>
<Properties xmlns="http://schemas.openxmlformats.org/officeDocument/2006/custom-properties" xmlns:vt="http://schemas.openxmlformats.org/officeDocument/2006/docPropsVTypes"/>
</file>