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60.png" ContentType="image/png"/>
  <Override PartName="/word/media/rId64.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7" w:name="X7e352faca4f4abc41f11b7392747c843df7c7d0"/>
    <w:p>
      <w:pPr>
        <w:pStyle w:val="Heading1"/>
      </w:pPr>
      <w:r>
        <w:t xml:space="preserve">KCOR: Depletion-Neutralized Cohort Comparison via Gamma-Frailty Normalization Under Selection-Induced Hazard Curvature</w:t>
      </w:r>
    </w:p>
    <w:bookmarkStart w:id="9" w:name="X4835020d385acbc75dd50aaa05eda5f3dd08f94"/>
    <w:p>
      <w:pPr>
        <w:pStyle w:val="Heading2"/>
      </w:pPr>
      <w:r>
        <w:t xml:space="preserve">Manuscript metadata (for journal submission)</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Authors</w:t>
      </w:r>
      <w:r>
        <w:t xml:space="preserve">: TODO (names, degrees)</w:t>
      </w:r>
    </w:p>
    <w:p>
      <w:pPr>
        <w:pStyle w:val="Compact"/>
        <w:numPr>
          <w:ilvl w:val="0"/>
          <w:numId w:val="1001"/>
        </w:numPr>
      </w:pPr>
      <w:r>
        <w:rPr>
          <w:b/>
          <w:bCs/>
        </w:rPr>
        <w:t xml:space="preserve">Affiliations</w:t>
      </w:r>
      <w:r>
        <w:t xml:space="preserve">: TODO</w:t>
      </w:r>
    </w:p>
    <w:p>
      <w:pPr>
        <w:pStyle w:val="Compact"/>
        <w:numPr>
          <w:ilvl w:val="0"/>
          <w:numId w:val="1001"/>
        </w:numPr>
      </w:pPr>
      <w:r>
        <w:rPr>
          <w:b/>
          <w:bCs/>
        </w:rPr>
        <w:t xml:space="preserve">Corresponding author</w:t>
      </w:r>
      <w:r>
        <w:t xml:space="preserve">: TODO (email, address)</w:t>
      </w:r>
    </w:p>
    <w:p>
      <w:pPr>
        <w:pStyle w:val="Compact"/>
        <w:numPr>
          <w:ilvl w:val="0"/>
          <w:numId w:val="1001"/>
        </w:numPr>
      </w:pPr>
      <w:r>
        <w:rPr>
          <w:b/>
          <w:bCs/>
        </w:rPr>
        <w:t xml:space="preserve">Word count</w:t>
      </w:r>
      <w:r>
        <w:t xml:space="preserve">: TODO</w:t>
      </w:r>
    </w:p>
    <w:p>
      <w:pPr>
        <w:pStyle w:val="Compact"/>
        <w:numPr>
          <w:ilvl w:val="0"/>
          <w:numId w:val="1001"/>
        </w:numPr>
      </w:pPr>
      <w:r>
        <w:rPr>
          <w:b/>
          <w:bCs/>
        </w:rPr>
        <w:t xml:space="preserve">Keywords</w:t>
      </w:r>
      <w:r>
        <w:t xml:space="preserve">: selection bias; healthy vaccinee effect; non-proportional hazards; frailty; gamma frailty; negative controls; causal inference</w:t>
      </w:r>
    </w:p>
    <w:p>
      <w:r>
        <w:pict>
          <v:rect style="width:0;height:1.5pt" o:hralign="center" o:hrstd="t" o:hr="t"/>
        </w:pict>
      </w:r>
    </w:p>
    <w:bookmarkEnd w:id="9"/>
    <w:bookmarkStart w:id="10" w:name="abstract"/>
    <w:p>
      <w:pPr>
        <w:pStyle w:val="Heading2"/>
      </w:pPr>
      <w:r>
        <w:t xml:space="preserve">Abstract</w:t>
      </w:r>
    </w:p>
    <w:p>
      <w:pPr>
        <w:pStyle w:val="FirstParagraph"/>
      </w:pPr>
      <w:r>
        <w:t xml:space="preserve">Retrospective cohort studies often estimate the mortality impact of medical interventions, but selection can create non-exchangeable cohorts that defeat standard comparisons. In particular, selective uptake can induce systematic differences in mortality curvature—differences in the time-evolution of cohort hazards driven by frailty heterogeneity and depletion of susceptibles—that violate the assumptions of standard epidemiologic tools such as Cox proportional hazards models, age-standardized mortality rates, and inverse-probability weighting. We introduce</w:t>
      </w:r>
      <w:r>
        <w:t xml:space="preserve"> </w:t>
      </w:r>
      <w:r>
        <w:rPr>
          <w:b/>
          <w:bCs/>
        </w:rPr>
        <w:t xml:space="preserve">KCOR (Kirsch Cumulative Outcomes Ratio)</w:t>
      </w:r>
      <w:r>
        <w:t xml:space="preserve">, a method that neutralizes selection-induced curvature before cohort comparison by estimating and inverting a gamma-frailty mixture model in</w:t>
      </w:r>
      <w:r>
        <w:t xml:space="preserve"> </w:t>
      </w:r>
      <w:r>
        <w:rPr>
          <w:b/>
          <w:bCs/>
        </w:rPr>
        <w:t xml:space="preserve">cumulative-hazard space</w:t>
      </w:r>
      <w:r>
        <w:t xml:space="preserve">. KCOR v6 fits cohort-specific selection parameters during epidemiologically quiet periods and transforms observed cumulative hazards to depletion-neutralized baseline cumulative hazards, which are then compared cumulatively via ratios. We describe the KCOR framework, its mathematical foundation, and its validation using prespecified negative and positive control tests designed to stress selection-induced curvature. KCOR enables interpretable cumulative cohort comparisons in settings where treated and untreated hazards are non-proportional because selection induces different depletion dynamics.</w:t>
      </w:r>
    </w:p>
    <w:p>
      <w:r>
        <w:pict>
          <v:rect style="width:0;height:1.5pt" o:hralign="center" o:hrstd="t" o:hr="t"/>
        </w:pict>
      </w:r>
    </w:p>
    <w:bookmarkEnd w:id="10"/>
    <w:bookmarkStart w:id="18" w:name="introduction"/>
    <w:p>
      <w:pPr>
        <w:pStyle w:val="Heading2"/>
      </w:pPr>
      <w:r>
        <w:t xml:space="preserve">1. Introduction</w:t>
      </w:r>
    </w:p>
    <w:bookmarkStart w:id="11"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bookmarkEnd w:id="11"/>
    <w:bookmarkStart w:id="12"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 “curvature” is in cumulative-hazard space: if</w:t>
      </w:r>
      <w:r>
        <w:t xml:space="preserve"> </w:t>
      </w:r>
      <m:oMath>
        <m:r>
          <m:t>H</m:t>
        </m:r>
        <m:r>
          <m:rPr>
            <m:sty m:val="p"/>
          </m:rPr>
          <m:t>(</m:t>
        </m:r>
        <m:r>
          <m:t>t</m:t>
        </m:r>
        <m:r>
          <m:rPr>
            <m:sty m:val="p"/>
          </m:rPr>
          <m:t>)</m:t>
        </m:r>
      </m:oMath>
      <w:r>
        <w:t xml:space="preserve"> </w:t>
      </w:r>
      <w:r>
        <w:t xml:space="preserve">were perfectly linear over time then</w:t>
      </w:r>
      <w:r>
        <w:t xml:space="preserve"> </w:t>
      </w:r>
      <m:oMath>
        <m:sSup>
          <m:e>
            <m:r>
              <m:t>d</m:t>
            </m:r>
          </m:e>
          <m:sup>
            <m:r>
              <m:t>2</m:t>
            </m:r>
          </m:sup>
        </m:sSup>
        <m:r>
          <m:t>H</m:t>
        </m:r>
        <m:r>
          <m:rPr>
            <m:sty m:val="p"/>
          </m:rPr>
          <m:t>(</m:t>
        </m:r>
        <m:r>
          <m:t>t</m:t>
        </m:r>
        <m:r>
          <m:rPr>
            <m:sty m:val="p"/>
          </m:rPr>
          <m:t>)</m:t>
        </m:r>
        <m:r>
          <m:rPr>
            <m:sty m:val="p"/>
          </m:rPr>
          <m:t>/</m:t>
        </m:r>
        <m:r>
          <m:t>d</m:t>
        </m:r>
        <m:sSup>
          <m:e>
            <m:r>
              <m:t>t</m:t>
            </m:r>
          </m:e>
          <m:sup>
            <m:r>
              <m:t>2</m:t>
            </m:r>
          </m:sup>
        </m:sSup>
        <m:r>
          <m:rPr>
            <m:sty m:val="p"/>
          </m:rPr>
          <m:t>=</m:t>
        </m:r>
        <m:r>
          <m:t>0</m:t>
        </m:r>
      </m:oMath>
      <w:r>
        <w:t xml:space="preserve"> </w:t>
      </w:r>
      <w:r>
        <w:t xml:space="preserve">(or discrete second differences are near zero), whereas selection-induced depletion generally produces concavity in</w:t>
      </w:r>
      <w:r>
        <w:t xml:space="preserve"> </w:t>
      </w:r>
      <m:oMath>
        <m:sSup>
          <m:e>
            <m:r>
              <m:t>H</m:t>
            </m:r>
          </m:e>
          <m:sup>
            <m:r>
              <m:rPr>
                <m:sty m:val="p"/>
              </m:rPr>
              <m:t>o</m:t>
            </m:r>
            <m:r>
              <m:rPr>
                <m:sty m:val="p"/>
              </m:rPr>
              <m:t>b</m:t>
            </m:r>
            <m:r>
              <m:rPr>
                <m:sty m:val="p"/>
              </m:rPr>
              <m:t>s</m:t>
            </m:r>
          </m:sup>
        </m:sSup>
        <m:r>
          <m:rPr>
            <m:sty m:val="p"/>
          </m:rPr>
          <m:t>(</m:t>
        </m:r>
        <m:r>
          <m:t>t</m:t>
        </m:r>
        <m:r>
          <m:rPr>
            <m:sty m:val="p"/>
          </m:rPr>
          <m:t>)</m:t>
        </m:r>
      </m:oMath>
      <w:r>
        <w:t xml:space="preserve"> </w:t>
      </w:r>
      <w:r>
        <w:t xml:space="preserve">during otherwise stable periods.</w:t>
      </w:r>
    </w:p>
    <w:p>
      <w:pPr>
        <w:pStyle w:val="BodyText"/>
      </w:pPr>
      <w:r>
        <w:t xml:space="preserve">This violates core assumptions of many standard tools:</w:t>
      </w:r>
    </w:p>
    <w:p>
      <w:pPr>
        <w:pStyle w:val="Compact"/>
        <w:numPr>
          <w:ilvl w:val="0"/>
          <w:numId w:val="1002"/>
        </w:numPr>
      </w:pPr>
      <w:r>
        <w:rPr>
          <w:b/>
          <w:bCs/>
        </w:rPr>
        <w:t xml:space="preserve">Cox PH</w:t>
      </w:r>
      <w:r>
        <w:t xml:space="preserve">: assumes hazards differ by a time-invariant multiplicative factor (proportional hazards).</w:t>
      </w:r>
    </w:p>
    <w:p>
      <w:pPr>
        <w:pStyle w:val="Compact"/>
        <w:numPr>
          <w:ilvl w:val="0"/>
          <w:numId w:val="1002"/>
        </w:numPr>
      </w:pPr>
      <w:r>
        <w:rPr>
          <w:b/>
          <w:bCs/>
        </w:rPr>
        <w:t xml:space="preserve">IPTW / matching</w:t>
      </w:r>
      <w:r>
        <w:t xml:space="preserve">: can balance measured covariates yet fail to balance unmeasured frailty and the resulting depletion dynamics.</w:t>
      </w:r>
    </w:p>
    <w:p>
      <w:pPr>
        <w:pStyle w:val="Compact"/>
        <w:numPr>
          <w:ilvl w:val="0"/>
          <w:numId w:val="1002"/>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p>
    <w:bookmarkEnd w:id="12"/>
    <w:bookmarkStart w:id="16" w:name="X3f76dee37168b4797631ddc9e3d31862803de93"/>
    <w:p>
      <w:pPr>
        <w:pStyle w:val="Heading3"/>
      </w:pPr>
      <w:r>
        <w:t xml:space="preserve">1.3 Evidence from the literature: residual confounding despite meticulous matching</w:t>
      </w:r>
    </w:p>
    <w:p>
      <w:pPr>
        <w:pStyle w:val="FirstParagraph"/>
      </w:pPr>
      <w:r>
        <w:t xml:space="preserve">Two large, rigorously designed observational analyses illustrate the core empirical motivation: even extremely careful matching and adjustment can leave large residual differences in non-COVID mortality, indicating confounding and selection that standard pipelines do not eliminate.</w:t>
      </w:r>
    </w:p>
    <w:bookmarkStart w:id="13" w:name="Xbfb6a4beb5729d82767d37d57edb58ba18bba27"/>
    <w:p>
      <w:pPr>
        <w:pStyle w:val="Heading4"/>
      </w:pPr>
      <w:r>
        <w:t xml:space="preserve">1.3.1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1</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13"/>
    <w:bookmarkStart w:id="15" w:name="X3c4376cf0533c6140ceba8f12ccdbb5b9c9efc8"/>
    <w:p>
      <w:pPr>
        <w:pStyle w:val="Heading4"/>
      </w:pPr>
      <w:r>
        <w:t xml:space="preserve">1.3.2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2</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w:t>
      </w:r>
    </w:p>
    <w:bookmarkStart w:id="14" w:name="tbl:HVE_motivation"/>
    <w:p>
      <w:pPr>
        <w:pStyle w:val="TableCaption"/>
      </w:pPr>
      <w:r>
        <w:t xml:space="preserve">Table 1: Summary of two large matched observational studies demonstrating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demonstrat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1</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 “negative control methods indicate… substantial confounding”</w:t>
            </w:r>
          </w:p>
        </w:tc>
      </w:tr>
      <w:tr>
        <w:tc>
          <w:tcPr/>
          <w:p>
            <w:pPr>
              <w:pStyle w:val="Compact"/>
            </w:pPr>
            <w:r>
              <w:t xml:space="preserve">Chemaitelly et al. (Qatar)</w:t>
            </w:r>
            <w:r>
              <w:rPr>
                <w:vertAlign w:val="superscript"/>
              </w:rPr>
              <w:t xml:space="preserve">2</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14"/>
    <w:bookmarkEnd w:id="15"/>
    <w:bookmarkEnd w:id="16"/>
    <w:bookmarkStart w:id="17" w:name="contribution-of-this-work"/>
    <w:p>
      <w:pPr>
        <w:pStyle w:val="Heading3"/>
      </w:pPr>
      <w:r>
        <w:t xml:space="preserve">1.4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w:t>
      </w:r>
    </w:p>
    <w:p>
      <w:pPr>
        <w:pStyle w:val="BodyText"/>
      </w:pPr>
      <w:r>
        <w:t xml:space="preserve">This manuscript is</w:t>
      </w:r>
      <w:r>
        <w:t xml:space="preserve"> </w:t>
      </w:r>
      <w:r>
        <w:rPr>
          <w:b/>
          <w:bCs/>
        </w:rPr>
        <w:t xml:space="preserve">methods-only</w:t>
      </w:r>
      <w:r>
        <w:t xml:space="preserve">:</w:t>
      </w:r>
    </w:p>
    <w:p>
      <w:pPr>
        <w:pStyle w:val="Compact"/>
        <w:numPr>
          <w:ilvl w:val="0"/>
          <w:numId w:val="1003"/>
        </w:numPr>
      </w:pPr>
      <w:r>
        <w:t xml:space="preserve">We present the estimator, model assumptions, and uncertainty quantification.</w:t>
      </w:r>
    </w:p>
    <w:p>
      <w:pPr>
        <w:pStyle w:val="Compact"/>
        <w:numPr>
          <w:ilvl w:val="0"/>
          <w:numId w:val="1003"/>
        </w:numPr>
      </w:pPr>
      <w:r>
        <w:t xml:space="preserve">We validate the method using prespecified negative and positive controls designed to stress selection-induced curvature.</w:t>
      </w:r>
    </w:p>
    <w:p>
      <w:pPr>
        <w:pStyle w:val="Compact"/>
        <w:numPr>
          <w:ilvl w:val="0"/>
          <w:numId w:val="1003"/>
        </w:numPr>
      </w:pPr>
      <w:r>
        <w:t xml:space="preserve">We defer any applied real-world intervention conclusions to a separate, dedicated applied paper.</w:t>
      </w:r>
    </w:p>
    <w:p>
      <w:r>
        <w:pict>
          <v:rect style="width:0;height:1.5pt" o:hralign="center" o:hrstd="t" o:hr="t"/>
        </w:pict>
      </w:r>
    </w:p>
    <w:bookmarkEnd w:id="17"/>
    <w:bookmarkEnd w:id="18"/>
    <w:bookmarkStart w:id="53" w:name="methods"/>
    <w:p>
      <w:pPr>
        <w:pStyle w:val="Heading2"/>
      </w:pPr>
      <w:r>
        <w:t xml:space="preserve">2. Methods</w:t>
      </w:r>
    </w:p>
    <w:bookmarkStart w:id="19" w:name="tbl:notation"/>
    <w:p>
      <w:pPr>
        <w:pStyle w:val="TableCaption"/>
      </w:pPr>
      <w:r>
        <w:t xml:space="preserve">Table 2: Notation used throughout the Methods section.</w:t>
      </w:r>
    </w:p>
    <w:tbl>
      <w:tblPr>
        <w:tblStyle w:val="Table"/>
        <w:tblW w:type="pct" w:w="5000"/>
        <w:tblLayout w:type="fixed"/>
        <w:tblLook w:firstRow="1" w:lastRow="0" w:firstColumn="0" w:lastColumn="0" w:noHBand="0" w:noVBand="0" w:val="0020"/>
        <w:tblCaption w:val="Table 2: Notation used throughout the Methods section."/>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
              <m:r>
                <m:t>d</m:t>
              </m:r>
            </m:oMath>
          </w:p>
        </w:tc>
        <w:tc>
          <w:tcPr/>
          <w:p>
            <w:pPr>
              <w:pStyle w:val="Compact"/>
            </w:pPr>
            <w:r>
              <w:t xml:space="preserve">cohort index (enrollment definition × age group × dose/exposure)</w:t>
            </w:r>
          </w:p>
        </w:tc>
      </w:tr>
      <w:tr>
        <w:tc>
          <w:tcPr/>
          <w:p>
            <w:pPr>
              <w:pStyle w:val="Compact"/>
            </w:pPr>
            <m:oMath>
              <m:r>
                <m:t>t</m:t>
              </m:r>
            </m:oMath>
          </w:p>
        </w:tc>
        <w:tc>
          <w:tcPr/>
          <w:p>
            <w:pPr>
              <w:pStyle w:val="Compact"/>
            </w:pPr>
            <w:r>
              <w:t xml:space="preserve">event time since enrollment (discrete bins, e.g., weeks)</w:t>
            </w:r>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cohort hazard at time</w:t>
            </w:r>
            <w:r>
              <w:t xml:space="preserve"> </w:t>
            </w:r>
            <m:oMath>
              <m:r>
                <m:t>t</m:t>
              </m:r>
            </m:oMath>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 (after skip/stabilization)</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hazard for cohort</w:t>
            </w:r>
            <w:r>
              <w:t xml:space="preserve"> </w:t>
            </w:r>
            <m:oMath>
              <m:r>
                <m:t>d</m:t>
              </m:r>
            </m:oMath>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cumulative hazard</w:t>
            </w:r>
          </w:p>
        </w:tc>
      </w:tr>
      <w:tr>
        <w:tc>
          <w:tcPr/>
          <w:p>
            <w:pPr>
              <w:pStyle w:val="Compact"/>
            </w:pPr>
            <m:oMath>
              <m:sSub>
                <m:e>
                  <m:r>
                    <m:t>θ</m:t>
                  </m:r>
                </m:e>
                <m:sub>
                  <m:r>
                    <m:t>d</m:t>
                  </m:r>
                </m:sub>
              </m:sSub>
            </m:oMath>
          </w:p>
        </w:tc>
        <w:tc>
          <w:tcPr/>
          <w:p>
            <w:pPr>
              <w:pStyle w:val="Compact"/>
            </w:pPr>
            <w:r>
              <w:t xml:space="preserve">frailty variance (selection strength) for cohort</w:t>
            </w:r>
            <w:r>
              <w:t xml:space="preserve"> </w:t>
            </w:r>
            <m:oMath>
              <m:r>
                <m:t>d</m:t>
              </m:r>
            </m:oMath>
          </w:p>
        </w:tc>
      </w:tr>
      <w:tr>
        <w:tc>
          <w:tcPr/>
          <w:p>
            <w:pPr>
              <w:pStyle w:val="Compact"/>
            </w:pPr>
            <m:oMath>
              <m:sSub>
                <m:e>
                  <m:r>
                    <m:t>k</m:t>
                  </m:r>
                </m:e>
                <m:sub>
                  <m:r>
                    <m:t>d</m:t>
                  </m:r>
                </m:sub>
              </m:sSub>
            </m:oMath>
          </w:p>
        </w:tc>
        <w:tc>
          <w:tcPr/>
          <w:p>
            <w:pPr>
              <w:pStyle w:val="Compact"/>
            </w:pPr>
            <w:r>
              <w:t xml:space="preserve">baseline hazard level for cohort</w:t>
            </w:r>
            <w:r>
              <w:t xml:space="preserve"> </w:t>
            </w:r>
            <m:oMath>
              <m:r>
                <m:t>d</m:t>
              </m:r>
            </m:oMath>
            <w:r>
              <w:t xml:space="preserve"> </w:t>
            </w:r>
            <w:r>
              <w:t xml:space="preserve">under default baseline shape</w:t>
            </w:r>
          </w:p>
        </w:tc>
      </w:tr>
    </w:tbl>
    <w:bookmarkEnd w:id="19"/>
    <w:bookmarkStart w:id="20" w:name="X3cd5af7e7f64c4d54a11e3f31c65ccba93efc7a"/>
    <w:p>
      <w:pPr>
        <w:pStyle w:val="Heading3"/>
      </w:pPr>
      <w:r>
        <w:t xml:space="preserve">2.1 Conceptual framework: level vs curvature under selection</w:t>
      </w:r>
    </w:p>
    <w:p>
      <w:pPr>
        <w:pStyle w:val="FirstParagraph"/>
      </w:pPr>
      <w:r>
        <w:t xml:space="preserve">Differences in mortality between cohorts can arise from:</w:t>
      </w:r>
    </w:p>
    <w:p>
      <w:pPr>
        <w:pStyle w:val="Compact"/>
        <w:numPr>
          <w:ilvl w:val="0"/>
          <w:numId w:val="1004"/>
        </w:numPr>
      </w:pPr>
      <w:r>
        <w:rPr>
          <w:b/>
          <w:bCs/>
        </w:rPr>
        <w:t xml:space="preserve">Level effects</w:t>
      </w:r>
      <w:r>
        <w:t xml:space="preserve">: multiplicative shifts in hazard that are constant over time.</w:t>
      </w:r>
    </w:p>
    <w:p>
      <w:pPr>
        <w:pStyle w:val="Compact"/>
        <w:numPr>
          <w:ilvl w:val="0"/>
          <w:numId w:val="1004"/>
        </w:numPr>
      </w:pPr>
      <w:r>
        <w:rPr>
          <w:b/>
          <w:bCs/>
        </w:rPr>
        <w:t xml:space="preserve">Curvature effects</w:t>
      </w:r>
      <w:r>
        <w:t xml:space="preserve">: differences in the time-evolution of cohort hazards induced by heterogeneity and selective depletion.</w:t>
      </w:r>
    </w:p>
    <w:p>
      <w:pPr>
        <w:pStyle w:val="FirstParagraph"/>
      </w:pPr>
      <w:r>
        <w:t xml:space="preserve">Selection bias commonly produces curvature differences through frailty mixing and depletion. KCOR’s strategy is to</w:t>
      </w:r>
      <w:r>
        <w:t xml:space="preserve"> </w:t>
      </w:r>
      <w:r>
        <w:rPr>
          <w:b/>
          <w:bCs/>
        </w:rPr>
        <w:t xml:space="preserve">estimate and remove the selection-induced depletion component</w:t>
      </w:r>
      <w:r>
        <w:t xml:space="preserve">, then compare cohorts on a cumulative scale.</w:t>
      </w:r>
    </w:p>
    <w:bookmarkEnd w:id="20"/>
    <w:bookmarkStart w:id="21" w:name="cohort-construction-and-estimand"/>
    <w:p>
      <w:pPr>
        <w:pStyle w:val="Heading3"/>
      </w:pPr>
      <w:r>
        <w:t xml:space="preserve">2.2 Cohort construction and estimand</w:t>
      </w:r>
    </w:p>
    <w:p>
      <w:pPr>
        <w:pStyle w:val="FirstParagraph"/>
      </w:pPr>
      <w:r>
        <w:t xml:space="preserve">KCOR is defined for</w:t>
      </w:r>
      <w:r>
        <w:t xml:space="preserve"> </w:t>
      </w:r>
      <w:r>
        <w:rPr>
          <w:b/>
          <w:bCs/>
        </w:rPr>
        <w:t xml:space="preserve">fixed cohorts</w:t>
      </w:r>
      <w:r>
        <w:t xml:space="preserve"> </w:t>
      </w:r>
      <w:r>
        <w:t xml:space="preserve">at enrollment:</w:t>
      </w:r>
    </w:p>
    <w:p>
      <w:pPr>
        <w:pStyle w:val="Compact"/>
        <w:numPr>
          <w:ilvl w:val="0"/>
          <w:numId w:val="1005"/>
        </w:numPr>
      </w:pPr>
      <w:r>
        <w:t xml:space="preserve">Cohorts are fixed at enrollment and defined by intervention status at a specified time.</w:t>
      </w:r>
    </w:p>
    <w:p>
      <w:pPr>
        <w:pStyle w:val="Compact"/>
        <w:numPr>
          <w:ilvl w:val="0"/>
          <w:numId w:val="1005"/>
        </w:numPr>
      </w:pPr>
      <w:r>
        <w:t xml:space="preserve">No censoring or cohort switching is permitted in the primary estimand.</w:t>
      </w:r>
    </w:p>
    <w:p>
      <w:pPr>
        <w:pStyle w:val="Compact"/>
        <w:numPr>
          <w:ilvl w:val="0"/>
          <w:numId w:val="1005"/>
        </w:numPr>
      </w:pPr>
      <w:r>
        <w:t xml:space="preserve">Analysis proceeds in</w:t>
      </w:r>
      <w:r>
        <w:t xml:space="preserve"> </w:t>
      </w:r>
      <w:r>
        <w:rPr>
          <w:b/>
          <w:bCs/>
        </w:rPr>
        <w:t xml:space="preserve">event time</w:t>
      </w:r>
      <w:r>
        <w:t xml:space="preserve"> </w:t>
      </w:r>
      <m:oMath>
        <m:r>
          <m:t>t</m:t>
        </m:r>
      </m:oMath>
      <w:r>
        <w:t xml:space="preserve"> </w:t>
      </w:r>
      <w:r>
        <w:t xml:space="preserve">(time since enrollment).</w:t>
      </w:r>
    </w:p>
    <w:p>
      <w:pPr>
        <w:pStyle w:val="FirstParagraph"/>
      </w:pPr>
      <w:r>
        <w:t xml:space="preserve">This fixed-cohort design corresponds to an intent-to-treat–like estimand under selection. It is chosen deliberately to avoid time-varying deferral bias, immortal time bias, and dynamic health-based sorting that arise when individuals change exposure status during follow-up. Dynamic “as-treated” formulations are treated as sensitivity analyses rather than primary estimands.</w:t>
      </w:r>
    </w:p>
    <w:bookmarkEnd w:id="21"/>
    <w:bookmarkStart w:id="24" w:name="X217ef8b21ee5f5d43c75156094bead796d55408"/>
    <w:p>
      <w:pPr>
        <w:pStyle w:val="Heading3"/>
      </w:pPr>
      <w:r>
        <w:t xml:space="preserve">2.3 Hazard estimation and cumulative hazards (discrete time)</w:t>
      </w:r>
    </w:p>
    <w:p>
      <w:pPr>
        <w:pStyle w:val="FirstParagraph"/>
      </w:pPr>
      <w:r>
        <w:t xml:space="preserve">Let</w:t>
      </w:r>
      <w:r>
        <w:t xml:space="preserve"> </w:t>
      </w:r>
      <m:oMath>
        <m:r>
          <m:t>t</m:t>
        </m:r>
      </m:oMath>
      <w:r>
        <w:t xml:space="preserve"> </w:t>
      </w:r>
      <w:r>
        <w:t xml:space="preserve">denote event time since enrollment (e.g., weeks),</w:t>
      </w:r>
      <w:r>
        <w:t xml:space="preserve"> </w:t>
      </w:r>
      <m:oMath>
        <m:sSub>
          <m:e>
            <m:r>
              <m:t>D</m:t>
            </m:r>
          </m:e>
          <m:sub>
            <m:r>
              <m:t>d</m:t>
            </m:r>
          </m:sub>
        </m:sSub>
        <m:r>
          <m:rPr>
            <m:sty m:val="p"/>
          </m:rPr>
          <m:t>(</m:t>
        </m:r>
        <m:r>
          <m:t>t</m:t>
        </m:r>
        <m:r>
          <m:rPr>
            <m:sty m:val="p"/>
          </m:rPr>
          <m:t>)</m:t>
        </m:r>
      </m:oMath>
      <w:r>
        <w:t xml:space="preserve"> </w:t>
      </w:r>
      <w:r>
        <w:t xml:space="preserve">deaths during interval</w:t>
      </w:r>
      <w:r>
        <w:t xml:space="preserve"> </w:t>
      </w:r>
      <m:oMath>
        <m:r>
          <m:t>t</m:t>
        </m:r>
      </m:oMath>
      <w:r>
        <w:t xml:space="preserve"> </w:t>
      </w:r>
      <w:r>
        <w:t xml:space="preserve">in cohort</w:t>
      </w:r>
      <w:r>
        <w:t xml:space="preserve"> </w:t>
      </w:r>
      <m:oMath>
        <m:r>
          <m:t>d</m:t>
        </m:r>
      </m:oMath>
      <w:r>
        <w:t xml:space="preserve">, and</w:t>
      </w:r>
      <w:r>
        <w:t xml:space="preserve"> </w:t>
      </w:r>
      <m:oMath>
        <m:sSub>
          <m:e>
            <m:r>
              <m:t>N</m:t>
            </m:r>
          </m:e>
          <m:sub>
            <m:r>
              <m:t>d</m:t>
            </m:r>
          </m:sub>
        </m:sSub>
        <m:r>
          <m:rPr>
            <m:sty m:val="p"/>
          </m:rPr>
          <m:t>(</m:t>
        </m:r>
        <m:r>
          <m:t>t</m:t>
        </m:r>
        <m:r>
          <m:rPr>
            <m:sty m:val="p"/>
          </m:rPr>
          <m:t>)</m:t>
        </m:r>
      </m:oMath>
      <w:r>
        <w:t xml:space="preserve"> </w:t>
      </w:r>
      <w:r>
        <w:t xml:space="preserve">the number at risk at the start of interval</w:t>
      </w:r>
      <w:r>
        <w:t xml:space="preserve"> </w:t>
      </w:r>
      <m:oMath>
        <m:r>
          <m:t>t</m:t>
        </m:r>
      </m:oMath>
      <w:r>
        <w:t xml:space="preserve">. In discrete time, hazards are treated as piecewise-constant and can be computed from interval risk as</w:t>
      </w:r>
    </w:p>
    <w:p>
      <w:pPr>
        <w:pStyle w:val="BodyText"/>
      </w:pPr>
      <w:bookmarkStart w:id="22" w:name="eq:hazard-discrete"/>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ln</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r>
            <m:t>  </m:t>
          </m:r>
          <m:r>
            <m:rPr>
              <m:sty m:val="p"/>
            </m:rPr>
            <m:t>(</m:t>
          </m:r>
          <m:r>
            <m:t>1</m:t>
          </m:r>
          <m:r>
            <m:rPr>
              <m:sty m:val="p"/>
            </m:rPr>
            <m:t>)</m:t>
          </m:r>
        </m:oMath>
      </m:oMathPara>
      <w:bookmarkEnd w:id="22"/>
    </w:p>
    <w:p>
      <w:pPr>
        <w:pStyle w:val="FirstParagraph"/>
      </w:pPr>
      <w:r>
        <w:t xml:space="preserve">We work primarily in</w:t>
      </w:r>
      <w:r>
        <w:t xml:space="preserve"> </w:t>
      </w:r>
      <w:r>
        <w:rPr>
          <w:b/>
          <w:bCs/>
        </w:rPr>
        <w:t xml:space="preserve">cumulative-hazard space</w:t>
      </w:r>
      <w:r>
        <w:t xml:space="preserve">, accumulating observed hazards after an optional stabilization skip (see §2.7):</w:t>
      </w:r>
    </w:p>
    <w:p>
      <w:pPr>
        <w:pStyle w:val="BodyText"/>
      </w:pPr>
      <w:bookmarkStart w:id="23" w:name="eq:cumhazard-obser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t> </m:t>
          </m:r>
          <m:r>
            <m:rPr>
              <m:sty m:val="p"/>
            </m:rPr>
            <m:t>Δ</m:t>
          </m:r>
          <m:r>
            <m:t>t</m:t>
          </m:r>
          <m:r>
            <m:rPr>
              <m:sty m:val="p"/>
            </m:rPr>
            <m:t>,</m:t>
          </m:r>
          <m:r>
            <m:t>  </m:t>
          </m:r>
          <m:r>
            <m:rPr>
              <m:sty m:val="p"/>
            </m:rPr>
            <m:t>Δ</m:t>
          </m:r>
          <m:r>
            <m:t>t</m:t>
          </m:r>
          <m:r>
            <m:rPr>
              <m:sty m:val="p"/>
            </m:rPr>
            <m:t>=</m:t>
          </m:r>
          <m:r>
            <m:t>1</m:t>
          </m:r>
          <m:r>
            <m:rPr>
              <m:nor/>
              <m:sty m:val="p"/>
            </m:rPr>
            <m:t> (one time bin)</m:t>
          </m:r>
          <m:r>
            <m:rPr>
              <m:sty m:val="p"/>
            </m:rPr>
            <m:t>.</m:t>
          </m:r>
          <m:r>
            <m:t>  </m:t>
          </m:r>
          <m:r>
            <m:rPr>
              <m:sty m:val="p"/>
            </m:rPr>
            <m:t>(</m:t>
          </m:r>
          <m:r>
            <m:t>2</m:t>
          </m:r>
          <m:r>
            <m:rPr>
              <m:sty m:val="p"/>
            </m:rPr>
            <m:t>)</m:t>
          </m:r>
        </m:oMath>
      </m:oMathPara>
      <w:bookmarkEnd w:id="23"/>
    </w:p>
    <w:bookmarkEnd w:id="24"/>
    <w:bookmarkStart w:id="37" w:name="Xe033a348c5bd6b05b57c8d9f7299f5850ccd667"/>
    <w:p>
      <w:pPr>
        <w:pStyle w:val="Heading3"/>
      </w:pPr>
      <w:r>
        <w:t xml:space="preserve">2.4 Selection model: gamma frailty and the cumulative-hazard identity</w:t>
      </w:r>
    </w:p>
    <w:bookmarkStart w:id="26" w:name="X1613f91e2d32d239863b345c5f5c082f741e4a2"/>
    <w:p>
      <w:pPr>
        <w:pStyle w:val="Heading4"/>
      </w:pPr>
      <w:r>
        <w:t xml:space="preserve">2.4.1 Individual hazards with multiplicative frailty</w:t>
      </w:r>
    </w:p>
    <w:p>
      <w:pPr>
        <w:pStyle w:val="FirstParagraph"/>
      </w:pPr>
      <w:r>
        <w:t xml:space="preserve">Model individual hazards in cohort</w:t>
      </w:r>
      <w:r>
        <w:t xml:space="preserve"> </w:t>
      </w:r>
      <m:oMath>
        <m:r>
          <m:t>d</m:t>
        </m:r>
      </m:oMath>
      <w:r>
        <w:t xml:space="preserve"> </w:t>
      </w:r>
      <w:r>
        <w:t xml:space="preserve">as multiplicative frailty on top of a baseline hazard:</w:t>
      </w:r>
    </w:p>
    <w:p>
      <w:pPr>
        <w:pStyle w:val="BodyText"/>
      </w:pPr>
      <w:bookmarkStart w:id="25" w:name="eq:individual-hazard-frailty"/>
      <m:oMathPara>
        <m:oMathParaPr>
          <m:jc m:val="center"/>
        </m:oMathParaP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r>
            <m:t>  </m:t>
          </m:r>
          <m:r>
            <m:rPr>
              <m:sty m:val="p"/>
            </m:rPr>
            <m:t>(</m:t>
          </m:r>
          <m:r>
            <m:t>3</m:t>
          </m:r>
          <m:r>
            <m:rPr>
              <m:sty m:val="p"/>
            </m:rPr>
            <m:t>)</m:t>
          </m:r>
        </m:oMath>
      </m:oMathPara>
      <w:bookmarkEnd w:id="25"/>
    </w:p>
    <w:p>
      <w:pPr>
        <w:pStyle w:val="FirstParagraph"/>
      </w:pPr>
      <w:r>
        <w:t xml:space="preserve">Gamma frailty is used not as a claim of biological truth, but as a mathematically minimal and widely used model for unobserved heterogeneity whose Laplace transform yields a closed-form relationship between observed and baseline cumulative hazards. In KCOR, gamma frailty is therefore a</w:t>
      </w:r>
      <w:r>
        <w:t xml:space="preserve"> </w:t>
      </w:r>
      <w:r>
        <w:rPr>
          <w:b/>
          <w:bCs/>
        </w:rPr>
        <w:t xml:space="preserve">depletion-neutralizing approximation</w:t>
      </w:r>
      <w:r>
        <w:t xml:space="preserve">: its adequacy is treated as empirically testable and is assessed using prespecified negative controls and sensitivity analyses rather than assumed dogmatically.</w:t>
      </w:r>
    </w:p>
    <w:p>
      <w:pPr>
        <w:pStyle w:val="BodyText"/>
      </w:pPr>
      <w:r>
        <w:t xml:space="preserve">Frailty</w:t>
      </w:r>
      <w:r>
        <w:t xml:space="preserve"> </w:t>
      </w:r>
      <m:oMath>
        <m:sSub>
          <m:e>
            <m:r>
              <m:t>z</m:t>
            </m:r>
          </m:e>
          <m:sub>
            <m:r>
              <m:t>i</m:t>
            </m:r>
            <m:r>
              <m:rPr>
                <m:sty m:val="p"/>
              </m:rPr>
              <m:t>,</m:t>
            </m:r>
            <m:r>
              <m:t>d</m:t>
            </m:r>
          </m:sub>
        </m:sSub>
      </m:oMath>
      <w:r>
        <w:t xml:space="preserve"> </w:t>
      </w:r>
      <w:r>
        <w:t xml:space="preserve">captures latent heterogeneity in baseline risk and drives selective depletion: higher-frailty individuals die earlier, changing the cohort composition over time and inducing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even when</w:t>
      </w:r>
      <w:r>
        <w:t xml:space="preserve"> </w:t>
      </w:r>
      <m:oMath>
        <m:sSub>
          <m:e>
            <m:r>
              <m:t>h</m:t>
            </m:r>
          </m:e>
          <m:sub>
            <m:r>
              <m:t>0</m:t>
            </m:r>
            <m:r>
              <m:rPr>
                <m:sty m:val="p"/>
              </m:rPr>
              <m:t>,</m:t>
            </m:r>
            <m:r>
              <m:t>d</m:t>
            </m:r>
          </m:sub>
        </m:sSub>
        <m:r>
          <m:rPr>
            <m:sty m:val="p"/>
          </m:rPr>
          <m:t>(</m:t>
        </m:r>
        <m:r>
          <m:t>t</m:t>
        </m:r>
        <m:r>
          <m:rPr>
            <m:sty m:val="p"/>
          </m:rPr>
          <m:t>)</m:t>
        </m:r>
      </m:oMath>
      <w:r>
        <w:t xml:space="preserve"> </w:t>
      </w:r>
      <w:r>
        <w:t xml:space="preserve">is simple.</w:t>
      </w:r>
    </w:p>
    <w:bookmarkEnd w:id="26"/>
    <w:bookmarkStart w:id="34" w:name="gamma-frailty-identity-core-mathematics"/>
    <w:p>
      <w:pPr>
        <w:pStyle w:val="Heading4"/>
      </w:pPr>
      <w:r>
        <w:t xml:space="preserve">2.4.2 Gamma-frailty identity (core mathematics)</w:t>
      </w:r>
    </w:p>
    <w:p>
      <w:pPr>
        <w:pStyle w:val="FirstParagraph"/>
      </w:pPr>
      <w:r>
        <w:t xml:space="preserve">Let the baseline cumulative hazard be</w:t>
      </w:r>
    </w:p>
    <w:p>
      <w:pPr>
        <w:pStyle w:val="BodyText"/>
      </w:pPr>
      <w:bookmarkStart w:id="27" w:name="eq:baseline-cumhazard"/>
      <m:oMathPara>
        <m:oMathParaPr>
          <m:jc m:val="center"/>
        </m:oMathParaP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r>
            <m:rPr>
              <m:sty m:val="p"/>
            </m:rPr>
            <m:t>.</m:t>
          </m:r>
          <m:r>
            <m:t>  </m:t>
          </m:r>
          <m:r>
            <m:rPr>
              <m:sty m:val="p"/>
            </m:rPr>
            <m:t>(</m:t>
          </m:r>
          <m:r>
            <m:t>4</m:t>
          </m:r>
          <m:r>
            <m:rPr>
              <m:sty m:val="p"/>
            </m:rPr>
            <m:t>)</m:t>
          </m:r>
        </m:oMath>
      </m:oMathPara>
      <w:bookmarkEnd w:id="27"/>
    </w:p>
    <w:p>
      <w:pPr>
        <w:pStyle w:val="FirstParagraph"/>
      </w:pPr>
      <w:r>
        <w:t xml:space="preserve">Integrating over gamma frailty yields a closed-form relationship between the observed cohort cumulative hazard and the baseline cumulative hazard:</w:t>
      </w:r>
    </w:p>
    <w:p>
      <w:pPr>
        <w:pStyle w:val="BodyText"/>
      </w:pPr>
      <w:bookmarkStart w:id="28" w:name="eq:gamma-frailty-identity"/>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r>
            <m:t>  </m:t>
          </m:r>
          <m:r>
            <m:rPr>
              <m:sty m:val="p"/>
            </m:rPr>
            <m:t>(</m:t>
          </m:r>
          <m:r>
            <m:t>5</m:t>
          </m:r>
          <m:r>
            <m:rPr>
              <m:sty m:val="p"/>
            </m:rPr>
            <m:t>)</m:t>
          </m:r>
        </m:oMath>
      </m:oMathPara>
      <w:bookmarkEnd w:id="28"/>
    </w:p>
    <w:p>
      <w:pPr>
        <w:pStyle w:val="FirstParagraph"/>
      </w:pPr>
      <w:r>
        <w:t xml:space="preserve">This identity can be inverted exactly:</w:t>
      </w:r>
    </w:p>
    <w:p>
      <w:pPr>
        <w:pStyle w:val="BodyText"/>
      </w:pPr>
      <w:bookmarkStart w:id="29" w:name="eq:gamma-frailty-inversion"/>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sSup>
                <m:e>
                  <m:r>
                    <m:t>e</m:t>
                  </m:r>
                </m:e>
                <m:sup>
                  <m:sSub>
                    <m:e>
                      <m:r>
                        <m:t>θ</m:t>
                      </m:r>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r>
                    <m:t>θ</m:t>
                  </m:r>
                </m:e>
                <m:sub>
                  <m:r>
                    <m:t>d</m:t>
                  </m:r>
                </m:sub>
              </m:sSub>
            </m:den>
          </m:f>
          <m:r>
            <m:rPr>
              <m:sty m:val="p"/>
            </m:rPr>
            <m:t>.</m:t>
          </m:r>
          <m:r>
            <m:t>  </m:t>
          </m:r>
          <m:r>
            <m:rPr>
              <m:sty m:val="p"/>
            </m:rPr>
            <m:t>(</m:t>
          </m:r>
          <m:r>
            <m:t>6</m:t>
          </m:r>
          <m:r>
            <m:rPr>
              <m:sty m:val="p"/>
            </m:rPr>
            <m:t>)</m:t>
          </m:r>
        </m:oMath>
      </m:oMathPara>
      <w:bookmarkEnd w:id="29"/>
    </w:p>
    <w:p>
      <w:pPr>
        <w:pStyle w:val="FirstParagraph"/>
      </w:pPr>
      <w:r>
        <w:t xml:space="preserve">This inversion is the</w:t>
      </w:r>
      <w:r>
        <w:t xml:space="preserve"> </w:t>
      </w:r>
      <w:r>
        <w:rPr>
          <w:b/>
          <w:bCs/>
        </w:rPr>
        <w:t xml:space="preserve">KCOR v6 normalization step</w:t>
      </w:r>
      <w:r>
        <w:t xml:space="preserve">: it transforms the observed cumulative hazard into a depletion-neutralized baseline cumulative hazard for each cohort.</w:t>
      </w:r>
    </w:p>
    <w:bookmarkStart w:id="33" w:name="fig:kcor_v6_schematic"/>
    <w:p>
      <w:pPr>
        <w:pStyle w:val="CaptionedFigure"/>
      </w:pPr>
      <w:r>
        <w:drawing>
          <wp:inline>
            <wp:extent cx="5334000" cy="1417316"/>
            <wp:effectExtent b="0" l="0" r="0" t="0"/>
            <wp:docPr descr="Figure 1: Three-panel schematic illustrating the KCOR v6 normalization logic. Left: individual hazards differ only by multiplicative frailty z, with no treatment effect. Middle: aggregation over heterogeneous frailty induces cohort-level curvature in observed cumulative hazards H^{\mathrm{obs}}(t) despite identical baseline hazards. Right: inversion of the gamma-frailty identity recovers aligned baseline cumulative hazards H_0(t), demonstrating depletion-neutralization." title="" id="31" name="Picture"/>
            <a:graphic>
              <a:graphicData uri="http://schemas.openxmlformats.org/drawingml/2006/picture">
                <pic:pic>
                  <pic:nvPicPr>
                    <pic:cNvPr descr="figures/fig1_kcor_v6_schematic.png" id="32" name="Picture"/>
                    <pic:cNvPicPr>
                      <a:picLocks noChangeArrowheads="1" noChangeAspect="1"/>
                    </pic:cNvPicPr>
                  </pic:nvPicPr>
                  <pic:blipFill>
                    <a:blip r:embed="rId30"/>
                    <a:stretch>
                      <a:fillRect/>
                    </a:stretch>
                  </pic:blipFill>
                  <pic:spPr bwMode="auto">
                    <a:xfrm>
                      <a:off x="0" y="0"/>
                      <a:ext cx="5334000" cy="1417316"/>
                    </a:xfrm>
                    <a:prstGeom prst="rect">
                      <a:avLst/>
                    </a:prstGeom>
                    <a:noFill/>
                    <a:ln w="9525">
                      <a:noFill/>
                      <a:headEnd/>
                      <a:tailEnd/>
                    </a:ln>
                  </pic:spPr>
                </pic:pic>
              </a:graphicData>
            </a:graphic>
          </wp:inline>
        </w:drawing>
      </w:r>
    </w:p>
    <w:p>
      <w:pPr>
        <w:pStyle w:val="ImageCaption"/>
      </w:pPr>
      <w:r>
        <w:t xml:space="preserve">Figure 1: Three-panel schematic illustrating the KCOR v6 normalization logic. Left: individual hazards differ only by multiplicative frailty</w:t>
      </w:r>
      <w:r>
        <w:t xml:space="preserve"> </w:t>
      </w:r>
      <m:oMath>
        <m:r>
          <m:t>z</m:t>
        </m:r>
      </m:oMath>
      <w:r>
        <w:t xml:space="preserve">, with no treatment effect. Middle: aggregation over heterogeneous frailty induces cohort-level curvature in observed cumulative hazards</w:t>
      </w:r>
      <w:r>
        <w:t xml:space="preserve"> </w:t>
      </w:r>
      <m:oMath>
        <m:sSup>
          <m:e>
            <m:r>
              <m:t>H</m:t>
            </m:r>
          </m:e>
          <m:sup>
            <m:r>
              <m:rPr>
                <m:sty m:val="p"/>
              </m:rPr>
              <m:t>o</m:t>
            </m:r>
            <m:r>
              <m:rPr>
                <m:sty m:val="p"/>
              </m:rPr>
              <m:t>b</m:t>
            </m:r>
            <m:r>
              <m:rPr>
                <m:sty m:val="p"/>
              </m:rPr>
              <m:t>s</m:t>
            </m:r>
          </m:sup>
        </m:sSup>
        <m:r>
          <m:rPr>
            <m:sty m:val="p"/>
          </m:rPr>
          <m:t>(</m:t>
        </m:r>
        <m:r>
          <m:t>t</m:t>
        </m:r>
        <m:r>
          <m:rPr>
            <m:sty m:val="p"/>
          </m:rPr>
          <m:t>)</m:t>
        </m:r>
      </m:oMath>
      <w:r>
        <w:t xml:space="preserve"> </w:t>
      </w:r>
      <w:r>
        <w:t xml:space="preserve">despite identical baseline hazards. Right: inversion of the gamma-frailty identity recovers aligned baseline cumulative hazards</w:t>
      </w:r>
      <w:r>
        <w:t xml:space="preserve"> </w:t>
      </w:r>
      <m:oMath>
        <m:sSub>
          <m:e>
            <m:r>
              <m:t>H</m:t>
            </m:r>
          </m:e>
          <m:sub>
            <m:r>
              <m:t>0</m:t>
            </m:r>
          </m:sub>
        </m:sSub>
        <m:r>
          <m:rPr>
            <m:sty m:val="p"/>
          </m:rPr>
          <m:t>(</m:t>
        </m:r>
        <m:r>
          <m:t>t</m:t>
        </m:r>
        <m:r>
          <m:rPr>
            <m:sty m:val="p"/>
          </m:rPr>
          <m:t>)</m:t>
        </m:r>
      </m:oMath>
      <w:r>
        <w:t xml:space="preserve">, demonstrating depletion-neutralization.</w:t>
      </w:r>
    </w:p>
    <w:bookmarkEnd w:id="33"/>
    <w:bookmarkEnd w:id="34"/>
    <w:bookmarkStart w:id="36" w:name="baseline-shape-for-fitting-default"/>
    <w:p>
      <w:pPr>
        <w:pStyle w:val="Heading4"/>
      </w:pPr>
      <w:r>
        <w:t xml:space="preserve">2.4.3 Baseline shape for fitting (default)</w:t>
      </w:r>
    </w:p>
    <w:p>
      <w:pPr>
        <w:pStyle w:val="FirstParagraph"/>
      </w:pPr>
      <w:r>
        <w:t xml:space="preserve">To identify</w:t>
      </w:r>
      <w:r>
        <w:t xml:space="preserve"> </w:t>
      </w:r>
      <m:oMath>
        <m:sSub>
          <m:e>
            <m:r>
              <m:t>θ</m:t>
            </m:r>
          </m:e>
          <m:sub>
            <m:r>
              <m:t>d</m:t>
            </m:r>
          </m:sub>
        </m:sSub>
      </m:oMath>
      <w:r>
        <w:t xml:space="preserve"> </w:t>
      </w:r>
      <w:r>
        <w:t xml:space="preserve">from data, KCOR fits the gamma-frailty model during epidemiologically quiet periods. In the reference specification, the baseline time-shape is taken to be constant over the fit window:</w:t>
      </w:r>
    </w:p>
    <w:p>
      <w:pPr>
        <w:pStyle w:val="BodyText"/>
      </w:pPr>
      <w:bookmarkStart w:id="35" w:name="eq:baseline-shape-default"/>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g</m:t>
          </m:r>
          <m:r>
            <m:rPr>
              <m:sty m:val="p"/>
            </m:rPr>
            <m:t>(</m:t>
          </m:r>
          <m:r>
            <m:t>t</m:t>
          </m:r>
          <m:r>
            <m:rPr>
              <m:sty m:val="p"/>
            </m:rPr>
            <m:t>)</m:t>
          </m:r>
          <m:r>
            <m:rPr>
              <m:sty m:val="p"/>
            </m:rPr>
            <m:t>,</m:t>
          </m:r>
          <m:r>
            <m:t>  </m:t>
          </m:r>
          <m:r>
            <m:t>g</m:t>
          </m:r>
          <m:r>
            <m:rPr>
              <m:sty m:val="p"/>
            </m:rPr>
            <m:t>(</m:t>
          </m:r>
          <m:r>
            <m:t>t</m:t>
          </m:r>
          <m:r>
            <m:rPr>
              <m:sty m:val="p"/>
            </m:rPr>
            <m:t>)</m:t>
          </m:r>
          <m:r>
            <m:rPr>
              <m:sty m:val="p"/>
            </m:rPr>
            <m:t>=</m:t>
          </m:r>
          <m:r>
            <m:t>1</m:t>
          </m:r>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t</m:t>
          </m:r>
          <m:r>
            <m:rPr>
              <m:sty m:val="p"/>
            </m:rPr>
            <m:t>.</m:t>
          </m:r>
          <m:r>
            <m:t>  </m:t>
          </m:r>
          <m:r>
            <m:rPr>
              <m:sty m:val="p"/>
            </m:rPr>
            <m:t>(</m:t>
          </m:r>
          <m:r>
            <m:t>7</m:t>
          </m:r>
          <m:r>
            <m:rPr>
              <m:sty m:val="p"/>
            </m:rPr>
            <m:t>)</m:t>
          </m:r>
        </m:oMath>
      </m:oMathPara>
      <w:bookmarkEnd w:id="35"/>
    </w:p>
    <w:p>
      <w:pPr>
        <w:pStyle w:val="FirstParagraph"/>
      </w:pPr>
      <w:r>
        <w:t xml:space="preserve">This choice minimizes degrees of freedom and forces curvature during quiet periods to be explained by selection (frailty) rather than by an explicit time-varying baseline.</w:t>
      </w:r>
    </w:p>
    <w:bookmarkEnd w:id="36"/>
    <w:bookmarkEnd w:id="37"/>
    <w:bookmarkStart w:id="42"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p>
      <w:pPr>
        <w:pStyle w:val="BodyText"/>
      </w:pPr>
      <w:bookmarkStart w:id="38" w:name="eq:hobs-model"/>
      <m:oMathPara>
        <m:oMathParaPr>
          <m:jc m:val="center"/>
        </m:oMathParaP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r>
            <m:t>  </m:t>
          </m:r>
          <m:r>
            <m:rPr>
              <m:sty m:val="p"/>
            </m:rPr>
            <m:t>(</m:t>
          </m:r>
          <m:r>
            <m:t>8</m:t>
          </m:r>
          <m:r>
            <m:rPr>
              <m:sty m:val="p"/>
            </m:rPr>
            <m:t>)</m:t>
          </m:r>
        </m:oMath>
      </m:oMathPara>
      <w:bookmarkEnd w:id="38"/>
    </w:p>
    <w:p>
      <w:pPr>
        <w:pStyle w:val="FirstParagraph"/>
      </w:pPr>
      <w:r>
        <w:t xml:space="preserve">Identifiability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comes from curvature in cumulative-hazard space: the mapping</w:t>
      </w:r>
      <w:r>
        <w:t xml:space="preserve"> </w:t>
      </w:r>
      <m:oMath>
        <m:r>
          <m:t>t</m:t>
        </m:r>
        <m:r>
          <m:rPr>
            <m:sty m:val="p"/>
          </m:rPr>
          <m:t>↦</m:t>
        </m:r>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nonlinear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naturally drives</w:t>
      </w:r>
      <w:r>
        <w:t xml:space="preserve"> </w:t>
      </w:r>
      <m:oMath>
        <m:sSub>
          <m:e>
            <m:acc>
              <m:accPr>
                <m:chr m:val="̂"/>
              </m:accPr>
              <m:e>
                <m:r>
                  <m:t>θ</m:t>
                </m:r>
              </m:e>
            </m:acc>
          </m:e>
          <m:sub>
            <m:r>
              <m:t>d</m:t>
            </m:r>
          </m:sub>
        </m:sSub>
        <m:r>
          <m:rPr>
            <m:sty m:val="p"/>
          </m:rPr>
          <m:t>≈</m:t>
        </m:r>
        <m:r>
          <m:t>0</m:t>
        </m:r>
      </m:oMath>
      <w:r>
        <w:t xml:space="preserve">;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w:t>
      </w:r>
    </w:p>
    <w:p>
      <w:pPr>
        <w:pStyle w:val="BodyText"/>
      </w:pPr>
      <w:r>
        <w:t xml:space="preserve">Parameters are estimated by constrained nonlinear least squares:</w:t>
      </w:r>
    </w:p>
    <w:p>
      <w:pPr>
        <w:pStyle w:val="BodyText"/>
      </w:pPr>
      <w:bookmarkStart w:id="39" w:name="eq:nls-objective"/>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limLow>
            <m:e>
              <m:r>
                <m:rPr>
                  <m:sty m:val="p"/>
                </m:rPr>
                <m:t>min</m:t>
              </m:r>
            </m:e>
            <m:lim>
              <m:sSub>
                <m:e>
                  <m:r>
                    <m:t>k</m:t>
                  </m:r>
                </m:e>
                <m:sub>
                  <m:r>
                    <m:t>d</m:t>
                  </m:r>
                </m:sub>
              </m:sSub>
              <m:r>
                <m:rPr>
                  <m:sty m:val="p"/>
                </m:rPr>
                <m:t>&gt;</m:t>
              </m:r>
              <m:r>
                <m:t>0</m:t>
              </m:r>
              <m:r>
                <m:rPr>
                  <m:sty m:val="p"/>
                </m:rPr>
                <m:t>,</m:t>
              </m:r>
              <m:r>
                <m:t> </m:t>
              </m:r>
              <m:sSub>
                <m:e>
                  <m:r>
                    <m:t>θ</m:t>
                  </m:r>
                </m:e>
                <m:sub>
                  <m:r>
                    <m:t>d</m:t>
                  </m:r>
                </m:sub>
              </m:sSub>
              <m:r>
                <m:rPr>
                  <m:sty m:val="p"/>
                </m:rPr>
                <m:t>≥</m:t>
              </m:r>
              <m:r>
                <m:t>0</m:t>
              </m:r>
            </m:lim>
          </m:limLow>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r>
            <m:t>  </m:t>
          </m:r>
          <m:r>
            <m:rPr>
              <m:sty m:val="p"/>
            </m:rPr>
            <m:t>(</m:t>
          </m:r>
          <m:r>
            <m:t>9</m:t>
          </m:r>
          <m:r>
            <m:rPr>
              <m:sty m:val="p"/>
            </m:rPr>
            <m:t>)</m:t>
          </m:r>
        </m:oMath>
      </m:oMathPara>
      <w:bookmarkEnd w:id="39"/>
    </w:p>
    <w:p>
      <w:pPr>
        <w:pStyle w:val="FirstParagraph"/>
      </w:pPr>
      <w:r>
        <w:t xml:space="preserve">We fit in cumulative-hazard space rather than maximizing a likelihood because the primary inputs are discrete-time, cohort-aggregated hazards and the objective is stable estimation of selection-induced depletion curvature during quiet periods. Least squares on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41"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v6 defaults are:</w:t>
      </w:r>
    </w:p>
    <w:p>
      <w:pPr>
        <w:pStyle w:val="Compact"/>
        <w:numPr>
          <w:ilvl w:val="0"/>
          <w:numId w:val="1006"/>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06"/>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06"/>
        </w:numPr>
      </w:pPr>
      <w:r>
        <w:rPr>
          <w:b/>
          <w:bCs/>
        </w:rPr>
        <w:t xml:space="preserve">Observed hazard transform used to build</w:t>
      </w:r>
      <w:r>
        <w:rPr>
          <w:b/>
          <w:bCs/>
        </w:rPr>
        <w:t xml:space="preserve"> </w:t>
      </w:r>
      <m:oMath>
        <m:sSubSup>
          <m:e>
            <m:r>
              <m:t>H</m:t>
            </m:r>
          </m:e>
          <m:sub>
            <m:r>
              <m:t>d</m:t>
            </m:r>
          </m:sub>
          <m:sup>
            <m:r>
              <m:rPr>
                <m:sty m:val="p"/>
              </m:rPr>
              <m:t>o</m:t>
            </m:r>
            <m:r>
              <m:rPr>
                <m:sty m:val="p"/>
              </m:rPr>
              <m:t>b</m:t>
            </m:r>
            <m:r>
              <m:rPr>
                <m:sty m:val="p"/>
              </m:rPr>
              <m:t>s</m:t>
            </m:r>
          </m:sup>
        </m:sSubSup>
      </m:oMath>
      <w:r>
        <w:rPr>
          <w:b/>
          <w:bCs/>
        </w:rPr>
        <w:t xml:space="preserve"> </w:t>
      </w:r>
      <w:r>
        <w:rPr>
          <w:b/>
          <w:bCs/>
        </w:rPr>
        <w:t xml:space="preserve">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p>
      <w:pPr>
        <w:pStyle w:val="FirstParagraph"/>
      </w:pPr>
      <w:bookmarkStart w:id="40" w:name="eq:hazard-from-mr-impro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r>
            <m:t>  </m:t>
          </m:r>
          <m:r>
            <m:rPr>
              <m:sty m:val="p"/>
            </m:rPr>
            <m:t>(</m:t>
          </m:r>
          <m:r>
            <m:t>10</m:t>
          </m:r>
          <m:r>
            <m:rPr>
              <m:sty m:val="p"/>
            </m:rPr>
            <m:t>)</m:t>
          </m:r>
        </m:oMath>
      </m:oMathPara>
      <w:bookmarkEnd w:id="40"/>
    </w:p>
    <w:p>
      <w:pPr>
        <w:pStyle w:val="Compact"/>
        <w:numPr>
          <w:ilvl w:val="0"/>
          <w:numId w:val="1007"/>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07"/>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41"/>
    <w:bookmarkEnd w:id="42"/>
    <w:bookmarkStart w:id="45"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p>
      <w:pPr>
        <w:pStyle w:val="BodyText"/>
      </w:pPr>
      <w:bookmarkStart w:id="43" w:name="eq:normalized-cumhazard"/>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sSup>
                <m:e>
                  <m:r>
                    <m:t>e</m:t>
                  </m:r>
                </m:e>
                <m:sup>
                  <m:sSub>
                    <m:e>
                      <m:acc>
                        <m:accPr>
                          <m:chr m:val="̂"/>
                        </m:accPr>
                        <m:e>
                          <m:r>
                            <m:t>θ</m:t>
                          </m:r>
                        </m:e>
                      </m:acc>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acc>
                    <m:accPr>
                      <m:chr m:val="̂"/>
                    </m:accPr>
                    <m:e>
                      <m:r>
                        <m:t>θ</m:t>
                      </m:r>
                    </m:e>
                  </m:acc>
                </m:e>
                <m:sub>
                  <m:r>
                    <m:t>d</m:t>
                  </m:r>
                </m:sub>
              </m:sSub>
            </m:den>
          </m:f>
          <m:r>
            <m:rPr>
              <m:sty m:val="p"/>
            </m:rPr>
            <m:t>.</m:t>
          </m:r>
          <m:r>
            <m:t>  </m:t>
          </m:r>
          <m:r>
            <m:rPr>
              <m:sty m:val="p"/>
            </m:rPr>
            <m:t>(</m:t>
          </m:r>
          <m:r>
            <m:t>11</m:t>
          </m:r>
          <m:r>
            <m:rPr>
              <m:sty m:val="p"/>
            </m:rPr>
            <m:t>)</m:t>
          </m:r>
        </m:oMath>
      </m:oMathPara>
      <w:bookmarkEnd w:id="43"/>
    </w:p>
    <w:p>
      <w:pPr>
        <w:pStyle w:val="FirstParagraph"/>
      </w:pPr>
      <w:r>
        <w:t xml:space="preserve">An adjusted hazard may be recovered by differencing:</w:t>
      </w:r>
    </w:p>
    <w:p>
      <w:pPr>
        <w:pStyle w:val="BodyText"/>
      </w:pPr>
      <w:bookmarkStart w:id="44" w:name="eq:normalized-hazard-diff"/>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r>
            <m:t>  </m:t>
          </m:r>
          <m:r>
            <m:rPr>
              <m:sty m:val="p"/>
            </m:rPr>
            <m:t>(</m:t>
          </m:r>
          <m:r>
            <m:t>12</m:t>
          </m:r>
          <m:r>
            <m:rPr>
              <m:sty m:val="p"/>
            </m:rPr>
            <m:t>)</m:t>
          </m:r>
        </m:oMath>
      </m:oMathPara>
      <w:bookmarkEnd w:id="44"/>
    </w:p>
    <w:p>
      <w:pPr>
        <w:pStyle w:val="FirstParagraph"/>
      </w:pPr>
      <w:r>
        <w:t xml:space="preserve">The key object for KCOR is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differenced hazards are optional diagnostics.</w:t>
      </w:r>
    </w:p>
    <w:bookmarkEnd w:id="45"/>
    <w:bookmarkStart w:id="47"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w:t>
      </w:r>
    </w:p>
    <w:p>
      <w:pPr>
        <w:pStyle w:val="BodyText"/>
      </w:pPr>
      <w:r>
        <w:t xml:space="preserve">In discrete time, define an effective hazard for accumulation:</w:t>
      </w:r>
    </w:p>
    <w:p>
      <w:pPr>
        <w:pStyle w:val="BodyText"/>
      </w:pPr>
      <w:bookmarkStart w:id="46" w:name="eq:effective-hazard-skip"/>
      <m:oMathPara>
        <m:oMathParaPr>
          <m:jc m:val="center"/>
        </m:oMathParaP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r>
            <m:t>  </m:t>
          </m:r>
          <m:r>
            <m:rPr>
              <m:sty m:val="p"/>
            </m:rPr>
            <m:t>(</m:t>
          </m:r>
          <m:r>
            <m:t>13</m:t>
          </m:r>
          <m:r>
            <m:rPr>
              <m:sty m:val="p"/>
            </m:rPr>
            <m:t>)</m:t>
          </m:r>
        </m:oMath>
      </m:oMathPara>
      <w:bookmarkEnd w:id="46"/>
    </w:p>
    <w:p>
      <w:pPr>
        <w:pStyle w:val="FirstParagraph"/>
      </w:pPr>
      <w:r>
        <w:t xml:space="preserve">Then compute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bookmarkEnd w:id="47"/>
    <w:bookmarkStart w:id="49" w:name="kcor-estimator-v6"/>
    <w:p>
      <w:pPr>
        <w:pStyle w:val="Heading3"/>
      </w:pPr>
      <w:r>
        <w:t xml:space="preserve">2.8 KCOR estimator (v6)</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p>
      <w:pPr>
        <w:pStyle w:val="BodyText"/>
      </w:pPr>
      <w:bookmarkStart w:id="48" w:name="eq:kcor-estimato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r>
            <m:t>  </m:t>
          </m:r>
          <m:r>
            <m:rPr>
              <m:sty m:val="p"/>
            </m:rPr>
            <m:t>(</m:t>
          </m:r>
          <m:r>
            <m:t>14</m:t>
          </m:r>
          <m:r>
            <m:rPr>
              <m:sty m:val="p"/>
            </m:rPr>
            <m:t>)</m:t>
          </m:r>
        </m:oMath>
      </m:oMathPara>
      <w:bookmarkEnd w:id="48"/>
    </w:p>
    <w:p>
      <w:pPr>
        <w:pStyle w:val="FirstParagraph"/>
      </w:pPr>
      <w:r>
        <w:t xml:space="preserve">This is a cumulative comparison in hazard space after removing cohort-specific selection-induced depletion dynamics estimated during quiet periods.</w:t>
      </w:r>
    </w:p>
    <w:bookmarkEnd w:id="49"/>
    <w:bookmarkStart w:id="50" w:name="uncertainty-quantification"/>
    <w:p>
      <w:pPr>
        <w:pStyle w:val="Heading3"/>
      </w:pPr>
      <w:r>
        <w:t xml:space="preserve">2.9 Uncertainty quantification</w:t>
      </w:r>
    </w:p>
    <w:p>
      <w:pPr>
        <w:pStyle w:val="FirstParagraph"/>
      </w:pPr>
      <w:r>
        <w:t xml:space="preserve">KCOR can be equipped with uncertainty intervals via:</w:t>
      </w:r>
    </w:p>
    <w:p>
      <w:pPr>
        <w:pStyle w:val="Compact"/>
        <w:numPr>
          <w:ilvl w:val="0"/>
          <w:numId w:val="1008"/>
        </w:numPr>
      </w:pPr>
      <w:r>
        <w:rPr>
          <w:b/>
          <w:bCs/>
        </w:rPr>
        <w:t xml:space="preserve">Analytic variance propagation</w:t>
      </w:r>
      <w:r>
        <w:t xml:space="preserve"> </w:t>
      </w:r>
      <w:r>
        <w:t xml:space="preserve">for cumulative hazards combined with delta-method approximations for the ratio, and/or</w:t>
      </w:r>
    </w:p>
    <w:p>
      <w:pPr>
        <w:pStyle w:val="Compact"/>
        <w:numPr>
          <w:ilvl w:val="0"/>
          <w:numId w:val="1008"/>
        </w:numPr>
      </w:pPr>
      <w:r>
        <w:rPr>
          <w:b/>
          <w:bCs/>
        </w:rPr>
        <w:t xml:space="preserve">Monte Carlo resampling</w:t>
      </w:r>
      <w:r>
        <w:t xml:space="preserve"> </w:t>
      </w:r>
      <w:r>
        <w:t xml:space="preserve">to capture uncertainty from event realization and from estimation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and the resulting normalization.</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50"/>
    <w:bookmarkStart w:id="52" w:name="Xf552aaad3b83b889e2d08c64d65c17176bae771"/>
    <w:p>
      <w:pPr>
        <w:pStyle w:val="Heading3"/>
      </w:pPr>
      <w:r>
        <w:t xml:space="preserve">2.10 Algorithm summary and reproducibility checklist</w:t>
      </w:r>
    </w:p>
    <w:bookmarkStart w:id="51" w:name="tbl:KCOR_algorithm"/>
    <w:p>
      <w:pPr>
        <w:pStyle w:val="TableCaption"/>
      </w:pPr>
      <w:r>
        <w:t xml:space="preserve">Table 3: Step-by-step KCOR v6 algorithm (high-level), with recommended prespecification and diagnostics.</w:t>
      </w:r>
    </w:p>
    <w:tbl>
      <w:tblPr>
        <w:tblStyle w:val="Table"/>
        <w:tblW w:type="pct" w:w="5000"/>
        <w:tblLayout w:type="fixed"/>
        <w:tblLook w:firstRow="1" w:lastRow="0" w:firstColumn="0" w:lastColumn="0" w:noHBand="0" w:noVBand="0" w:val="0020"/>
        <w:tblCaption w:val="Table 3: Step-by-step KCOR v6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hazards</w:t>
            </w:r>
          </w:p>
        </w:tc>
        <w:tc>
          <w:tcPr/>
          <w:p>
            <w:pPr>
              <w:pStyle w:val="Compact"/>
            </w:pPr>
            <w:r>
              <w:t xml:space="preserve">Yes (skip rule)</w:t>
            </w:r>
          </w:p>
        </w:tc>
        <w:tc>
          <w:tcPr/>
          <w:p>
            <w:pPr>
              <w:pStyle w:val="Compact"/>
            </w:pPr>
            <w:r>
              <w:t xml:space="preserve">Plot</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via cumulative-hazard least squares</w:t>
            </w:r>
          </w:p>
        </w:tc>
        <w:tc>
          <w:tcPr/>
          <w:p>
            <w:pPr>
              <w:pStyle w:val="Compact"/>
            </w:pPr>
            <m:oMath>
              <m:sSub>
                <m:e>
                  <m:acc>
                    <m:accPr>
                      <m:chr m:val="̂"/>
                    </m:accPr>
                    <m:e>
                      <m:r>
                        <m:t>k</m:t>
                      </m:r>
                    </m:e>
                  </m:acc>
                </m:e>
                <m:sub>
                  <m:r>
                    <m:t>d</m:t>
                  </m:r>
                </m:sub>
              </m:sSub>
              <m:r>
                <m:rPr>
                  <m:sty m:val="p"/>
                </m:rPr>
                <m:t>,</m:t>
              </m:r>
              <m:sSub>
                <m:e>
                  <m:acc>
                    <m:accPr>
                      <m:chr m:val="̂"/>
                    </m:accPr>
                    <m:e>
                      <m:r>
                        <m:t>θ</m:t>
                      </m:r>
                    </m:e>
                  </m:acc>
                </m:e>
                <m:sub>
                  <m:r>
                    <m:t>d</m:t>
                  </m:r>
                </m:sub>
              </m:sSub>
            </m:oMath>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w:t>
            </w:r>
            <w:r>
              <w:t xml:space="preserve"> </w:t>
            </w:r>
            <m:oMath>
              <m:sSub>
                <m:e>
                  <m:acc>
                    <m:accPr>
                      <m:chr m:val="̃"/>
                    </m:accPr>
                    <m:e>
                      <m:r>
                        <m:t>H</m:t>
                      </m:r>
                    </m:e>
                  </m:acc>
                </m:e>
                <m:sub>
                  <m:r>
                    <m:t>0</m:t>
                  </m:r>
                  <m:r>
                    <m:rPr>
                      <m:sty m:val="p"/>
                    </m:rPr>
                    <m:t>,</m:t>
                  </m:r>
                  <m:r>
                    <m:t>d</m:t>
                  </m:r>
                </m:sub>
              </m:sSub>
              <m:r>
                <m:rPr>
                  <m:sty m:val="p"/>
                </m:rPr>
                <m:t>(</m:t>
              </m:r>
              <m:r>
                <m:t>t</m:t>
              </m:r>
              <m:r>
                <m:rPr>
                  <m:sty m:val="p"/>
                </m:rPr>
                <m:t>)</m:t>
              </m:r>
            </m:oMath>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KCOR</w:t>
            </w:r>
            <m:oMath>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51"/>
    <w:p>
      <w:r>
        <w:pict>
          <v:rect style="width:0;height:1.5pt" o:hralign="center" o:hrstd="t" o:hr="t"/>
        </w:pict>
      </w:r>
    </w:p>
    <w:bookmarkEnd w:id="52"/>
    <w:bookmarkEnd w:id="53"/>
    <w:bookmarkStart w:id="81"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09"/>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09"/>
        </w:numPr>
      </w:pPr>
      <w:r>
        <w:rPr>
          <w:b/>
          <w:bCs/>
        </w:rPr>
        <w:t xml:space="preserve">Positive controls (detect injected effects):</w:t>
      </w:r>
      <w:r>
        <w:t xml:space="preserve"> </w:t>
      </w:r>
      <w:r>
        <w:t xml:space="preserve">when known harm/benefit is injected into otherwise-null data, KCOR reliably detects it.</w:t>
      </w:r>
    </w:p>
    <w:bookmarkStart w:id="70" w:name="X250d2743dd947cd04209f9dc9cf02b545517230"/>
    <w:p>
      <w:pPr>
        <w:pStyle w:val="Heading3"/>
      </w:pPr>
      <w:r>
        <w:t xml:space="preserve">3.1 Negative controls: null under selection-induced curvature</w:t>
      </w:r>
    </w:p>
    <w:bookmarkStart w:id="59"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10"/>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10"/>
        </w:numPr>
      </w:pPr>
      <w:r>
        <w:t xml:space="preserve">Two cohorts have different frailty variance</w:t>
      </w:r>
      <w:r>
        <w:t xml:space="preserve"> </w:t>
      </w:r>
      <m:oMath>
        <m:r>
          <m:t>θ</m:t>
        </m:r>
      </m:oMath>
      <w:r>
        <w:t xml:space="preserve"> </w:t>
      </w:r>
      <w:r>
        <w:t xml:space="preserve">(or different selection rules), creating different cohort-level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w:t>
      </w:r>
    </w:p>
    <w:p>
      <w:pPr>
        <w:pStyle w:val="Compact"/>
        <w:numPr>
          <w:ilvl w:val="0"/>
          <w:numId w:val="1010"/>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during quiet periods and applying gamma-frailty inversion, KCOR should remain approximately constant at 1 over follow-up.</w:t>
      </w:r>
    </w:p>
    <w:bookmarkStart w:id="58"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11"/>
        </w:numPr>
      </w:pPr>
      <w:r>
        <w:t xml:space="preserve">Time unit: weeks.</w:t>
      </w:r>
    </w:p>
    <w:p>
      <w:pPr>
        <w:pStyle w:val="Compact"/>
        <w:numPr>
          <w:ilvl w:val="0"/>
          <w:numId w:val="1011"/>
        </w:numPr>
      </w:pPr>
      <w:r>
        <w:t xml:space="preserve">Baseline hazard shape:</w:t>
      </w:r>
      <w:r>
        <w:t xml:space="preserve"> </w:t>
      </w:r>
      <m:oMath>
        <m:r>
          <m:t>g</m:t>
        </m:r>
        <m:r>
          <m:rPr>
            <m:sty m:val="p"/>
          </m:rPr>
          <m:t>(</m:t>
        </m:r>
        <m:r>
          <m:t>t</m:t>
        </m:r>
        <m:r>
          <m:rPr>
            <m:sty m:val="p"/>
          </m:rPr>
          <m:t>)</m:t>
        </m:r>
        <m:r>
          <m:rPr>
            <m:sty m:val="p"/>
          </m:rPr>
          <m:t>=</m:t>
        </m:r>
        <m:r>
          <m:t>1</m:t>
        </m:r>
      </m:oMath>
      <w:r>
        <w:t xml:space="preserve"> </w:t>
      </w:r>
      <w:r>
        <w:t xml:space="preserve">during quiet periods; choose a baseline level</w:t>
      </w:r>
      <w:r>
        <w:t xml:space="preserve"> </w:t>
      </w:r>
      <m:oMath>
        <m:r>
          <m:t>k</m:t>
        </m:r>
      </m:oMath>
      <w:r>
        <w:t xml:space="preserve"> </w:t>
      </w:r>
      <w:r>
        <w:t xml:space="preserve">in the chosen time units.</w:t>
      </w:r>
    </w:p>
    <w:p>
      <w:pPr>
        <w:pStyle w:val="Compact"/>
        <w:numPr>
          <w:ilvl w:val="0"/>
          <w:numId w:val="1011"/>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11"/>
        </w:numPr>
      </w:pPr>
      <w:r>
        <w:t xml:space="preserve">Cohort B:</w:t>
      </w:r>
      <w:r>
        <w:t xml:space="preserve"> </w:t>
      </w:r>
      <m:oMath>
        <m:sSub>
          <m:e>
            <m:r>
              <m:t>θ</m:t>
            </m:r>
          </m:e>
          <m:sub>
            <m:r>
              <m:t>B</m:t>
            </m:r>
          </m:sub>
        </m:sSub>
        <m:r>
          <m:rPr>
            <m:sty m:val="p"/>
          </m:rPr>
          <m:t>&gt;</m:t>
        </m:r>
        <m:r>
          <m:t>0</m:t>
        </m:r>
      </m:oMath>
      <w:r>
        <w:t xml:space="preserve"> </w:t>
      </w:r>
      <w:r>
        <w:t xml:space="preserve">(weaker depletion).</w:t>
      </w:r>
    </w:p>
    <w:bookmarkStart w:id="57" w:name="fig:neg_control_synthetic"/>
    <w:p>
      <w:pPr>
        <w:pStyle w:val="CaptionedFigure"/>
      </w:pPr>
      <w:r>
        <w:drawing>
          <wp:inline>
            <wp:extent cx="5334000" cy="1562036"/>
            <wp:effectExtent b="0" l="0" r="0" t="0"/>
            <wp:docPr descr="Figure 2: Synthetic negative control under strong selection (different curvature) but no effect: KCOR remains flat at 1. (TODO: generate figure for submission package.)" title="" id="55" name="Picture"/>
            <a:graphic>
              <a:graphicData uri="http://schemas.openxmlformats.org/drawingml/2006/picture">
                <pic:pic>
                  <pic:nvPicPr>
                    <pic:cNvPr descr="figures/fig_todo_placeholder.png" id="56" name="Picture"/>
                    <pic:cNvPicPr>
                      <a:picLocks noChangeArrowheads="1" noChangeAspect="1"/>
                    </pic:cNvPicPr>
                  </pic:nvPicPr>
                  <pic:blipFill>
                    <a:blip r:embed="rId54"/>
                    <a:stretch>
                      <a:fillRect/>
                    </a:stretch>
                  </pic:blipFill>
                  <pic:spPr bwMode="auto">
                    <a:xfrm>
                      <a:off x="0" y="0"/>
                      <a:ext cx="5334000" cy="1562036"/>
                    </a:xfrm>
                    <a:prstGeom prst="rect">
                      <a:avLst/>
                    </a:prstGeom>
                    <a:noFill/>
                    <a:ln w="9525">
                      <a:noFill/>
                      <a:headEnd/>
                      <a:tailEnd/>
                    </a:ln>
                  </pic:spPr>
                </pic:pic>
              </a:graphicData>
            </a:graphic>
          </wp:inline>
        </w:drawing>
      </w:r>
    </w:p>
    <w:p>
      <w:pPr>
        <w:pStyle w:val="ImageCaption"/>
      </w:pPr>
      <w:r>
        <w:t xml:space="preserve">Figure 2: Synthetic negative control under strong selection (different curvature) but no effect: KCOR remains flat at 1. (TODO: generate figure for submission package.)</w:t>
      </w:r>
    </w:p>
    <w:bookmarkEnd w:id="57"/>
    <w:bookmarkEnd w:id="58"/>
    <w:bookmarkEnd w:id="59"/>
    <w:bookmarkStart w:id="69" w:name="X245cc31d763a0fb39bda81fbe46e34dde7a0bdc"/>
    <w:p>
      <w:pPr>
        <w:pStyle w:val="Heading4"/>
      </w:pPr>
      <w:r>
        <w:t xml:space="preserve">3.1.2 Empirical “within-category” negative control (already implemented in repo)</w:t>
      </w:r>
    </w:p>
    <w:p>
      <w:pPr>
        <w:pStyle w:val="FirstParagraph"/>
      </w:pPr>
      <w:r>
        <w:t xml:space="preserve">The repository includes a pragmatic negative control construction that repurposes a real dataset by comparing “like with like” 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 KCOR trajectories demonstrate that the estimator neutralizes selection-induced depletion curvature without introducing spurious time trends or cumulative drift.</w:t>
      </w:r>
    </w:p>
    <w:p>
      <w:pPr>
        <w:pStyle w:val="BodyText"/>
      </w:pPr>
      <w:r>
        <w:t xml:space="preserve">Two snapshots illustrate that KCOR is near-flat even under 10–20 year age differences:</w:t>
      </w:r>
    </w:p>
    <w:bookmarkStart w:id="63" w:name="fig:neg_control_10yr"/>
    <w:p>
      <w:pPr>
        <w:pStyle w:val="CaptionedFigure"/>
      </w:pPr>
      <w:r>
        <w:drawing>
          <wp:inline>
            <wp:extent cx="5334000" cy="2773680"/>
            <wp:effectExtent b="0" l="0" r="0" t="0"/>
            <wp:docPr descr="Figure 3: Empirical negative control with approximately 10-year age difference between cohorts. Despite large baseline mortality differences, KCOR remains near-flat at 1 over follow-up, consistent with a true null effect." title="" id="61" name="Picture"/>
            <a:graphic>
              <a:graphicData uri="http://schemas.openxmlformats.org/drawingml/2006/picture">
                <pic:pic>
                  <pic:nvPicPr>
                    <pic:cNvPr descr="figures/fig2_neg_control_10yr_age_diff.png" id="62" name="Picture"/>
                    <pic:cNvPicPr>
                      <a:picLocks noChangeArrowheads="1" noChangeAspect="1"/>
                    </pic:cNvPicPr>
                  </pic:nvPicPr>
                  <pic:blipFill>
                    <a:blip r:embed="rId60"/>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3: Empirical negative control with approximately 10-year age difference between cohorts. Despite large baseline mortality differences, KCOR remains near-flat at 1 over follow-up, consistent with a true null effect.</w:t>
      </w:r>
    </w:p>
    <w:bookmarkEnd w:id="63"/>
    <w:bookmarkStart w:id="67" w:name="fig:neg_control_20yr"/>
    <w:p>
      <w:pPr>
        <w:pStyle w:val="CaptionedFigure"/>
      </w:pPr>
      <w:r>
        <w:drawing>
          <wp:inline>
            <wp:extent cx="5334000" cy="2810466"/>
            <wp:effectExtent b="0" l="0" r="0" t="0"/>
            <wp:docPr descr="Figure 4: Empirical negative control with approximately 20-year age difference between cohorts. Even under extreme composition differences, KCOR exhibits no systematic drift, demonstrating robustness to selection-induced curvature." title="" id="65" name="Picture"/>
            <a:graphic>
              <a:graphicData uri="http://schemas.openxmlformats.org/drawingml/2006/picture">
                <pic:pic>
                  <pic:nvPicPr>
                    <pic:cNvPr descr="figures/fig3_neg_control_20yr_age_diff.png" id="66" name="Picture"/>
                    <pic:cNvPicPr>
                      <a:picLocks noChangeArrowheads="1" noChangeAspect="1"/>
                    </pic:cNvPicPr>
                  </pic:nvPicPr>
                  <pic:blipFill>
                    <a:blip r:embed="rId64"/>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4: Empirical negative control with approximately 20-year age difference between cohorts. Even under extreme composition differences, KCOR exhibits no systematic drift, demonstrating robustness to selection-induced curvature.</w:t>
      </w:r>
    </w:p>
    <w:bookmarkEnd w:id="67"/>
    <w:bookmarkStart w:id="68" w:name="tbl:neg_control_summary"/>
    <w:p>
      <w:pPr>
        <w:pStyle w:val="TableCaption"/>
      </w:pPr>
      <w:r>
        <w:t xml:space="preserve">Table 4: Example end-of-window KCOR values from the empirical negative control (pooled/ASMR summaries), demonstrating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4: Example end-of-window KCOR values from the empirical negative control (pooled/ASMR summaries), demonstrat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68"/>
    <w:bookmarkEnd w:id="69"/>
    <w:bookmarkEnd w:id="70"/>
    <w:bookmarkStart w:id="76" w:name="Xf5c6845e7014ee8ad1d757d99d9071bc85f02f3"/>
    <w:p>
      <w:pPr>
        <w:pStyle w:val="Heading3"/>
      </w:pPr>
      <w:r>
        <w:t xml:space="preserve">3.2 Positive controls: detect injected harm/benefit</w:t>
      </w:r>
    </w:p>
    <w:p>
      <w:pPr>
        <w:pStyle w:val="FirstParagraph"/>
      </w:pPr>
      <w:r>
        <w:t xml:space="preserve">Positive controls are constructed by starting from a negative-control dataset and injecting a known effect into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p>
      <w:pPr>
        <w:pStyle w:val="BodyText"/>
      </w:pPr>
      <w:bookmarkStart w:id="71" w:name="eq:pos-control-injection"/>
      <m:oMathPara>
        <m:oMathParaPr>
          <m:jc m:val="center"/>
        </m:oMathParaP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r>
            <m:t>  </m:t>
          </m:r>
          <m:r>
            <m:rPr>
              <m:sty m:val="p"/>
            </m:rPr>
            <m:t>(</m:t>
          </m:r>
          <m:r>
            <m:t>15</m:t>
          </m:r>
          <m:r>
            <m:rPr>
              <m:sty m:val="p"/>
            </m:rPr>
            <m:t>)</m:t>
          </m:r>
        </m:oMath>
      </m:oMathPara>
      <w:bookmarkEnd w:id="71"/>
    </w:p>
    <w:p>
      <w:pPr>
        <w:pStyle w:val="FirstParagraph"/>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w:t>
      </w:r>
    </w:p>
    <w:bookmarkStart w:id="74" w:name="fig:pos_control_injected"/>
    <w:p>
      <w:pPr>
        <w:pStyle w:val="CaptionedFigure"/>
      </w:pPr>
      <w:r>
        <w:drawing>
          <wp:inline>
            <wp:extent cx="5334000" cy="1562036"/>
            <wp:effectExtent b="0" l="0" r="0" t="0"/>
            <wp:docPr descr="Figure 5: Positive control with injected effect (benefit/harm) shows clear deviation from KCOR=1, with uncertainty intervals excluding 1 over the injected interval. (TODO: generate figure for submission package.)" title="" id="72" name="Picture"/>
            <a:graphic>
              <a:graphicData uri="http://schemas.openxmlformats.org/drawingml/2006/picture">
                <pic:pic>
                  <pic:nvPicPr>
                    <pic:cNvPr descr="figures/fig_todo_placeholder.png" id="73" name="Picture"/>
                    <pic:cNvPicPr>
                      <a:picLocks noChangeArrowheads="1" noChangeAspect="1"/>
                    </pic:cNvPicPr>
                  </pic:nvPicPr>
                  <pic:blipFill>
                    <a:blip r:embed="rId54"/>
                    <a:stretch>
                      <a:fillRect/>
                    </a:stretch>
                  </pic:blipFill>
                  <pic:spPr bwMode="auto">
                    <a:xfrm>
                      <a:off x="0" y="0"/>
                      <a:ext cx="5334000" cy="1562036"/>
                    </a:xfrm>
                    <a:prstGeom prst="rect">
                      <a:avLst/>
                    </a:prstGeom>
                    <a:noFill/>
                    <a:ln w="9525">
                      <a:noFill/>
                      <a:headEnd/>
                      <a:tailEnd/>
                    </a:ln>
                  </pic:spPr>
                </pic:pic>
              </a:graphicData>
            </a:graphic>
          </wp:inline>
        </w:drawing>
      </w:r>
    </w:p>
    <w:p>
      <w:pPr>
        <w:pStyle w:val="ImageCaption"/>
      </w:pPr>
      <w:r>
        <w:t xml:space="preserve">Figure 5: Positive control with injected effect (benefit/harm) shows clear deviation from KCOR</w:t>
      </w:r>
      <m:oMath>
        <m:r>
          <m:rPr>
            <m:sty m:val="p"/>
          </m:rPr>
          <m:t>=</m:t>
        </m:r>
        <m:r>
          <m:t>1</m:t>
        </m:r>
      </m:oMath>
      <w:r>
        <w:t xml:space="preserve">, with uncertainty intervals excluding 1 over the injected interval. (TODO: generate figure for submission package.)</w:t>
      </w:r>
    </w:p>
    <w:bookmarkEnd w:id="74"/>
    <w:bookmarkStart w:id="75" w:name="tbl:pos_control_summary"/>
    <w:p>
      <w:pPr>
        <w:pStyle w:val="TableCaption"/>
      </w:pPr>
      <w:r>
        <w:t xml:space="preserve">Table 5: Positive control results comparing injected hazard multipliers to detected KCOR deviations. (TODO: populate after generating positive control runs.)</w:t>
      </w:r>
    </w:p>
    <w:tbl>
      <w:tblPr>
        <w:tblStyle w:val="Table"/>
        <w:tblW w:type="pct" w:w="5000"/>
        <w:tblLayout w:type="fixed"/>
        <w:tblLook w:firstRow="1" w:lastRow="0" w:firstColumn="0" w:lastColumn="0" w:noHBand="0" w:noVBand="0" w:val="0020"/>
        <w:tblCaption w:val="Table 5: Positive control results comparing injected hazard multipliers to detected KCOR deviations. (TODO: populate after generating positive control runs.)"/>
      </w:tblPr>
      <w:tblGrid>
        <w:gridCol w:w="1485"/>
        <w:gridCol w:w="1485"/>
        <w:gridCol w:w="1980"/>
        <w:gridCol w:w="1485"/>
        <w:gridCol w:w="1485"/>
      </w:tblGrid>
      <w:tr>
        <w:trPr>
          <w:tblHeader w:val="on"/>
        </w:trPr>
        <w:tc>
          <w:tcPr/>
          <w:p>
            <w:pPr>
              <w:pStyle w:val="Compact"/>
            </w:pPr>
            <w:r>
              <w:t xml:space="preserve">Scenario</w:t>
            </w:r>
          </w:p>
        </w:tc>
        <w:tc>
          <w:tcPr/>
          <w:p>
            <w:pPr>
              <w:pStyle w:val="Compact"/>
            </w:pPr>
            <w:r>
              <w:t xml:space="preserve">Injection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pPr>
            <w:r>
              <w:t xml:space="preserve">Observed KCOR behavior</w:t>
            </w:r>
          </w:p>
        </w:tc>
      </w:tr>
      <w:tr>
        <w:tc>
          <w:tcPr/>
          <w:p>
            <w:pPr>
              <w:pStyle w:val="Compact"/>
            </w:pPr>
            <w:r>
              <w:t xml:space="preserve">Benefit</w:t>
            </w:r>
          </w:p>
        </w:tc>
        <w:tc>
          <w:tcPr/>
          <w:p>
            <w:pPr>
              <w:pStyle w:val="Compact"/>
            </w:pPr>
            <w:r>
              <w:t xml:space="preserve">TODO</w:t>
            </w:r>
          </w:p>
        </w:tc>
        <w:tc>
          <w:tcPr/>
          <w:p>
            <w:pPr>
              <w:pStyle w:val="Compact"/>
              <w:jc w:val="right"/>
            </w:pPr>
            <w:r>
              <w:t xml:space="preserve">0.8</w:t>
            </w:r>
          </w:p>
        </w:tc>
        <w:tc>
          <w:tcPr/>
          <w:p>
            <w:pPr>
              <w:pStyle w:val="Compact"/>
            </w:pPr>
            <w:r>
              <w:t xml:space="preserve">&lt; 1</w:t>
            </w:r>
          </w:p>
        </w:tc>
        <w:tc>
          <w:tcPr/>
          <w:p>
            <w:pPr>
              <w:pStyle w:val="Compact"/>
            </w:pPr>
            <w:r>
              <w:t xml:space="preserve">TODO</w:t>
            </w:r>
          </w:p>
        </w:tc>
      </w:tr>
      <w:tr>
        <w:tc>
          <w:tcPr/>
          <w:p>
            <w:pPr>
              <w:pStyle w:val="Compact"/>
            </w:pPr>
            <w:r>
              <w:t xml:space="preserve">Harm</w:t>
            </w:r>
          </w:p>
        </w:tc>
        <w:tc>
          <w:tcPr/>
          <w:p>
            <w:pPr>
              <w:pStyle w:val="Compact"/>
            </w:pPr>
            <w:r>
              <w:t xml:space="preserve">TODO</w:t>
            </w:r>
          </w:p>
        </w:tc>
        <w:tc>
          <w:tcPr/>
          <w:p>
            <w:pPr>
              <w:pStyle w:val="Compact"/>
              <w:jc w:val="right"/>
            </w:pPr>
            <w:r>
              <w:t xml:space="preserve">1.2</w:t>
            </w:r>
          </w:p>
        </w:tc>
        <w:tc>
          <w:tcPr/>
          <w:p>
            <w:pPr>
              <w:pStyle w:val="Compact"/>
            </w:pPr>
            <w:r>
              <w:t xml:space="preserve">&gt; 1</w:t>
            </w:r>
          </w:p>
        </w:tc>
        <w:tc>
          <w:tcPr/>
          <w:p>
            <w:pPr>
              <w:pStyle w:val="Compact"/>
            </w:pPr>
            <w:r>
              <w:t xml:space="preserve">TODO</w:t>
            </w:r>
          </w:p>
        </w:tc>
      </w:tr>
    </w:tbl>
    <w:bookmarkEnd w:id="75"/>
    <w:bookmarkEnd w:id="76"/>
    <w:bookmarkStart w:id="80"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12"/>
        </w:numPr>
      </w:pPr>
      <w:r>
        <w:t xml:space="preserve">Quiet-window selection (calendar ISO-week bounds)</w:t>
      </w:r>
    </w:p>
    <w:p>
      <w:pPr>
        <w:pStyle w:val="Compact"/>
        <w:numPr>
          <w:ilvl w:val="0"/>
          <w:numId w:val="1012"/>
        </w:numPr>
      </w:pPr>
      <w:r>
        <w:t xml:space="preserve">Stabilization skip (early-bin handling)</w:t>
      </w:r>
    </w:p>
    <w:p>
      <w:pPr>
        <w:pStyle w:val="Compact"/>
        <w:numPr>
          <w:ilvl w:val="0"/>
          <w:numId w:val="1012"/>
        </w:numPr>
      </w:pPr>
      <w:r>
        <w:t xml:space="preserve">Time-binning resolution</w:t>
      </w:r>
    </w:p>
    <w:p>
      <w:pPr>
        <w:pStyle w:val="Compact"/>
        <w:numPr>
          <w:ilvl w:val="0"/>
          <w:numId w:val="1012"/>
        </w:numPr>
      </w:pPr>
      <w:r>
        <w:t xml:space="preserve">Age stratification and/or stratified analyses where appropriate</w:t>
      </w:r>
    </w:p>
    <w:p>
      <w:pPr>
        <w:pStyle w:val="Compact"/>
        <w:numPr>
          <w:ilvl w:val="0"/>
          <w:numId w:val="1012"/>
        </w:numPr>
      </w:pPr>
      <w:r>
        <w:t xml:space="preserve">Baseline shape choice</w:t>
      </w:r>
      <w:r>
        <w:t xml:space="preserve"> </w:t>
      </w:r>
      <m:oMath>
        <m:r>
          <m:t>g</m:t>
        </m:r>
        <m:r>
          <m:rPr>
            <m:sty m:val="p"/>
          </m:rPr>
          <m:t>(</m:t>
        </m:r>
        <m:r>
          <m:t>t</m:t>
        </m:r>
        <m:r>
          <m:rPr>
            <m:sty m:val="p"/>
          </m:rPr>
          <m:t>)</m:t>
        </m:r>
      </m:oMath>
      <w:r>
        <w:t xml:space="preserve"> </w:t>
      </w:r>
      <w:r>
        <w:t xml:space="preserve">(default</w:t>
      </w:r>
      <w:r>
        <w:t xml:space="preserve"> </w:t>
      </w:r>
      <m:oMath>
        <m:r>
          <m:t>g</m:t>
        </m:r>
        <m:r>
          <m:rPr>
            <m:sty m:val="p"/>
          </m:rPr>
          <m:t>(</m:t>
        </m:r>
        <m:r>
          <m:t>t</m:t>
        </m:r>
        <m:r>
          <m:rPr>
            <m:sty m:val="p"/>
          </m:rPr>
          <m:t>)</m:t>
        </m:r>
        <m:r>
          <m:rPr>
            <m:sty m:val="p"/>
          </m:rPr>
          <m:t>=</m:t>
        </m:r>
        <m:r>
          <m:t>1</m:t>
        </m:r>
      </m:oMath>
      <w:r>
        <w:t xml:space="preserve">; alternatives can be assessed as sensitivity)</w:t>
      </w:r>
    </w:p>
    <w:bookmarkStart w:id="79" w:name="fig:sensitivity_overview"/>
    <w:p>
      <w:pPr>
        <w:pStyle w:val="CaptionedFigure"/>
      </w:pPr>
      <w:r>
        <w:drawing>
          <wp:inline>
            <wp:extent cx="5334000" cy="1562036"/>
            <wp:effectExtent b="0" l="0" r="0" t="0"/>
            <wp:docPr descr="Figure 6: Sensitivity analysis summary (distribution of final KCOR across prespecified parameter sets). (TODO: add figure/table from sensitivity suite outputs.)" title="" id="77" name="Picture"/>
            <a:graphic>
              <a:graphicData uri="http://schemas.openxmlformats.org/drawingml/2006/picture">
                <pic:pic>
                  <pic:nvPicPr>
                    <pic:cNvPr descr="figures/fig_todo_placeholder.png" id="78" name="Picture"/>
                    <pic:cNvPicPr>
                      <a:picLocks noChangeArrowheads="1" noChangeAspect="1"/>
                    </pic:cNvPicPr>
                  </pic:nvPicPr>
                  <pic:blipFill>
                    <a:blip r:embed="rId54"/>
                    <a:stretch>
                      <a:fillRect/>
                    </a:stretch>
                  </pic:blipFill>
                  <pic:spPr bwMode="auto">
                    <a:xfrm>
                      <a:off x="0" y="0"/>
                      <a:ext cx="5334000" cy="1562036"/>
                    </a:xfrm>
                    <a:prstGeom prst="rect">
                      <a:avLst/>
                    </a:prstGeom>
                    <a:noFill/>
                    <a:ln w="9525">
                      <a:noFill/>
                      <a:headEnd/>
                      <a:tailEnd/>
                    </a:ln>
                  </pic:spPr>
                </pic:pic>
              </a:graphicData>
            </a:graphic>
          </wp:inline>
        </w:drawing>
      </w:r>
    </w:p>
    <w:p>
      <w:pPr>
        <w:pStyle w:val="ImageCaption"/>
      </w:pPr>
      <w:r>
        <w:t xml:space="preserve">Figure 6: Sensitivity analysis summary (distribution of final KCOR across prespecified parameter sets). (TODO: add figure/table from sensitivity suite outputs.)</w:t>
      </w:r>
    </w:p>
    <w:bookmarkEnd w:id="79"/>
    <w:p>
      <w:r>
        <w:pict>
          <v:rect style="width:0;height:1.5pt" o:hralign="center" o:hrstd="t" o:hr="t"/>
        </w:pict>
      </w:r>
    </w:p>
    <w:bookmarkEnd w:id="80"/>
    <w:bookmarkEnd w:id="81"/>
    <w:bookmarkStart w:id="85" w:name="discussion"/>
    <w:p>
      <w:pPr>
        <w:pStyle w:val="Heading2"/>
      </w:pPr>
      <w:r>
        <w:t xml:space="preserve">4. Discussion</w:t>
      </w:r>
    </w:p>
    <w:bookmarkStart w:id="82" w:name="what-kcor-estimates"/>
    <w:p>
      <w:pPr>
        <w:pStyle w:val="Heading3"/>
      </w:pPr>
      <w:r>
        <w:t xml:space="preserve">4.1 What KCOR estimates</w:t>
      </w:r>
    </w:p>
    <w:p>
      <w:pPr>
        <w:pStyle w:val="FirstParagraph"/>
      </w:pPr>
      <w:r>
        <w:t xml:space="preserve">KCOR is a</w:t>
      </w:r>
      <w:r>
        <w:t xml:space="preserve"> </w:t>
      </w:r>
      <w:r>
        <w:rPr>
          <w:b/>
          <w:bCs/>
        </w:rPr>
        <w:t xml:space="preserve">cumulative</w:t>
      </w:r>
      <w:r>
        <w:t xml:space="preserve"> </w:t>
      </w:r>
      <w:r>
        <w:t xml:space="preserve">comparison of depletion-neutralized cumulative hazards. It is designed for settings where selection induces non-proportional hazards such that conventional proportional-hazards estimators can be difficult to interpret.</w:t>
      </w:r>
    </w:p>
    <w:p>
      <w:pPr>
        <w:pStyle w:val="BodyText"/>
      </w:pPr>
      <w:r>
        <w:t xml:space="preserve">Under the working assumptions that:</w:t>
      </w:r>
    </w:p>
    <w:p>
      <w:pPr>
        <w:pStyle w:val="Compact"/>
        <w:numPr>
          <w:ilvl w:val="0"/>
          <w:numId w:val="1013"/>
        </w:numPr>
      </w:pPr>
      <w:r>
        <w:t xml:space="preserve">selection-induced depletion dynamics can be estimated during quiet periods using a gamma-frailty mixture model, and</w:t>
      </w:r>
    </w:p>
    <w:p>
      <w:pPr>
        <w:pStyle w:val="Compact"/>
        <w:numPr>
          <w:ilvl w:val="0"/>
          <w:numId w:val="1013"/>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bookmarkEnd w:id="82"/>
    <w:bookmarkStart w:id="83"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neutralize a specific confounding structure</w:t>
      </w:r>
      <w:r>
        <w:t xml:space="preserve">—selection-induced depletion dynamics—prior to comparison. Negative and positive controls are nevertheless central to validating the estimator’s behavior.</w:t>
      </w:r>
    </w:p>
    <w:bookmarkEnd w:id="83"/>
    <w:bookmarkStart w:id="84" w:name="practical-guidance-for-use"/>
    <w:p>
      <w:pPr>
        <w:pStyle w:val="Heading3"/>
      </w:pPr>
      <w:r>
        <w:t xml:space="preserve">4.3 Practical guidance for use</w:t>
      </w:r>
    </w:p>
    <w:p>
      <w:pPr>
        <w:pStyle w:val="FirstParagraph"/>
      </w:pPr>
      <w:r>
        <w:t xml:space="preserve">Recommended reporting includes:</w:t>
      </w:r>
    </w:p>
    <w:p>
      <w:pPr>
        <w:pStyle w:val="Compact"/>
        <w:numPr>
          <w:ilvl w:val="0"/>
          <w:numId w:val="1014"/>
        </w:numPr>
      </w:pPr>
      <w:r>
        <w:t xml:space="preserve">Enrollment definition and justification</w:t>
      </w:r>
    </w:p>
    <w:p>
      <w:pPr>
        <w:pStyle w:val="Compact"/>
        <w:numPr>
          <w:ilvl w:val="0"/>
          <w:numId w:val="1014"/>
        </w:numPr>
      </w:pPr>
      <w:r>
        <w:t xml:space="preserve">Risk set definitions and event-time binning</w:t>
      </w:r>
    </w:p>
    <w:p>
      <w:pPr>
        <w:pStyle w:val="Compact"/>
        <w:numPr>
          <w:ilvl w:val="0"/>
          <w:numId w:val="1014"/>
        </w:numPr>
      </w:pPr>
      <w:r>
        <w:t xml:space="preserve">Quiet-window definition and justification</w:t>
      </w:r>
    </w:p>
    <w:p>
      <w:pPr>
        <w:pStyle w:val="Compact"/>
        <w:numPr>
          <w:ilvl w:val="0"/>
          <w:numId w:val="1014"/>
        </w:numPr>
      </w:pPr>
      <w:r>
        <w:t xml:space="preserve">Baseline-shape choice</w:t>
      </w:r>
      <w:r>
        <w:t xml:space="preserve"> </w:t>
      </w:r>
      <m:oMath>
        <m:r>
          <m:t>g</m:t>
        </m:r>
        <m:r>
          <m:rPr>
            <m:sty m:val="p"/>
          </m:rPr>
          <m:t>(</m:t>
        </m:r>
        <m:r>
          <m:t>t</m:t>
        </m:r>
        <m:r>
          <m:rPr>
            <m:sty m:val="p"/>
          </m:rPr>
          <m:t>)</m:t>
        </m:r>
      </m:oMath>
      <w:r>
        <w:t xml:space="preserve"> </w:t>
      </w:r>
      <w:r>
        <w:t xml:space="preserve">and fit diagnostics</w:t>
      </w:r>
    </w:p>
    <w:p>
      <w:pPr>
        <w:pStyle w:val="Compact"/>
        <w:numPr>
          <w:ilvl w:val="0"/>
          <w:numId w:val="1014"/>
        </w:numPr>
      </w:pPr>
      <w:r>
        <w:t xml:space="preserve">Skip/stabilization rule and robustness to nearby values</w:t>
      </w:r>
    </w:p>
    <w:p>
      <w:pPr>
        <w:pStyle w:val="Compact"/>
        <w:numPr>
          <w:ilvl w:val="0"/>
          <w:numId w:val="1014"/>
        </w:numPr>
      </w:pPr>
      <w:r>
        <w:t xml:space="preserve">Predefined negative/positive controls used for validation</w:t>
      </w:r>
    </w:p>
    <w:p>
      <w:pPr>
        <w:pStyle w:val="Compact"/>
        <w:numPr>
          <w:ilvl w:val="0"/>
          <w:numId w:val="1014"/>
        </w:numPr>
      </w:pPr>
      <w:r>
        <w:t xml:space="preserve">Sensitivity analysis plan and results</w:t>
      </w:r>
    </w:p>
    <w:p>
      <w:r>
        <w:pict>
          <v:rect style="width:0;height:1.5pt" o:hralign="center" o:hrstd="t" o:hr="t"/>
        </w:pict>
      </w:r>
    </w:p>
    <w:bookmarkEnd w:id="84"/>
    <w:bookmarkEnd w:id="85"/>
    <w:bookmarkStart w:id="87" w:name="limitations"/>
    <w:p>
      <w:pPr>
        <w:pStyle w:val="Heading2"/>
      </w:pPr>
      <w:r>
        <w:t xml:space="preserve">5. Limitations</w:t>
      </w:r>
    </w:p>
    <w:p>
      <w:pPr>
        <w:pStyle w:val="Compact"/>
        <w:numPr>
          <w:ilvl w:val="0"/>
          <w:numId w:val="1015"/>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15"/>
        </w:numPr>
      </w:pPr>
      <w:r>
        <w:rPr>
          <w:b/>
          <w:bCs/>
        </w:rPr>
        <w:t xml:space="preserve">Sparse events</w:t>
      </w:r>
      <w:r>
        <w:t xml:space="preserve">: When event counts are small, hazard estimation and parameter fitting can be unstable.</w:t>
      </w:r>
    </w:p>
    <w:p>
      <w:pPr>
        <w:pStyle w:val="Compact"/>
        <w:numPr>
          <w:ilvl w:val="0"/>
          <w:numId w:val="1015"/>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15"/>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bookmarkStart w:id="86" w:name="X23cf99625f696e3debeff054e3876378086bb67"/>
    <w:p>
      <w:pPr>
        <w:pStyle w:val="Heading3"/>
      </w:pPr>
      <w:r>
        <w:t xml:space="preserve">5.1 Failure modes and diagnostics (recommended)</w:t>
      </w:r>
    </w:p>
    <w:p>
      <w:pPr>
        <w:pStyle w:val="FirstParagraph"/>
      </w:pPr>
      <w:r>
        <w:t xml:space="preserve">KCOR is designed to neutralize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16"/>
        </w:numPr>
      </w:pPr>
      <w:r>
        <w:rPr>
          <w:b/>
          <w:bCs/>
        </w:rPr>
        <w:t xml:space="preserve">Mis-specified quiet window</w:t>
      </w:r>
      <w:r>
        <w:t xml:space="preserve">: If the quiet window overlaps major external shocks (epidemic waves, policy changes, reporting artifacts), the fitted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may absorb non-selection dynamics, biasing normalization.</w:t>
      </w:r>
    </w:p>
    <w:p>
      <w:pPr>
        <w:pStyle w:val="Compact"/>
        <w:numPr>
          <w:ilvl w:val="0"/>
          <w:numId w:val="1016"/>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w:t>
      </w:r>
    </w:p>
    <w:p>
      <w:pPr>
        <w:pStyle w:val="Compact"/>
        <w:numPr>
          <w:ilvl w:val="0"/>
          <w:numId w:val="1016"/>
        </w:numPr>
      </w:pPr>
      <w:r>
        <w:rPr>
          <w:b/>
          <w:bCs/>
        </w:rPr>
        <w:t xml:space="preserve">Extremely sparse cohorts</w:t>
      </w:r>
      <w:r>
        <w:t xml:space="preserve">: When events are rare,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becomes noisy and</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can be weakly identified, often manifesting as unstable</w:t>
      </w:r>
      <w:r>
        <w:t xml:space="preserve"> </w:t>
      </w:r>
      <m:oMath>
        <m:sSub>
          <m:e>
            <m:acc>
              <m:accPr>
                <m:chr m:val="̂"/>
              </m:accPr>
              <m:e>
                <m:r>
                  <m:t>θ</m:t>
                </m:r>
              </m:e>
            </m:acc>
          </m:e>
          <m:sub>
            <m:r>
              <m:t>d</m:t>
            </m:r>
          </m:sub>
        </m:sSub>
      </m:oMath>
      <w:r>
        <w:t xml:space="preserve"> </w:t>
      </w:r>
      <w:r>
        <w:t xml:space="preserve">or wide uncertainty.</w:t>
      </w:r>
    </w:p>
    <w:p>
      <w:pPr>
        <w:pStyle w:val="Compact"/>
        <w:numPr>
          <w:ilvl w:val="0"/>
          <w:numId w:val="1016"/>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17"/>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17"/>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under small perturbations of the quiet-window bounds.</w:t>
      </w:r>
    </w:p>
    <w:p>
      <w:pPr>
        <w:pStyle w:val="Compact"/>
        <w:numPr>
          <w:ilvl w:val="0"/>
          <w:numId w:val="1017"/>
        </w:numPr>
      </w:pPr>
      <w:r>
        <w:rPr>
          <w:b/>
          <w:bCs/>
        </w:rPr>
        <w:t xml:space="preserve">Sensitivity analyses</w:t>
      </w:r>
      <w:r>
        <w:t xml:space="preserve"> </w:t>
      </w:r>
      <w:r>
        <w:t xml:space="preserve">over plausible quiet windows and skip-weeks values.</w:t>
      </w:r>
    </w:p>
    <w:p>
      <w:pPr>
        <w:pStyle w:val="Compact"/>
        <w:numPr>
          <w:ilvl w:val="0"/>
          <w:numId w:val="1017"/>
        </w:numPr>
      </w:pPr>
      <w:r>
        <w:rPr>
          <w:b/>
          <w:bCs/>
        </w:rPr>
        <w:t xml:space="preserve">Prespecified negative controls</w:t>
      </w:r>
      <w:r>
        <w:t xml:space="preserve">: KCOR 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p>
      <w:r>
        <w:pict>
          <v:rect style="width:0;height:1.5pt" o:hralign="center" o:hrstd="t" o:hr="t"/>
        </w:pict>
      </w:r>
    </w:p>
    <w:bookmarkEnd w:id="86"/>
    <w:bookmarkEnd w:id="87"/>
    <w:bookmarkStart w:id="88"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w:t>
      </w:r>
    </w:p>
    <w:p>
      <w:r>
        <w:pict>
          <v:rect style="width:0;height:1.5pt" o:hralign="center" o:hrstd="t" o:hr="t"/>
        </w:pict>
      </w:r>
    </w:p>
    <w:bookmarkEnd w:id="88"/>
    <w:bookmarkStart w:id="97" w:name="declarations-journal-requirements"/>
    <w:p>
      <w:pPr>
        <w:pStyle w:val="Heading2"/>
      </w:pPr>
      <w:r>
        <w:t xml:space="preserve">Declarations (journal requirements)</w:t>
      </w:r>
    </w:p>
    <w:bookmarkStart w:id="89" w:name="Xd182db0490b2de20bd2b4e4cc8698599182035f"/>
    <w:p>
      <w:pPr>
        <w:pStyle w:val="Heading3"/>
      </w:pPr>
      <w:r>
        <w:t xml:space="preserve">Ethics approval and consent to participate</w:t>
      </w:r>
    </w:p>
    <w:p>
      <w:pPr>
        <w:pStyle w:val="FirstParagraph"/>
      </w:pPr>
      <w:r>
        <w:t xml:space="preserve">TODO. (Methods-only manuscript using synthetic and/or publicly available aggregated data may be exempt; confirm per target journal policy.)</w:t>
      </w:r>
    </w:p>
    <w:bookmarkEnd w:id="89"/>
    <w:bookmarkStart w:id="90" w:name="consent-for-publication"/>
    <w:p>
      <w:pPr>
        <w:pStyle w:val="Heading3"/>
      </w:pPr>
      <w:r>
        <w:t xml:space="preserve">Consent for publication</w:t>
      </w:r>
    </w:p>
    <w:p>
      <w:pPr>
        <w:pStyle w:val="FirstParagraph"/>
      </w:pPr>
      <w:r>
        <w:t xml:space="preserve">TODO (often “Not applicable” for methods-only papers).</w:t>
      </w:r>
    </w:p>
    <w:bookmarkEnd w:id="90"/>
    <w:bookmarkStart w:id="91" w:name="data-availability"/>
    <w:p>
      <w:pPr>
        <w:pStyle w:val="Heading3"/>
      </w:pPr>
      <w:r>
        <w:t xml:space="preserve">Data availability</w:t>
      </w:r>
    </w:p>
    <w:p>
      <w:pPr>
        <w:pStyle w:val="FirstParagraph"/>
      </w:pPr>
      <w:r>
        <w:t xml:space="preserve">TODO. Suggested text:</w:t>
      </w:r>
    </w:p>
    <w:p>
      <w:pPr>
        <w:pStyle w:val="Compact"/>
        <w:numPr>
          <w:ilvl w:val="0"/>
          <w:numId w:val="1018"/>
        </w:numPr>
      </w:pPr>
      <w:r>
        <w:t xml:space="preserve">Synthetic validation data and scripts: available in the project repository.</w:t>
      </w:r>
    </w:p>
    <w:p>
      <w:pPr>
        <w:pStyle w:val="Compact"/>
        <w:numPr>
          <w:ilvl w:val="0"/>
          <w:numId w:val="1018"/>
        </w:numPr>
      </w:pPr>
      <w:r>
        <w:t xml:space="preserve">If any non-public data are used in supplemental validation, describe access restrictions.</w:t>
      </w:r>
    </w:p>
    <w:bookmarkEnd w:id="91"/>
    <w:bookmarkStart w:id="92" w:name="code-availability"/>
    <w:p>
      <w:pPr>
        <w:pStyle w:val="Heading3"/>
      </w:pPr>
      <w:r>
        <w:t xml:space="preserve">Code availability</w:t>
      </w:r>
    </w:p>
    <w:p>
      <w:pPr>
        <w:pStyle w:val="FirstParagraph"/>
      </w:pPr>
      <w:r>
        <w:t xml:space="preserve">TODO. Suggested text:</w:t>
      </w:r>
    </w:p>
    <w:p>
      <w:pPr>
        <w:pStyle w:val="Compact"/>
        <w:numPr>
          <w:ilvl w:val="0"/>
          <w:numId w:val="1019"/>
        </w:numPr>
      </w:pPr>
      <w:r>
        <w:t xml:space="preserve">The KCOR reference implementation and validation suite are available in the project repository.</w:t>
      </w:r>
    </w:p>
    <w:p>
      <w:pPr>
        <w:pStyle w:val="Compact"/>
        <w:numPr>
          <w:ilvl w:val="0"/>
          <w:numId w:val="1019"/>
        </w:numPr>
      </w:pPr>
      <w:r>
        <w:t xml:space="preserve">Repository URL (GitHub): TODO (e.g.,</w:t>
      </w:r>
      <w:r>
        <w:t xml:space="preserve"> </w:t>
      </w:r>
      <w:r>
        <w:rPr>
          <w:rStyle w:val="VerbatimChar"/>
        </w:rPr>
        <w:t xml:space="preserve">https://github.com/&lt;user&gt;/KCOR</w:t>
      </w:r>
      <w:r>
        <w:t xml:space="preserve">). For archival reproducibility, mint a Zenodo DOI for the exact release used in the manuscript.</w:t>
      </w:r>
    </w:p>
    <w:bookmarkEnd w:id="92"/>
    <w:bookmarkStart w:id="93" w:name="competing-interests"/>
    <w:p>
      <w:pPr>
        <w:pStyle w:val="Heading3"/>
      </w:pPr>
      <w:r>
        <w:t xml:space="preserve">Competing interests</w:t>
      </w:r>
    </w:p>
    <w:p>
      <w:pPr>
        <w:pStyle w:val="FirstParagraph"/>
      </w:pPr>
      <w:r>
        <w:t xml:space="preserve">TODO.</w:t>
      </w:r>
    </w:p>
    <w:bookmarkEnd w:id="93"/>
    <w:bookmarkStart w:id="94" w:name="funding"/>
    <w:p>
      <w:pPr>
        <w:pStyle w:val="Heading3"/>
      </w:pPr>
      <w:r>
        <w:t xml:space="preserve">Funding</w:t>
      </w:r>
    </w:p>
    <w:p>
      <w:pPr>
        <w:pStyle w:val="FirstParagraph"/>
      </w:pPr>
      <w:r>
        <w:t xml:space="preserve">TODO.</w:t>
      </w:r>
    </w:p>
    <w:bookmarkEnd w:id="94"/>
    <w:bookmarkStart w:id="95" w:name="authors-contributions"/>
    <w:p>
      <w:pPr>
        <w:pStyle w:val="Heading3"/>
      </w:pPr>
      <w:r>
        <w:t xml:space="preserve">Authors’ contributions</w:t>
      </w:r>
    </w:p>
    <w:p>
      <w:pPr>
        <w:pStyle w:val="FirstParagraph"/>
      </w:pPr>
      <w:r>
        <w:t xml:space="preserve">TODO.</w:t>
      </w:r>
    </w:p>
    <w:bookmarkEnd w:id="95"/>
    <w:bookmarkStart w:id="96" w:name="acknowledgements"/>
    <w:p>
      <w:pPr>
        <w:pStyle w:val="Heading3"/>
      </w:pPr>
      <w:r>
        <w:t xml:space="preserve">Acknowledgements</w:t>
      </w:r>
    </w:p>
    <w:p>
      <w:pPr>
        <w:pStyle w:val="FirstParagraph"/>
      </w:pPr>
      <w:r>
        <w:t xml:space="preserve">TODO.</w:t>
      </w:r>
    </w:p>
    <w:p>
      <w:r>
        <w:pict>
          <v:rect style="width:0;height:1.5pt" o:hralign="center" o:hrstd="t" o:hr="t"/>
        </w:pict>
      </w:r>
    </w:p>
    <w:bookmarkEnd w:id="96"/>
    <w:bookmarkEnd w:id="97"/>
    <w:bookmarkStart w:id="106" w:name="Xf63d107101d42351f2e2cf2bd57881771784bec"/>
    <w:p>
      <w:pPr>
        <w:pStyle w:val="Heading2"/>
      </w:pPr>
      <w:r>
        <w:t xml:space="preserve">Supplementary material (appendix placeholders)</w:t>
      </w:r>
    </w:p>
    <w:bookmarkStart w:id="98" w:name="appendix-a.-mathematical-derivations"/>
    <w:p>
      <w:pPr>
        <w:pStyle w:val="Heading3"/>
      </w:pPr>
      <w:r>
        <w:t xml:space="preserve">Appendix A. Mathematical derivations</w:t>
      </w:r>
    </w:p>
    <w:p>
      <w:pPr>
        <w:pStyle w:val="FirstParagraph"/>
      </w:pPr>
      <w:r>
        <w:t xml:space="preserve">TODO: add derivations for (i) frailty mixing → curvature intuition, (ii) gamma-frailty identity and inversion, (iii) variance propagation for cumulative hazards and KCOR ratio.</w:t>
      </w:r>
    </w:p>
    <w:bookmarkEnd w:id="98"/>
    <w:bookmarkStart w:id="99" w:name="appendix-b.-control-test-specifications"/>
    <w:p>
      <w:pPr>
        <w:pStyle w:val="Heading3"/>
      </w:pPr>
      <w:r>
        <w:t xml:space="preserve">Appendix B. Control-test specifications</w:t>
      </w:r>
    </w:p>
    <w:p>
      <w:pPr>
        <w:pStyle w:val="FirstParagraph"/>
      </w:pPr>
      <w:r>
        <w:t xml:space="preserve">TODO: provide fully specified negative/positive control generation details (parameter values, sampling, seeds) so validation is reproducible.</w:t>
      </w:r>
    </w:p>
    <w:bookmarkEnd w:id="99"/>
    <w:bookmarkStart w:id="105" w:name="X3fb27f9d14d988b0afc4c757bd6d2a45d2ae0b5"/>
    <w:p>
      <w:pPr>
        <w:pStyle w:val="Heading3"/>
      </w:pPr>
      <w:r>
        <w:t xml:space="preserve">Appendix C. Additional figures and diagnostics</w:t>
      </w:r>
    </w:p>
    <w:p>
      <w:pPr>
        <w:pStyle w:val="FirstParagraph"/>
      </w:pPr>
      <w:r>
        <w:t xml:space="preserve">TODO: diagnostic plots, residual checks, parameter stability, robustness to quiet-window and skip-weeks choices.</w:t>
      </w:r>
    </w:p>
    <w:bookmarkStart w:id="104" w:name="refs"/>
    <w:bookmarkStart w:id="101" w:name="ref-obel2024"/>
    <w:p>
      <w:pPr>
        <w:pStyle w:val="Bibliography"/>
      </w:pPr>
      <w:r>
        <w:t xml:space="preserve">1.</w:t>
      </w:r>
      <w:r>
        <w:t xml:space="preserve"> </w:t>
      </w:r>
      <w:r>
        <w:t xml:space="preserve">	</w:t>
      </w:r>
      <w:r>
        <w:t xml:space="preserve">Obel N, Fox M, Tetens M, Pedersen L, Krause T, Ullum H, et al.</w:t>
      </w:r>
      <w:r>
        <w:t xml:space="preserve"> </w:t>
      </w:r>
      <w:hyperlink r:id="rId100">
        <w:r>
          <w:rPr>
            <w:rStyle w:val="Hyperlink"/>
          </w:rPr>
          <w:t xml:space="preserve">Confounding and</w:t>
        </w:r>
        <w:r>
          <w:rPr>
            <w:rStyle w:val="Hyperlink"/>
          </w:rPr>
          <w:t xml:space="preserve"> </w:t>
        </w:r>
        <w:r>
          <w:rPr>
            <w:rStyle w:val="Hyperlink"/>
          </w:rPr>
          <w:t xml:space="preserve">Negative Control Methods</w:t>
        </w:r>
        <w:r>
          <w:rPr>
            <w:rStyle w:val="Hyperlink"/>
          </w:rPr>
          <w:t xml:space="preserve"> </w:t>
        </w:r>
        <w:r>
          <w:rPr>
            <w:rStyle w:val="Hyperlink"/>
          </w:rPr>
          <w:t xml:space="preserve">in</w:t>
        </w:r>
        <w:r>
          <w:rPr>
            <w:rStyle w:val="Hyperlink"/>
          </w:rPr>
          <w:t xml:space="preserve"> </w:t>
        </w:r>
        <w:r>
          <w:rPr>
            <w:rStyle w:val="Hyperlink"/>
          </w:rPr>
          <w:t xml:space="preserve">Observational Study</w:t>
        </w:r>
        <w:r>
          <w:rPr>
            <w:rStyle w:val="Hyperlink"/>
          </w:rPr>
          <w:t xml:space="preserve"> </w:t>
        </w:r>
        <w:r>
          <w:rPr>
            <w:rStyle w:val="Hyperlink"/>
          </w:rPr>
          <w:t xml:space="preserve">of</w:t>
        </w:r>
        <w:r>
          <w:rPr>
            <w:rStyle w:val="Hyperlink"/>
          </w:rPr>
          <w:t xml:space="preserve"> </w:t>
        </w:r>
        <w:r>
          <w:rPr>
            <w:rStyle w:val="Hyperlink"/>
          </w:rPr>
          <w:t xml:space="preserve">SARS-CoV-2 Vaccine Effectiveness</w:t>
        </w:r>
        <w:r>
          <w:rPr>
            <w:rStyle w:val="Hyperlink"/>
          </w:rPr>
          <w:t xml:space="preserve">:</w:t>
        </w:r>
        <w:r>
          <w:rPr>
            <w:rStyle w:val="Hyperlink"/>
          </w:rPr>
          <w:t xml:space="preserve"> </w:t>
        </w:r>
        <w:r>
          <w:rPr>
            <w:rStyle w:val="Hyperlink"/>
          </w:rPr>
          <w:t xml:space="preserve">A Nationwide</w:t>
        </w:r>
        <w:r>
          <w:rPr>
            <w:rStyle w:val="Hyperlink"/>
          </w:rPr>
          <w:t xml:space="preserve">,</w:t>
        </w:r>
        <w:r>
          <w:rPr>
            <w:rStyle w:val="Hyperlink"/>
          </w:rPr>
          <w:t xml:space="preserve"> </w:t>
        </w:r>
        <w:r>
          <w:rPr>
            <w:rStyle w:val="Hyperlink"/>
          </w:rPr>
          <w:t xml:space="preserve">Population-Based Danish Health Registry Study</w:t>
        </w:r>
      </w:hyperlink>
      <w:r>
        <w:t xml:space="preserve">. Clinical Epidemiology. 2024 July;Volume 16:501–12.</w:t>
      </w:r>
      <w:r>
        <w:t xml:space="preserve"> </w:t>
      </w:r>
    </w:p>
    <w:bookmarkEnd w:id="101"/>
    <w:bookmarkStart w:id="103" w:name="ref-chemaitelly2025"/>
    <w:p>
      <w:pPr>
        <w:pStyle w:val="Bibliography"/>
      </w:pPr>
      <w:r>
        <w:t xml:space="preserve">2.</w:t>
      </w:r>
      <w:r>
        <w:t xml:space="preserve"> </w:t>
      </w:r>
      <w:r>
        <w:t xml:space="preserve">	</w:t>
      </w:r>
      <w:r>
        <w:t xml:space="preserve">Chemaitelly H, Ayoub HH, Coyle P, Tang P, Hasan MR, Yassine HM, et al.</w:t>
      </w:r>
      <w:r>
        <w:t xml:space="preserve"> </w:t>
      </w:r>
      <w:hyperlink r:id="rId102">
        <w:r>
          <w:rPr>
            <w:rStyle w:val="Hyperlink"/>
          </w:rPr>
          <w:t xml:space="preserve">Assessing healthy vaccinee effect in</w:t>
        </w:r>
        <w:r>
          <w:rPr>
            <w:rStyle w:val="Hyperlink"/>
          </w:rPr>
          <w:t xml:space="preserve"> </w:t>
        </w:r>
        <w:r>
          <w:rPr>
            <w:rStyle w:val="Hyperlink"/>
          </w:rPr>
          <w:t xml:space="preserve">COVID-19</w:t>
        </w:r>
        <w:r>
          <w:rPr>
            <w:rStyle w:val="Hyperlink"/>
          </w:rPr>
          <w:t xml:space="preserve"> </w:t>
        </w:r>
        <w:r>
          <w:rPr>
            <w:rStyle w:val="Hyperlink"/>
          </w:rPr>
          <w:t xml:space="preserve">vaccine effectiveness studies: A national cohort study in</w:t>
        </w:r>
        <w:r>
          <w:rPr>
            <w:rStyle w:val="Hyperlink"/>
          </w:rPr>
          <w:t xml:space="preserve"> </w:t>
        </w:r>
        <w:r>
          <w:rPr>
            <w:rStyle w:val="Hyperlink"/>
          </w:rPr>
          <w:t xml:space="preserve">Qatar</w:t>
        </w:r>
      </w:hyperlink>
      <w:r>
        <w:t xml:space="preserve">. Schiffer JT, Henry D, editors. eLife. 2025 June;14:e103690.</w:t>
      </w:r>
      <w:r>
        <w:t xml:space="preserve"> </w:t>
      </w:r>
    </w:p>
    <w:bookmarkEnd w:id="103"/>
    <w:bookmarkEnd w:id="104"/>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4" Target="media/rId54.png" /><Relationship Type="http://schemas.openxmlformats.org/officeDocument/2006/relationships/hyperlink" Id="rId100" Target="https://doi.org/10.2147/CLEP.S468572" TargetMode="External" /><Relationship Type="http://schemas.openxmlformats.org/officeDocument/2006/relationships/hyperlink" Id="rId102" Target="https://doi.org/10.7554/eLife.103690" TargetMode="External" /></Relationships>
</file>

<file path=word/_rels/footnotes.xml.rels><?xml version="1.0" encoding="UTF-8"?><Relationships xmlns="http://schemas.openxmlformats.org/package/2006/relationships"><Relationship Type="http://schemas.openxmlformats.org/officeDocument/2006/relationships/hyperlink" Id="rId100" Target="https://doi.org/10.2147/CLEP.S468572" TargetMode="External" /><Relationship Type="http://schemas.openxmlformats.org/officeDocument/2006/relationships/hyperlink" Id="rId102" Target="https://doi.org/10.7554/eLife.10369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2025-12-24T00:18:49Z</dcterms:created>
  <dcterms:modified xsi:type="dcterms:W3CDTF">2025-12-24T00:18:49Z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vancouver-superscript.csl</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ies>
</file>