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8.png" ContentType="image/png"/>
  <Override PartName="/word/media/rId102.png" ContentType="image/png"/>
  <Override PartName="/word/media/rId76.png" ContentType="image/png"/>
  <Override PartName="/word/media/rId80.png" ContentType="image/png"/>
  <Override PartName="/word/media/rId70.png" ContentType="image/png"/>
  <Override PartName="/word/media/rId92.png" ContentType="image/png"/>
  <Override PartName="/word/media/rId110.png" ContentType="image/png"/>
  <Override PartName="/word/media/rId134.png" ContentType="image/png"/>
  <Override PartName="/word/media/rId130.png" ContentType="image/png"/>
  <Override PartName="/word/media/rId116.png" ContentType="image/png"/>
  <Override PartName="/word/media/rId126.png" ContentType="image/png"/>
  <Override PartName="/word/media/rId122.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frontmatter"/>
    <w:bookmarkStart w:id="12" w:name="X8a6fbe8a8e8f2531b7e9694650a4d74c0ac5545"/>
    <w:p>
      <w:pPr>
        <w:pStyle w:val="Heading1"/>
      </w:pPr>
      <w:r>
        <w:t xml:space="preserve">KCOR: A Depletion-Neutralized Cohort Comparison Framework Using Gamma-Frailty Normalization Under Selection-Induced Cumulative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survival analysis; frailty models; non-proportional hazards; cumulative hazard; selection bias; retrospective cohort studies; observational studies; simulation study</w:t>
      </w:r>
    </w:p>
    <w:bookmarkEnd w:id="9"/>
    <w:bookmarkStart w:id="10" w:name="abstract"/>
    <w:p>
      <w:pPr>
        <w:pStyle w:val="Heading2"/>
      </w:pPr>
      <w:r>
        <w:t xml:space="preserve">Abstract</w:t>
      </w:r>
    </w:p>
    <w:p>
      <w:pPr>
        <w:pStyle w:val="FirstParagraph"/>
      </w:pPr>
      <w:r>
        <w:t xml:space="preserve">Retrospective cohort comparisons are widely used when randomized trials are infeasible, but selection-induced frailty heterogeneity can generate non-proportional hazards that invalidate standard survival estimands. We introduce the Kirsch Cumulative Outcomes Ratio (KCOR), a normalization-and-comparison framework designed to remove selection-induced depletion curvature from cumulative hazards prior to cohort comparison using minimal registry data (dates of birth, intervention, and event).</w:t>
      </w:r>
    </w:p>
    <w:p>
      <w:pPr>
        <w:pStyle w:val="BodyText"/>
      </w:pPr>
      <w:r>
        <w:t xml:space="preserve">KCOR estimates cohort-specific depletion parameters during prespecified epidemiologically quiet periods, transforms observed cumulative hazards into a depletion-neutralized space via gamma-frailty inversion, and defines a cumulative hazard ratio as the target estimand. Using simulation studies that vary frailty heterogeneity and selection strength, we evaluate KCOR alongside commonly used hazard- and survival-based estimands under both null and non-null conditions. Under selection-only regimes, KCOR remains centered near the null with stable trajectories, whereas Cox regression and related estimands exhibit systematic non-null behavior driven by residual depletion effects.</w:t>
      </w:r>
    </w:p>
    <w:p>
      <w:pPr>
        <w:pStyle w:val="BodyText"/>
      </w:pPr>
      <w:r>
        <w:t xml:space="preserve">KCOR is presented as a diagnostic and normalization framework rather than a causal identification strategy. Interpretation of KCOR trajectories is conditional on stated assumptions and validated through prespecified simulations, negative controls, and internal diagnostics.</w:t>
      </w:r>
    </w:p>
    <w:bookmarkEnd w:id="10"/>
    <w:bookmarkStart w:id="11"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whereas proportional hazards–based Cox regression can produce non-null hazard ratios driven by selection-induced depletion rather than true signal.</w:t>
      </w:r>
    </w:p>
    <w:bookmarkEnd w:id="11"/>
    <w:bookmarkEnd w:id="12"/>
    <w:bookmarkEnd w:id="13"/>
    <w:bookmarkStart w:id="196" w:name="main"/>
    <w:bookmarkStart w:id="14" w:name="methods-summary"/>
    <w:p>
      <w:pPr>
        <w:pStyle w:val="Heading3"/>
      </w:pPr>
      <w:r>
        <w:t xml:space="preserve">Methods Summary</w:t>
      </w:r>
    </w:p>
    <w:p>
      <w:pPr>
        <w:pStyle w:val="FirstParagraph"/>
      </w:pPr>
      <w:r>
        <w:t xml:space="preserve">KCOR is a cumulative-hazard normalization framework for retrospective cohort comparisons under selection-induced non-proportional hazards. The method requires minimal inputs (enrollment date, intervention date, outcome time) and proceeds as follows:</w:t>
      </w:r>
    </w:p>
    <w:p>
      <w:pPr>
        <w:numPr>
          <w:ilvl w:val="0"/>
          <w:numId w:val="1002"/>
        </w:numPr>
      </w:pPr>
      <w:r>
        <w:rPr>
          <w:b/>
          <w:bCs/>
        </w:rPr>
        <w:t xml:space="preserve">Input data</w:t>
      </w:r>
      <w:r>
        <w:t xml:space="preserve">: For each cohort, aggregate weekly counts of individuals alive and dead, indexed by enrollment date, birth year (or age group), and intervention status (dose/cohort label). Minimal required fields are dates of birth, intervention, and event (or censoring).</w:t>
      </w:r>
    </w:p>
    <w:p>
      <w:pPr>
        <w:numPr>
          <w:ilvl w:val="0"/>
          <w:numId w:val="1002"/>
        </w:numPr>
      </w:pPr>
      <w:r>
        <w:rPr>
          <w:b/>
          <w:bCs/>
        </w:rPr>
        <w:t xml:space="preserve">Compute observed hazards</w:t>
      </w:r>
      <w:r>
        <w:t xml:space="preserve">: From weekly alive/dead counts, compute weekly mortality rates and convert to discrete-time hazards using a midpoint approximation (Equation {#eq:hazard-from-mr-improved}). Accumulate to form observed cumulative hazards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for each cohort</w:t>
      </w:r>
      <w:r>
        <w:t xml:space="preserve"> </w:t>
      </w:r>
      <m:oMath>
        <m:r>
          <m:t>d</m:t>
        </m:r>
      </m:oMath>
      <w:r>
        <w:t xml:space="preserve">.</w:t>
      </w:r>
    </w:p>
    <w:p>
      <w:pPr>
        <w:numPr>
          <w:ilvl w:val="0"/>
          <w:numId w:val="1002"/>
        </w:numPr>
      </w:pPr>
      <w:r>
        <w:rPr>
          <w:b/>
          <w:bCs/>
        </w:rPr>
        <w:t xml:space="preserve">Identify quiet window</w:t>
      </w:r>
      <w:r>
        <w:t xml:space="preserve">: Prespecify an epidemiologically quiet period (ISO weeks) during which external shocks and cohort-differential perturbations are minimal. This window is used exclusively for frailty parameter estimation.</w:t>
      </w:r>
    </w:p>
    <w:p>
      <w:pPr>
        <w:numPr>
          <w:ilvl w:val="0"/>
          <w:numId w:val="1002"/>
        </w:numPr>
      </w:pPr>
      <w:r>
        <w:rPr>
          <w:b/>
          <w:bCs/>
        </w:rPr>
        <w:t xml:space="preserve">Fit frailty curvature parameter</w:t>
      </w:r>
      <w:r>
        <w:t xml:space="preserve">: During the quiet window, fit gamma-frailty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 using constrained nonlinear least squares in cumulative-hazard space (Equation {#eq:nls-objective}). The frailty variance parameter</w:t>
      </w:r>
      <w:r>
        <w:t xml:space="preserve"> </w:t>
      </w:r>
      <m:oMath>
        <m:sSub>
          <m:e>
            <m:r>
              <m:t>θ</m:t>
            </m:r>
          </m:e>
          <m:sub>
            <m:r>
              <m:t>d</m:t>
            </m:r>
          </m:sub>
        </m:sSub>
      </m:oMath>
      <w:r>
        <w:t xml:space="preserve"> </w:t>
      </w:r>
      <w:r>
        <w:t xml:space="preserve">captures selection-induced depletion curvature.</w:t>
      </w:r>
    </w:p>
    <w:p>
      <w:pPr>
        <w:numPr>
          <w:ilvl w:val="0"/>
          <w:numId w:val="1002"/>
        </w:numPr>
      </w:pPr>
      <w:r>
        <w:rPr>
          <w:b/>
          <w:bCs/>
        </w:rPr>
        <w:t xml:space="preserve">Compute adjusted cumulative hazard</w:t>
      </w:r>
      <w:r>
        <w:t xml:space="preserve">: Apply the gamma-frailty inversion (Equation {#eq:normalized-cumhazard}) to transform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the full follow-up period.</w:t>
      </w:r>
    </w:p>
    <w:p>
      <w:pPr>
        <w:numPr>
          <w:ilvl w:val="0"/>
          <w:numId w:val="1002"/>
        </w:numPr>
      </w:pPr>
      <w:r>
        <w:rPr>
          <w:b/>
          <w:bCs/>
        </w:rPr>
        <w:t xml:space="preserve">Compute KCOR trajectory</w:t>
      </w:r>
      <w:r>
        <w:t xml:space="preserve">: Form the ratio</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between cohorts. Interpret flatness (drift &lt; 5% per year) during quiet windows as successful depletion normalization; deviations during effect windows indicate treatment-related cohort differences when temporal separability holds.</w:t>
      </w:r>
    </w:p>
    <w:p>
      <w:pPr>
        <w:numPr>
          <w:ilvl w:val="0"/>
          <w:numId w:val="1002"/>
        </w:numPr>
      </w:pPr>
      <w:r>
        <w:rPr>
          <w:b/>
          <w:bCs/>
        </w:rPr>
        <w:t xml:space="preserve">Uncertainty quantification (optional)</w:t>
      </w:r>
      <w:r>
        <w:t xml:space="preserve">: For Monte Carlo confidence intervals, resample cohort data with replacement (stratified by cohort and stratum), re-estimate frailty parameters, recompute KCOR trajectories, and form percentile-based intervals (2.5th and 97.5th percentiles) at each time point. Recommended: 1000–2000 bootstrap replicates for stable percentile intervals.</w:t>
      </w:r>
    </w:p>
    <w:p>
      <w:pPr>
        <w:numPr>
          <w:ilvl w:val="0"/>
          <w:numId w:val="1002"/>
        </w:numPr>
      </w:pPr>
      <w:r>
        <w:rPr>
          <w:b/>
          <w:bCs/>
        </w:rPr>
        <w:t xml:space="preserve">Diagnostics</w:t>
      </w:r>
      <w:r>
        <w:t xml:space="preserve">: Assess quiet-window fit quality (RMSE in cumulative-hazard space), post-normalization linearity (R² from linear fit), and parameter stability under boundary perturbations. If diagnostics fail, treat KCOR as not identified rather than reporting potentially misleading contrasts.</w:t>
      </w:r>
    </w:p>
    <w:p>
      <w:r>
        <w:pict>
          <v:rect style="width:0;height:1.5pt" o:hralign="center" o:hrstd="t" o:hr="t"/>
        </w:pict>
      </w:r>
    </w:p>
    <w:bookmarkEnd w:id="14"/>
    <w:bookmarkStart w:id="32" w:name="introduction"/>
    <w:p>
      <w:pPr>
        <w:pStyle w:val="Heading2"/>
      </w:pPr>
      <w:r>
        <w:t xml:space="preserve">1. Introduction</w:t>
      </w:r>
    </w:p>
    <w:bookmarkStart w:id="15"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p>
      <w:pPr>
        <w:pStyle w:val="BodyText"/>
      </w:pPr>
      <w:r>
        <w:t xml:space="preserve">This manuscript is a methods paper. Real-world registry data are used solely to demonstrate estimator behavior, diagnostics, and failure modes under realistic selection-induced non-proportional hazards; no causal or policy conclusions are drawn.</w:t>
      </w:r>
    </w:p>
    <w:bookmarkEnd w:id="15"/>
    <w:bookmarkStart w:id="16"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of the cumulative hazard (reflecting time-varying hazard)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3"/>
        </w:numPr>
      </w:pPr>
      <w:r>
        <w:rPr>
          <w:b/>
          <w:bCs/>
        </w:rPr>
        <w:t xml:space="preserve">Cox PH</w:t>
      </w:r>
      <w:r>
        <w:t xml:space="preserve">: assumes hazards differ by a time-invariant multiplicative factor (proportional hazards).</w:t>
      </w:r>
    </w:p>
    <w:p>
      <w:pPr>
        <w:pStyle w:val="Compact"/>
        <w:numPr>
          <w:ilvl w:val="0"/>
          <w:numId w:val="1003"/>
        </w:numPr>
      </w:pPr>
      <w:r>
        <w:rPr>
          <w:b/>
          <w:bCs/>
        </w:rPr>
        <w:t xml:space="preserve">IPTW / matching</w:t>
      </w:r>
      <w:r>
        <w:t xml:space="preserve">: can balance measured covariates yet fail to balance unmeasured frailty and the resulting depletion dynamics.</w:t>
      </w:r>
    </w:p>
    <w:p>
      <w:pPr>
        <w:pStyle w:val="Compact"/>
        <w:numPr>
          <w:ilvl w:val="0"/>
          <w:numId w:val="1003"/>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4"/>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4"/>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6"/>
    <w:bookmarkStart w:id="21"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7"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p>
      <w:pPr>
        <w:pStyle w:val="BodyText"/>
      </w:pPr>
      <w:r>
        <w:rPr>
          <w:i/>
          <w:iCs/>
        </w:rPr>
        <w:t xml:space="preserve">Summary distinction.</w:t>
      </w:r>
      <w:r>
        <w:t xml:space="preserve"> </w:t>
      </w:r>
      <w:r>
        <w:t xml:space="preserve">KCOR differs from flexible hazard and time-varying coefficient models not in descriptive flexibility, but in estimand and direction of inference. Existing approaches model the observed hazard trajectory and interpret fitted coefficients or functions, implicitly treating all systematic divergence as signal. KCOR instead first normalizes selection-induced depletion geometry in cumulative-hazard space and only then defines a cohort contrast. The target estimand is cumulative rather than instantaneous, and interpretability is enforced diagnostically rather than assumed through model flexibility.</w:t>
      </w:r>
    </w:p>
    <w:bookmarkEnd w:id="17"/>
    <w:bookmarkStart w:id="18"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8"/>
    <w:bookmarkStart w:id="19"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9"/>
    <w:bookmarkStart w:id="20"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20"/>
    <w:bookmarkEnd w:id="21"/>
    <w:bookmarkStart w:id="25"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22"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22"/>
    <w:bookmarkStart w:id="24"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23"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23"/>
    <w:bookmarkEnd w:id="24"/>
    <w:bookmarkEnd w:id="25"/>
    <w:bookmarkStart w:id="28"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 These approaches differ not only in modeling strategy but in estimand: most existing methods target instantaneous or survival-conditional contrasts, whereas KCOR targets cumulative outcomes after explicit normalization of selection-induced depletion geometry.</w:t>
      </w:r>
    </w:p>
    <w:bookmarkStart w:id="26"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26"/>
    <w:p/>
    <w:bookmarkStart w:id="27"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 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27"/>
    <w:p>
      <w:pPr>
        <w:pStyle w:val="BodyText"/>
      </w:pPr>
      <w:r>
        <w:t xml:space="preserve">Most retrospective approaches either compare cohorts under proportional-hazards assumptions, balance measured confounding, or diagnose bias without removing it. KCOR occupies a distinct role: it neutralizes selection-induced depletion dynamics via gamma-frailty inversion and then extracts the cohort contrast using a cumulative hazard ratio (KCOR), which is the estimand reported.</w:t>
      </w:r>
    </w:p>
    <w:bookmarkEnd w:id="28"/>
    <w:bookmarkStart w:id="29"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w:t>
      </w:r>
      <w:r>
        <w:t xml:space="preserve"> </w:t>
      </w:r>
      <w:r>
        <w:t xml:space="preserve">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9"/>
    <w:bookmarkStart w:id="30"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30"/>
    <w:bookmarkStart w:id="31"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6"/>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7"/>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8"/>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9"/>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31"/>
    <w:bookmarkEnd w:id="32"/>
    <w:bookmarkStart w:id="34"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bookmarkStart w:id="33"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
              <m:r>
                <m:t>d</m:t>
              </m:r>
            </m:oMath>
          </w:p>
        </w:tc>
        <w:tc>
          <w:tcPr/>
          <w:p>
            <w:pPr>
              <w:pStyle w:val="Compact"/>
            </w:pPr>
            <w:r>
              <w:t xml:space="preserve">Cohort index</w:t>
            </w:r>
          </w:p>
        </w:tc>
      </w:tr>
      <w:tr>
        <w:tc>
          <w:tcPr/>
          <w:p>
            <w:pPr>
              <w:pStyle w:val="Compact"/>
            </w:pPr>
            <m:oMath>
              <m:r>
                <m:t>A</m:t>
              </m:r>
              <m:r>
                <m:rPr>
                  <m:sty m:val="p"/>
                </m:rPr>
                <m:t>,</m:t>
              </m:r>
              <m:r>
                <m:t>B</m:t>
              </m:r>
            </m:oMath>
          </w:p>
        </w:tc>
        <w:tc>
          <w:tcPr/>
          <w:p>
            <w:pPr>
              <w:pStyle w:val="Compact"/>
            </w:pPr>
            <w:r>
              <w:t xml:space="preserve">Indices of the two cohorts compared in a KCOR contrast</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Discrete-time cohort hazard (conditional on</w:t>
            </w:r>
            <w:r>
              <w:t xml:space="preserve"> </w:t>
            </w:r>
            <m:oMath>
              <m:sSub>
                <m:e>
                  <m:r>
                    <m:t>N</m:t>
                  </m:r>
                </m:e>
                <m:sub>
                  <m:r>
                    <m:t>d</m:t>
                  </m:r>
                </m:sub>
              </m:sSub>
              <m:r>
                <m:rPr>
                  <m:sty m:val="p"/>
                </m:rPr>
                <m:t>(</m:t>
              </m:r>
              <m:r>
                <m:t>t</m:t>
              </m:r>
              <m:r>
                <m:rPr>
                  <m:sty m:val="p"/>
                </m:rPr>
                <m:t>)</m:t>
              </m:r>
            </m:oMath>
            <w:r>
              <w:t xml:space="preserve">)</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
              <m:sSub>
                <m:e>
                  <m:acc>
                    <m:accPr>
                      <m:chr m:val="̂"/>
                    </m:accPr>
                    <m:e>
                      <m:r>
                        <m:t>θ</m:t>
                      </m:r>
                    </m:e>
                  </m:acc>
                </m:e>
                <m:sub>
                  <m:r>
                    <m:t>d</m:t>
                  </m:r>
                </m:sub>
              </m:sSub>
            </m:oMath>
          </w:p>
        </w:tc>
        <w:tc>
          <w:tcPr/>
          <w:p>
            <w:pPr>
              <w:pStyle w:val="Compact"/>
            </w:pPr>
            <w:r>
              <w:t xml:space="preserve">Estimated frailty variance from quiet-window fitting</w:t>
            </w:r>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
              <m:sSub>
                <m:e>
                  <m:acc>
                    <m:accPr>
                      <m:chr m:val="̂"/>
                    </m:accPr>
                    <m:e>
                      <m:r>
                        <m:t>k</m:t>
                      </m:r>
                    </m:e>
                  </m:acc>
                </m:e>
                <m:sub>
                  <m:r>
                    <m:t>d</m:t>
                  </m:r>
                </m:sub>
              </m:sSub>
            </m:oMath>
          </w:p>
        </w:tc>
        <w:tc>
          <w:tcPr/>
          <w:p>
            <w:pPr>
              <w:pStyle w:val="Compact"/>
            </w:pPr>
            <w:r>
              <w:t xml:space="preserve">Estimated baseline hazard level from quiet-window fitting</w:t>
            </w:r>
          </w:p>
        </w:tc>
      </w:tr>
      <w:tr>
        <w:tc>
          <w:tcPr/>
          <w:p>
            <w:pPr>
              <w:pStyle w:val="Compact"/>
            </w:pPr>
            <m:oMath>
              <m:sSub>
                <m:e>
                  <m:r>
                    <m:t>t</m:t>
                  </m:r>
                </m:e>
                <m:sub>
                  <m:r>
                    <m:t>0</m:t>
                  </m:r>
                </m:sub>
              </m:sSub>
            </m:oMath>
          </w:p>
        </w:tc>
        <w:tc>
          <w:tcPr/>
          <w:p>
            <w:pPr>
              <w:pStyle w:val="Compact"/>
            </w:pPr>
            <w:r>
              <w:t xml:space="preserve">Anchor time for baseline normalization (prespecified)</w:t>
            </w:r>
          </w:p>
        </w:tc>
      </w:tr>
      <w:tr>
        <w:tc>
          <w:tcPr/>
          <w:p>
            <w:pPr>
              <w:pStyle w:val="Compact"/>
            </w:p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p>
        </w:tc>
        <w:tc>
          <w:tcPr/>
          <w:p>
            <w:pPr>
              <w:pStyle w:val="Compact"/>
            </w:pPr>
            <w:r>
              <w:t xml:space="preserve">Anchored KCOR:</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p>
        </w:tc>
      </w:tr>
    </w:tbl>
    <w:bookmarkEnd w:id="33"/>
    <w:p>
      <w:pPr>
        <w:pStyle w:val="BodyText"/>
      </w:pPr>
      <w:r>
        <w:t xml:space="preserve">For COVID-19 vaccination analyses, intervention count corresponds to the number of vaccine doses received; more generally, this can index any discrete exposure level.</w:t>
      </w:r>
    </w:p>
    <w:bookmarkEnd w:id="34"/>
    <w:bookmarkStart w:id="38" w:name="conceptual-framework-and-estimand"/>
    <w:p>
      <w:pPr>
        <w:pStyle w:val="Heading2"/>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10"/>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10"/>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1"/>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1"/>
        </w:numPr>
      </w:pPr>
      <w:r>
        <w:rPr>
          <w:b/>
          <w:bCs/>
        </w:rPr>
        <w:t xml:space="preserve">Map observed cumulative hazards into a depletion-neutralized space</w:t>
      </w:r>
      <w:r>
        <w:t xml:space="preserve"> </w:t>
      </w:r>
      <w:r>
        <w:t xml:space="preserve">by inverting that geometry.</w:t>
      </w:r>
    </w:p>
    <w:p>
      <w:pPr>
        <w:pStyle w:val="Compact"/>
        <w:numPr>
          <w:ilvl w:val="0"/>
          <w:numId w:val="1011"/>
        </w:numPr>
      </w:pPr>
      <w:r>
        <w:rPr>
          <w:b/>
          <w:bCs/>
        </w:rPr>
        <w:t xml:space="preserve">Compare cohorts only after normalization</w:t>
      </w:r>
      <w:r>
        <w:t xml:space="preserve">, using a cumulative-hazard ratio defined on the depletion-neutralized scale.</w:t>
      </w:r>
    </w:p>
    <w:bookmarkStart w:id="36" w:name="target-estimand"/>
    <w:p>
      <w:pPr>
        <w:pStyle w:val="Heading3"/>
      </w:pPr>
      <w:r>
        <w:t xml:space="preserve">2.1.1 Target estimand</w:t>
      </w:r>
    </w:p>
    <w:p>
      <w:pPr>
        <w:pStyle w:val="FirstParagraph"/>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35"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35"/>
    <w:p>
      <w:pPr>
        <w:pStyle w:val="BodyText"/>
      </w:pPr>
      <w:r>
        <w:t xml:space="preserve">Unlike hazard ratios, KCOR compares cumulative hazard accumulation over time and does not rely on proportional hazards assumptions or conditioning on survival at time</w:t>
      </w:r>
      <w:r>
        <w:t xml:space="preserve"> </w:t>
      </w:r>
      <m:oMath>
        <m:r>
          <m:t>t</m:t>
        </m:r>
      </m:oMath>
      <w:r>
        <w:t xml:space="preserve">.</w:t>
      </w:r>
    </w:p>
    <w:p>
      <w:pPr>
        <w:pStyle w:val="BodyText"/>
      </w:pPr>
      <w:r>
        <w:rPr>
          <w:b/>
          <w:bCs/>
        </w:rPr>
        <w:t xml:space="preserve">Interpretation (unanchored KCOR).</w:t>
      </w:r>
      <w:r>
        <w:t xml:space="preserve"> </w:t>
      </w:r>
      <w:r>
        <w:t xml:space="preserve">KCOR(t) is the ratio of depletion-normalized cumulative baseline hazards accumulated by two cohorts from enrollment to time</w:t>
      </w:r>
      <w:r>
        <w:t xml:space="preserve"> </w:t>
      </w:r>
      <m:oMath>
        <m:r>
          <m:t>t</m:t>
        </m:r>
      </m:oMath>
      <w:r>
        <w:t xml:space="preserve">.</w:t>
      </w:r>
      <w:r>
        <w:t xml:space="preserve"> </w:t>
      </w:r>
      <w:r>
        <w:t xml:space="preserve">KCOR(t) &gt; 1 indicates that, after accounting for selection-induced depletion via frailty normalization, cohort A has accumulated greater cumulative hazard than cohort B over</w:t>
      </w:r>
      <w:r>
        <w:t xml:space="preserve"> </w:t>
      </w:r>
      <m:oMath>
        <m:r>
          <m:rPr>
            <m:sty m:val="p"/>
          </m:rPr>
          <m:t>[</m:t>
        </m:r>
        <m:r>
          <m:t>0</m:t>
        </m:r>
        <m:r>
          <m:rPr>
            <m:sty m:val="p"/>
          </m:rPr>
          <m:t>,</m:t>
        </m:r>
        <m:r>
          <m:t>t</m:t>
        </m:r>
        <m:r>
          <m:rPr>
            <m:sty m:val="p"/>
          </m:rPr>
          <m:t>]</m:t>
        </m:r>
      </m:oMath>
      <w:r>
        <w:t xml:space="preserve">.</w:t>
      </w:r>
      <w:r>
        <w:t xml:space="preserve"> </w:t>
      </w:r>
      <w:r>
        <w:t xml:space="preserve">Because KCOR(t) reflects cumulative hazard levels rather than instantaneous rates, it incorporates both baseline hazard differences and any pre-existing cohort differences present at enrollment.</w:t>
      </w:r>
      <w:r>
        <w:t xml:space="preserve"> </w:t>
      </w:r>
      <w:r>
        <w:t xml:space="preserve">Unanchored KCOR is level-dependent and retains baseline offsets; it is not centered at 1 even under parallel hazards.</w:t>
      </w:r>
    </w:p>
    <w:p>
      <w:pPr>
        <w:pStyle w:val="BodyText"/>
      </w:pPr>
      <w:r>
        <w:t xml:space="preserve">In some applications we additionally report an</w:t>
      </w:r>
      <w:r>
        <w:t xml:space="preserve"> </w:t>
      </w:r>
      <w:r>
        <w:rPr>
          <w:b/>
          <w:bCs/>
        </w:rPr>
        <w:t xml:space="preserve">anchored (baseline-normalized) KCOR</w:t>
      </w:r>
      <w:r>
        <w:t xml:space="preserve"> </w:t>
      </w:r>
      <w:r>
        <w:t xml:space="preserve">that removes the time-invariant multiplicative level difference between cohorts:</w:t>
      </w:r>
    </w:p>
    <w:p>
      <w:pPr>
        <w:pStyle w:val="BodyText"/>
      </w:pPr>
      <m:oMathPara>
        <m:oMathParaPr>
          <m:jc m:val="center"/>
        </m:oMathPara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t> </m:t>
          </m:r>
          <m:r>
            <m:rPr>
              <m:sty m:val="p"/>
            </m:rPr>
            <m:t>=</m:t>
          </m:r>
          <m:r>
            <m:t> </m:t>
          </m:r>
          <m:f>
            <m:fPr>
              <m:type m:val="bar"/>
            </m:fPr>
            <m:num>
              <m:r>
                <m:rPr>
                  <m:sty m:val="p"/>
                </m:rPr>
                <m:t>K</m:t>
              </m:r>
              <m:r>
                <m:rPr>
                  <m:sty m:val="p"/>
                </m:rPr>
                <m:t>C</m:t>
              </m:r>
              <m:r>
                <m:rPr>
                  <m:sty m:val="p"/>
                </m:rPr>
                <m:t>O</m:t>
              </m:r>
              <m:r>
                <m:rPr>
                  <m:sty m:val="p"/>
                </m:rPr>
                <m:t>R</m:t>
              </m:r>
              <m:r>
                <m:rPr>
                  <m:sty m:val="p"/>
                </m:rPr>
                <m:t>(</m:t>
              </m:r>
              <m:r>
                <m:t>t</m:t>
              </m:r>
              <m:r>
                <m:rPr>
                  <m:sty m:val="p"/>
                </m:rPr>
                <m:t>)</m:t>
              </m:r>
            </m:num>
            <m:den>
              <m:r>
                <m:rPr>
                  <m:sty m:val="p"/>
                </m:rPr>
                <m:t>K</m:t>
              </m:r>
              <m:r>
                <m:rPr>
                  <m:sty m:val="p"/>
                </m:rPr>
                <m:t>C</m:t>
              </m:r>
              <m:r>
                <m:rPr>
                  <m:sty m:val="p"/>
                </m:rPr>
                <m:t>O</m:t>
              </m:r>
              <m:r>
                <m:rPr>
                  <m:sty m:val="p"/>
                </m:rPr>
                <m:t>R</m:t>
              </m:r>
              <m:r>
                <m:rPr>
                  <m:sty m:val="p"/>
                </m:rPr>
                <m:t>(</m:t>
              </m:r>
              <m:sSub>
                <m:e>
                  <m:r>
                    <m:t>t</m:t>
                  </m:r>
                </m:e>
                <m:sub>
                  <m:r>
                    <m:t>0</m:t>
                  </m:r>
                </m:sub>
              </m:sSub>
              <m:r>
                <m:rPr>
                  <m:sty m:val="p"/>
                </m:rPr>
                <m:t>)</m:t>
              </m:r>
            </m:den>
          </m:f>
          <m:r>
            <m:t> </m:t>
          </m:r>
          <m:r>
            <m:rPr>
              <m:sty m:val="p"/>
            </m:rPr>
            <m:t>=</m:t>
          </m:r>
          <m:r>
            <m:t> </m:t>
          </m:r>
          <m:f>
            <m:fPr>
              <m:type m:val="bar"/>
            </m:fPr>
            <m:num>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num>
            <m:den>
              <m:sSub>
                <m:e>
                  <m:acc>
                    <m:accPr>
                      <m:chr m:val="̃"/>
                    </m:accPr>
                    <m:e>
                      <m:r>
                        <m:t>H</m:t>
                      </m:r>
                    </m:e>
                  </m:acc>
                </m:e>
                <m:sub>
                  <m:r>
                    <m:t>0</m:t>
                  </m:r>
                  <m:r>
                    <m:rPr>
                      <m:sty m:val="p"/>
                    </m:rPr>
                    <m:t>,</m:t>
                  </m:r>
                  <m:r>
                    <m:t>A</m:t>
                  </m:r>
                </m:sub>
              </m:sSub>
              <m:r>
                <m:rPr>
                  <m:sty m:val="p"/>
                </m:rPr>
                <m:t>(</m:t>
              </m:r>
              <m:sSub>
                <m:e>
                  <m:r>
                    <m:t>t</m:t>
                  </m:r>
                </m:e>
                <m:sub>
                  <m:r>
                    <m:t>0</m:t>
                  </m:r>
                </m:sub>
              </m:sSub>
              <m:r>
                <m:rPr>
                  <m:sty m:val="p"/>
                </m:rPr>
                <m:t>)</m:t>
              </m:r>
              <m:r>
                <m:rPr>
                  <m:sty m:val="p"/>
                </m:rPr>
                <m:t>/</m:t>
              </m:r>
              <m:sSub>
                <m:e>
                  <m:acc>
                    <m:accPr>
                      <m:chr m:val="̃"/>
                    </m:accPr>
                    <m:e>
                      <m:r>
                        <m:t>H</m:t>
                      </m:r>
                    </m:e>
                  </m:acc>
                </m:e>
                <m:sub>
                  <m:r>
                    <m:t>0</m:t>
                  </m:r>
                  <m:r>
                    <m:rPr>
                      <m:sty m:val="p"/>
                    </m:rPr>
                    <m:t>,</m:t>
                  </m:r>
                  <m:r>
                    <m:t>B</m:t>
                  </m:r>
                </m:sub>
              </m:sSub>
              <m:r>
                <m:rPr>
                  <m:sty m:val="p"/>
                </m:rPr>
                <m:t>(</m:t>
              </m:r>
              <m:sSub>
                <m:e>
                  <m:r>
                    <m:t>t</m:t>
                  </m:r>
                </m:e>
                <m:sub>
                  <m:r>
                    <m:t>0</m:t>
                  </m:r>
                </m:sub>
              </m:sSub>
              <m:r>
                <m:rPr>
                  <m:sty m:val="p"/>
                </m:rPr>
                <m:t>)</m:t>
              </m:r>
            </m:den>
          </m:f>
          <m:r>
            <m:rPr>
              <m:sty m:val="p"/>
            </m:rPr>
            <m:t>.</m:t>
          </m:r>
        </m:oMath>
      </m:oMathPara>
    </w:p>
    <w:p>
      <w:pPr>
        <w:pStyle w:val="FirstParagraph"/>
      </w:pPr>
      <w:r>
        <w:t xml:space="preserve">Here</w:t>
      </w:r>
      <w:r>
        <w:t xml:space="preserve"> </w:t>
      </w:r>
      <m:oMath>
        <m:sSub>
          <m:e>
            <m:r>
              <m:t>t</m:t>
            </m:r>
          </m:e>
          <m:sub>
            <m:r>
              <m:t>0</m:t>
            </m:r>
          </m:sub>
        </m:sSub>
      </m:oMath>
      <w:r>
        <w:t xml:space="preserve"> </w:t>
      </w:r>
      <w:r>
        <w:t xml:space="preserve">is a prespecified post-enrollment anchor time (e.g., a few weeks after enrollment) chosen after any initial stabilization period but early enough to avoid masking near-term intervention effects. By construction,</w:t>
      </w:r>
      <w:r>
        <w:t xml:space="preserve"> </w:t>
      </w:r>
      <m:oMath>
        <m:r>
          <m:rPr>
            <m:sty m:val="p"/>
          </m:rPr>
          <m:t>K</m:t>
        </m:r>
        <m:r>
          <m:rPr>
            <m:sty m:val="p"/>
          </m:rPr>
          <m:t>C</m:t>
        </m:r>
        <m:r>
          <m:rPr>
            <m:sty m:val="p"/>
          </m:rPr>
          <m:t>O</m:t>
        </m:r>
        <m:r>
          <m:rPr>
            <m:sty m:val="p"/>
          </m:rPr>
          <m:t>R</m:t>
        </m:r>
        <m:r>
          <m:rPr>
            <m:sty m:val="p"/>
          </m:rPr>
          <m:t>(</m:t>
        </m:r>
        <m:sSub>
          <m:e>
            <m:r>
              <m:t>t</m:t>
            </m:r>
          </m:e>
          <m:sub>
            <m:r>
              <m:t>0</m:t>
            </m:r>
          </m:sub>
        </m:sSub>
        <m:r>
          <m:rPr>
            <m:sty m:val="p"/>
          </m:rPr>
          <m:t>;</m:t>
        </m:r>
        <m:sSub>
          <m:e>
            <m:r>
              <m:t>t</m:t>
            </m:r>
          </m:e>
          <m:sub>
            <m:r>
              <m:t>0</m:t>
            </m:r>
          </m:sub>
        </m:sSub>
        <m:r>
          <m:rPr>
            <m:sty m:val="p"/>
          </m:rPr>
          <m:t>)</m:t>
        </m:r>
        <m:r>
          <m:rPr>
            <m:sty m:val="p"/>
          </m:rPr>
          <m:t>=</m:t>
        </m:r>
        <m:r>
          <m:t>1</m:t>
        </m:r>
      </m:oMath>
      <w:r>
        <w:t xml:space="preserve">, so departures from 1 reflect</w:t>
      </w:r>
      <w:r>
        <w:t xml:space="preserve"> </w:t>
      </w:r>
      <w:r>
        <w:rPr>
          <w:b/>
          <w:bCs/>
        </w:rPr>
        <w:t xml:space="preserve">relative divergence after</w:t>
      </w:r>
      <w:r>
        <w:rPr>
          <w:b/>
          <w:bCs/>
        </w:rPr>
        <w:t xml:space="preserve"> </w:t>
      </w:r>
      <m:oMath>
        <m:sSub>
          <m:e>
            <m:r>
              <m:t>t</m:t>
            </m:r>
          </m:e>
          <m:sub>
            <m:r>
              <m:t>0</m:t>
            </m:r>
          </m:sub>
        </m:sSub>
      </m:oMath>
      <w:r>
        <w:t xml:space="preserve">, whereas the unanchored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also preserves baseline level differences that may reflect residual baseline-risk differences.</w:t>
      </w:r>
    </w:p>
    <w:p>
      <w:pPr>
        <w:pStyle w:val="BodyText"/>
      </w:pPr>
      <w:r>
        <w:rPr>
          <w:b/>
          <w:bCs/>
        </w:rPr>
        <w:t xml:space="preserve">Interpretation (anchored KCOR).</w:t>
      </w:r>
      <w:r>
        <w:t xml:space="preserve"> </w:t>
      </w:r>
      <w:r>
        <w:t xml:space="preserve">Anchoring removes pre-existing cumulative differences between cohorts and isolates relative divergence in cumulative hazard after</w:t>
      </w:r>
      <w:r>
        <w:t xml:space="preserve"> </w:t>
      </w:r>
      <m:oMath>
        <m:sSub>
          <m:e>
            <m:r>
              <m:t>t</m:t>
            </m:r>
          </m:e>
          <m:sub>
            <m:r>
              <m:t>0</m:t>
            </m:r>
          </m:sub>
        </m:sSub>
      </m:oMath>
      <w:r>
        <w:t xml:space="preserve">.</w:t>
      </w:r>
      <w:r>
        <w:t xml:space="preserve"> </w:t>
      </w:r>
      <w:r>
        <w:t xml:space="preserve">Under this representation,</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rPr>
            <m:sty m:val="p"/>
          </m:rPr>
          <m:t>=</m:t>
        </m:r>
        <m:r>
          <m:t>1</m:t>
        </m:r>
      </m:oMath>
      <w:r>
        <w:t xml:space="preserve"> </w:t>
      </w:r>
      <w:r>
        <w:t xml:space="preserve">at</w:t>
      </w:r>
      <w:r>
        <w:t xml:space="preserve"> </w:t>
      </w:r>
      <m:oMath>
        <m:r>
          <m:t>t</m:t>
        </m:r>
        <m:r>
          <m:rPr>
            <m:sty m:val="p"/>
          </m:rPr>
          <m:t>=</m:t>
        </m:r>
        <m:sSub>
          <m:e>
            <m:r>
              <m:t>t</m:t>
            </m:r>
          </m:e>
          <m:sub>
            <m:r>
              <m:t>0</m:t>
            </m:r>
          </m:sub>
        </m:sSub>
      </m:oMath>
      <w:r>
        <w:t xml:space="preserve">, and values above (below) 1 indicate excess (reduced) post-anchor cumulative hazard accumulation in cohort A relative to cohort B.</w:t>
      </w:r>
    </w:p>
    <w:p>
      <w:pPr>
        <w:pStyle w:val="BodyText"/>
      </w:pPr>
      <w:r>
        <w:t xml:space="preserve">Unanchored KCOR targets a cumulative hazard</w:t>
      </w:r>
      <w:r>
        <w:t xml:space="preserve"> </w:t>
      </w:r>
      <w:r>
        <w:rPr>
          <w:i/>
          <w:iCs/>
        </w:rPr>
        <w:t xml:space="preserve">level</w:t>
      </w:r>
      <w:r>
        <w:t xml:space="preserve"> </w:t>
      </w:r>
      <w:r>
        <w:t xml:space="preserve">contrast, whereas anchored KCOR targets a</w:t>
      </w:r>
      <w:r>
        <w:t xml:space="preserve"> </w:t>
      </w:r>
      <w:r>
        <w:rPr>
          <w:i/>
          <w:iCs/>
        </w:rPr>
        <w:t xml:space="preserve">post-reference divergence</w:t>
      </w:r>
      <w:r>
        <w:t xml:space="preserve"> </w:t>
      </w:r>
      <w:r>
        <w:t xml:space="preserve">estimand analogous to a difference-in-differences on the cumulative hazard scale.</w:t>
      </w:r>
    </w:p>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36"/>
    <w:bookmarkStart w:id="37" w:name="identification-versus-diagnostics"/>
    <w:p>
      <w:pPr>
        <w:pStyle w:val="Heading3"/>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2"/>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2"/>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2"/>
        </w:numPr>
      </w:pPr>
      <w:r>
        <w:t xml:space="preserve">absence of systematic residual structure in cumulative-hazard space.</w:t>
      </w:r>
    </w:p>
    <w:p>
      <w:r>
        <w:pict>
          <v:rect style="width:0;height:1.5pt" o:hralign="center" o:hrstd="t" o:hr="t"/>
        </w:pict>
      </w:r>
    </w:p>
    <w:bookmarkEnd w:id="37"/>
    <w:bookmarkEnd w:id="38"/>
    <w:bookmarkStart w:id="39" w:name="cohort-construction"/>
    <w:p>
      <w:pPr>
        <w:pStyle w:val="Heading2"/>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3"/>
        </w:numPr>
      </w:pPr>
      <w:r>
        <w:rPr>
          <w:b/>
          <w:bCs/>
        </w:rPr>
        <w:t xml:space="preserve">No post-enrollment switching</w:t>
      </w:r>
      <w:r>
        <w:t xml:space="preserve"> </w:t>
      </w:r>
      <w:r>
        <w:t xml:space="preserve">is allowed (individuals remain in their enrollment cohort),</w:t>
      </w:r>
    </w:p>
    <w:p>
      <w:pPr>
        <w:pStyle w:val="Compact"/>
        <w:numPr>
          <w:ilvl w:val="0"/>
          <w:numId w:val="1013"/>
        </w:numPr>
      </w:pPr>
      <w:r>
        <w:rPr>
          <w:b/>
          <w:bCs/>
        </w:rPr>
        <w:t xml:space="preserve">No censoring</w:t>
      </w:r>
      <w:r>
        <w:t xml:space="preserve"> </w:t>
      </w:r>
      <w:r>
        <w:t xml:space="preserve">is applied (other than administrative end of follow-up),</w:t>
      </w:r>
    </w:p>
    <w:p>
      <w:pPr>
        <w:pStyle w:val="Compact"/>
        <w:numPr>
          <w:ilvl w:val="0"/>
          <w:numId w:val="1013"/>
        </w:numPr>
      </w:pPr>
      <w:r>
        <w:t xml:space="preserve">analyses are performed on the resulting fixed risk sets.</w:t>
      </w:r>
    </w:p>
    <w:p>
      <w:pPr>
        <w:pStyle w:val="FirstParagraph"/>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9"/>
    <w:bookmarkStart w:id="42" w:name="X8d7a41b2ee06470250995551ddf1fd9af9326e9"/>
    <w:p>
      <w:pPr>
        <w:pStyle w:val="Heading2"/>
      </w:pPr>
      <w:r>
        <w:t xml:space="preserve">2.3 Hazard estimation and cumulative hazards in discrete time</w:t>
      </w:r>
    </w:p>
    <w:p>
      <w:pPr>
        <w:pStyle w:val="FirstParagraph"/>
      </w:pPr>
      <w:r>
        <w:t xml:space="preserve">For each cohort</w:t>
      </w:r>
      <w:r>
        <w:t xml:space="preserve"> </w:t>
      </w:r>
      <m:oMath>
        <m:r>
          <m:t>d</m:t>
        </m:r>
      </m:oMath>
      <w:r>
        <w:t xml:space="preserve">, let</w:t>
      </w:r>
      <w:r>
        <w:t xml:space="preserve"> </w:t>
      </w:r>
      <m:oMath>
        <m:sSub>
          <m:e>
            <m:r>
              <m:t>N</m:t>
            </m:r>
          </m:e>
          <m:sub>
            <m:r>
              <m:t>d</m:t>
            </m:r>
          </m:sub>
        </m:sSub>
        <m:r>
          <m:rPr>
            <m:sty m:val="p"/>
          </m:rPr>
          <m:t>(</m:t>
        </m:r>
        <m:r>
          <m:t>0</m:t>
        </m:r>
        <m:r>
          <m:rPr>
            <m:sty m:val="p"/>
          </m:rPr>
          <m:t>)</m:t>
        </m:r>
      </m:oMath>
      <w:r>
        <w:t xml:space="preserve"> </w:t>
      </w:r>
      <w:r>
        <w:t xml:space="preserve">denote the number of individuals at enrollment.</w:t>
      </w:r>
      <w:r>
        <w:t xml:space="preserve"> </w:t>
      </w:r>
      <w:r>
        <w:t xml:space="preserve">Let</w:t>
      </w:r>
      <w:r>
        <w:t xml:space="preserve"> </w:t>
      </w:r>
      <m:oMath>
        <m:sSub>
          <m:e>
            <m:r>
              <m:t>d</m:t>
            </m:r>
          </m:e>
          <m:sub>
            <m:r>
              <m:t>d</m:t>
            </m:r>
          </m:sub>
        </m:sSub>
        <m:r>
          <m:rPr>
            <m:sty m:val="p"/>
          </m:rPr>
          <m:t>(</m:t>
        </m:r>
        <m:r>
          <m:t>t</m:t>
        </m:r>
        <m:r>
          <m:rPr>
            <m:sty m:val="p"/>
          </m:rPr>
          <m:t>)</m:t>
        </m:r>
      </m:oMath>
      <w:r>
        <w:t xml:space="preserve"> </w:t>
      </w:r>
      <w:r>
        <w:t xml:space="preserve">denote deaths occurring during interval</w:t>
      </w:r>
      <w:r>
        <w:t xml:space="preserve"> </w:t>
      </w:r>
      <m:oMath>
        <m:r>
          <m:t>t</m:t>
        </m:r>
      </m:oMath>
      <w:r>
        <w:t xml:space="preserve">, and let</w:t>
      </w:r>
    </w:p>
    <w:p>
      <w:pPr>
        <w:pStyle w:val="BodyText"/>
      </w:pPr>
      <m:oMathPara>
        <m:oMathParaPr>
          <m:jc m:val="center"/>
        </m:oMathParaPr>
        <m:oMath>
          <m:sSub>
            <m:e>
              <m:r>
                <m:t>D</m:t>
              </m:r>
            </m:e>
            <m:sub>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oMath>
      </m:oMathPara>
    </w:p>
    <w:p>
      <w:pPr>
        <w:pStyle w:val="FirstParagraph"/>
      </w:pPr>
      <w:r>
        <w:t xml:space="preserve">denote cumulative deaths up to the end of interval</w:t>
      </w:r>
      <w:r>
        <w:t xml:space="preserve"> </w:t>
      </w:r>
      <m:oMath>
        <m:r>
          <m:t>t</m:t>
        </m:r>
      </m:oMath>
      <w:r>
        <w:t xml:space="preserve">.</w:t>
      </w:r>
    </w:p>
    <w:p>
      <w:pPr>
        <w:pStyle w:val="BodyText"/>
      </w:pPr>
      <w:r>
        <w:t xml:space="preserve">Define the risk set size at the start of interval</w:t>
      </w:r>
      <w:r>
        <w:t xml:space="preserve"> </w:t>
      </w:r>
      <m:oMath>
        <m:r>
          <m:t>t</m:t>
        </m:r>
      </m:oMath>
      <w:r>
        <w:t xml:space="preserve"> </w:t>
      </w:r>
      <w:r>
        <w:t xml:space="preserve">as</w:t>
      </w:r>
    </w:p>
    <w:p>
      <w:pPr>
        <w:pStyle w:val="BodyText"/>
      </w:pPr>
      <m:oMathPara>
        <m:oMathParaPr>
          <m:jc m:val="center"/>
        </m:oMathParaPr>
        <m:oMath>
          <m:sSub>
            <m:e>
              <m:r>
                <m:t>N</m:t>
              </m:r>
            </m:e>
            <m:sub>
              <m:r>
                <m:t>d</m:t>
              </m:r>
            </m:sub>
          </m:sSub>
          <m:r>
            <m:rPr>
              <m:sty m:val="p"/>
            </m:rPr>
            <m:t>(</m:t>
          </m:r>
          <m:r>
            <m:t>t</m:t>
          </m:r>
          <m:r>
            <m:rPr>
              <m:sty m:val="p"/>
            </m:rPr>
            <m:t>)</m:t>
          </m:r>
          <m:r>
            <m:rPr>
              <m:sty m:val="p"/>
            </m:rPr>
            <m:t>=</m:t>
          </m:r>
          <m:sSub>
            <m:e>
              <m:r>
                <m:t>N</m:t>
              </m:r>
            </m:e>
            <m:sub>
              <m:r>
                <m:t>d</m:t>
              </m:r>
            </m:sub>
          </m:sSub>
          <m:r>
            <m:rPr>
              <m:sty m:val="p"/>
            </m:rPr>
            <m:t>(</m:t>
          </m:r>
          <m:r>
            <m:t>0</m:t>
          </m:r>
          <m:r>
            <m:rPr>
              <m:sty m:val="p"/>
            </m:rPr>
            <m:t>)</m:t>
          </m:r>
          <m:r>
            <m:rPr>
              <m:sty m:val="p"/>
            </m:rPr>
            <m:t>−</m:t>
          </m:r>
          <m:nary>
            <m:naryPr>
              <m:chr m:val="∑"/>
              <m:limLoc m:val="undOvr"/>
              <m:subHide m:val="off"/>
              <m:supHide m:val="on"/>
            </m:naryPr>
            <m:sub>
              <m:r>
                <m:t>s</m:t>
              </m:r>
              <m:r>
                <m:rPr>
                  <m:sty m:val="p"/>
                </m:rPr>
                <m:t>&lt;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0</m:t>
          </m:r>
          <m:r>
            <m:rPr>
              <m:sty m:val="p"/>
            </m:rPr>
            <m:t>)</m:t>
          </m:r>
          <m:r>
            <m:rPr>
              <m:sty m:val="p"/>
            </m:rPr>
            <m:t>−</m:t>
          </m:r>
          <m:sSub>
            <m:e>
              <m:r>
                <m:t>D</m:t>
              </m:r>
            </m:e>
            <m:sub>
              <m:r>
                <m:t>d</m:t>
              </m:r>
            </m:sub>
          </m:sSub>
          <m:r>
            <m:rPr>
              <m:sty m:val="p"/>
            </m:rPr>
            <m:t>(</m:t>
          </m:r>
          <m:r>
            <m:t>t</m:t>
          </m:r>
          <m:r>
            <m:rPr>
              <m:sty m:val="p"/>
            </m:rPr>
            <m:t>−</m:t>
          </m:r>
          <m:r>
            <m:t>1</m:t>
          </m:r>
          <m:r>
            <m:rPr>
              <m:sty m:val="p"/>
            </m:rPr>
            <m:t>)</m:t>
          </m:r>
          <m:r>
            <m:rPr>
              <m:sty m:val="p"/>
            </m:rPr>
            <m:t>.</m:t>
          </m:r>
        </m:oMath>
      </m:oMathPara>
    </w:p>
    <w:p>
      <w:pPr>
        <w:pStyle w:val="FirstParagraph"/>
      </w:pPr>
      <w:r>
        <w:t xml:space="preserve">In the primary estimand, individuals do not switch cohorts after enrollment and there is no loss to follow-up; therefore</w:t>
      </w:r>
      <w:r>
        <w:t xml:space="preserve"> </w:t>
      </w:r>
      <m:oMath>
        <m:sSub>
          <m:e>
            <m:r>
              <m:t>N</m:t>
            </m:r>
          </m:e>
          <m:sub>
            <m:r>
              <m:t>d</m:t>
            </m:r>
          </m:sub>
        </m:sSub>
        <m:r>
          <m:rPr>
            <m:sty m:val="p"/>
          </m:rPr>
          <m:t>(</m:t>
        </m:r>
        <m:r>
          <m:t>t</m:t>
        </m:r>
        <m:r>
          <m:rPr>
            <m:sty m:val="p"/>
          </m:rPr>
          <m:t>)</m:t>
        </m:r>
      </m:oMath>
      <w:r>
        <w:t xml:space="preserve"> </w:t>
      </w:r>
      <w:r>
        <w:t xml:space="preserve">is the risk set used to define all discrete-time hazards and cumulative hazards in this manuscript.</w:t>
      </w:r>
    </w:p>
    <w:p>
      <w:pPr>
        <w:pStyle w:val="BodyText"/>
      </w:pPr>
      <w:r>
        <w:t xml:space="preserve">Define the interval mortality ratio</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We compute the discrete-time cohort hazard as</w:t>
      </w:r>
    </w:p>
    <w:bookmarkStart w:id="40"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40"/>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rPr>
          <w:i/>
          <w:iCs/>
        </w:rPr>
        <w:t xml:space="preserve">All hazard and cumulative-hazard quantities used in KCOR are discrete-time integrated hazard estimators derived from fixed-cohort risk sets; we do not rely on likelihood-based or partial-likelihood formulations for estimation or for the subsequent frailty-based normalization.</w:t>
      </w:r>
    </w:p>
    <w:p>
      <w:pPr>
        <w:pStyle w:val="BodyText"/>
      </w:pPr>
      <w:r>
        <w:t xml:space="preserve">Observed cumulative hazards are accumulated over event time after an optional stabilization skip (§2.7):</w:t>
      </w:r>
    </w:p>
    <w:bookmarkStart w:id="41"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41"/>
    <w:p>
      <w:pPr>
        <w:pStyle w:val="BodyText"/>
      </w:pPr>
      <w:r>
        <w:t xml:space="preserve">Discrete binning accommodates tied events and aggregated registry releases. Bin width is chosen based on diagnostic stability (e.g., smoothness and sufficient counts per bin) rather than temporal resolution alone.</w:t>
      </w:r>
    </w:p>
    <w:p>
      <w:pPr>
        <w:pStyle w:val="BodyText"/>
      </w:pPr>
      <w:r>
        <w:t xml:space="preserve">In addition to the primary implementation above, we computed</w:t>
      </w:r>
      <w:r>
        <w:t xml:space="preserve"> </w:t>
      </w:r>
      <m:oMath>
        <m:sSub>
          <m:e>
            <m:acc>
              <m:accPr>
                <m:chr m:val="̂"/>
              </m:accPr>
              <m:e>
                <m:r>
                  <m:t>H</m:t>
                </m:r>
              </m:e>
            </m:acc>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using the Nelson–Aalen estimator</w:t>
      </w:r>
      <w:r>
        <w:t xml:space="preserve"> </w:t>
      </w:r>
      <m:oMath>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s</m:t>
        </m:r>
        <m:r>
          <m:rPr>
            <m:sty m:val="p"/>
          </m:rPr>
          <m:t>)</m:t>
        </m:r>
      </m:oMath>
      <w:r>
        <w:t xml:space="preserve"> </w:t>
      </w:r>
      <w:r>
        <w:t xml:space="preserve">as a sensitivity check; results were unchanged.</w:t>
      </w:r>
    </w:p>
    <w:p>
      <w:r>
        <w:pict>
          <v:rect style="width:0;height:1.5pt" o:hralign="center" o:hrstd="t" o:hr="t"/>
        </w:pict>
      </w:r>
    </w:p>
    <w:bookmarkEnd w:id="42"/>
    <w:bookmarkStart w:id="91" w:name="Xac986e115b315a486d7d296f1ed82bc5da7c6c5"/>
    <w:p>
      <w:pPr>
        <w:pStyle w:val="Heading2"/>
      </w:pPr>
      <w:r>
        <w:t xml:space="preserve">2.4 Selection model: gamma frailty and depletion normalization</w:t>
      </w:r>
    </w:p>
    <w:bookmarkStart w:id="44" w:name="X1613f91e2d32d239863b345c5f5c082f741e4a2"/>
    <w:p>
      <w:pPr>
        <w:pStyle w:val="Heading3"/>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43"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43"/>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44"/>
    <w:bookmarkStart w:id="48" w:name="gamma-frailty-identity-and-inversion"/>
    <w:p>
      <w:pPr>
        <w:pStyle w:val="Heading3"/>
      </w:pPr>
      <w:r>
        <w:t xml:space="preserve">2.4.2 Gamma-frailty identity and inversion</w:t>
      </w:r>
    </w:p>
    <w:p>
      <w:pPr>
        <w:pStyle w:val="FirstParagraph"/>
      </w:pPr>
      <w:r>
        <w:t xml:space="preserve">Let</w:t>
      </w:r>
    </w:p>
    <w:bookmarkStart w:id="45"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45"/>
    <w:p>
      <w:pPr>
        <w:pStyle w:val="BodyText"/>
      </w:pPr>
      <w:r>
        <w:t xml:space="preserve">denote the baseline cumulative hazard. Integrating over gamma frailty yields the gamma-frailty identity</w:t>
      </w:r>
    </w:p>
    <w:bookmarkStart w:id="46"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6"/>
    <w:p>
      <w:pPr>
        <w:pStyle w:val="BodyText"/>
      </w:pPr>
      <w:r>
        <w:t xml:space="preserve">which can be inverted exactly as</w:t>
      </w:r>
    </w:p>
    <w:bookmarkStart w:id="47"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7"/>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8"/>
    <w:bookmarkStart w:id="50" w:name="X22c9b34d94b309a3f26764cc0718f7fabb50843"/>
    <w:p>
      <w:pPr>
        <w:pStyle w:val="Heading3"/>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9"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9"/>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50"/>
    <w:bookmarkStart w:id="52" w:name="Xee369aabf79618846db7def8482c67c7421353f"/>
    <w:p>
      <w:pPr>
        <w:pStyle w:val="Heading3"/>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 All diagnostics are computed over discrete event-time bins (weekly intervals since enrollment) whose corresponding calendar weeks fall within the prespecified quiet window.</w:t>
      </w:r>
    </w:p>
    <w:bookmarkStart w:id="51" w:name="X3c986934fd55dab2d83d6b9be426b8bdc85ae0a"/>
    <w:p>
      <w:pPr>
        <w:pStyle w:val="Heading4"/>
      </w:pPr>
      <w:r>
        <w:t xml:space="preserve">Quiet-window selection protocol (operational)</w:t>
      </w:r>
    </w:p>
    <w:p>
      <w:pPr>
        <w:pStyle w:val="FirstParagraph"/>
      </w:pPr>
      <w:r>
        <w:rPr>
          <w:b/>
          <w:bCs/>
        </w:rPr>
        <w:t xml:space="preserve">Quiet-window selection protocol.</w:t>
      </w:r>
      <w:r>
        <w:t xml:space="preserve"> </w:t>
      </w:r>
      <w:r>
        <w:t xml:space="preserve">The quiet window is selected prior to KCOR estimation using the following operational criteria:</w:t>
      </w:r>
    </w:p>
    <w:p>
      <w:pPr>
        <w:pStyle w:val="Compact"/>
        <w:numPr>
          <w:ilvl w:val="0"/>
          <w:numId w:val="1014"/>
        </w:numPr>
      </w:pPr>
      <w:r>
        <w:t xml:space="preserve">Calendar-time hazard curves exhibit approximate linearity with no sustained trend breaks.</w:t>
      </w:r>
    </w:p>
    <w:p>
      <w:pPr>
        <w:pStyle w:val="Compact"/>
        <w:numPr>
          <w:ilvl w:val="0"/>
          <w:numId w:val="1014"/>
        </w:numPr>
      </w:pPr>
      <w:r>
        <w:t xml:space="preserve">Periods containing epidemic waves, reporting artifacts, or policy shocks are excluded.</w:t>
      </w:r>
    </w:p>
    <w:p>
      <w:pPr>
        <w:pStyle w:val="Compact"/>
        <w:numPr>
          <w:ilvl w:val="0"/>
          <w:numId w:val="1014"/>
        </w:numPr>
      </w:pPr>
      <w:r>
        <w:t xml:space="preserve">The window spans a minimum duration sufficient for stable slope estimation.</w:t>
      </w:r>
    </w:p>
    <w:p>
      <w:pPr>
        <w:pStyle w:val="Compact"/>
        <w:numPr>
          <w:ilvl w:val="0"/>
          <w:numId w:val="1014"/>
        </w:numPr>
      </w:pPr>
      <w:r>
        <w:t xml:space="preserve">Sensitivity is assessed by perturbing the window boundaries (± several weeks).</w:t>
      </w:r>
    </w:p>
    <w:p>
      <w:pPr>
        <w:pStyle w:val="FirstParagraph"/>
      </w:pPr>
      <w:r>
        <w:rPr>
          <w:i/>
          <w:iCs/>
        </w:rPr>
        <w:t xml:space="preserve">Practical example.</w:t>
      </w:r>
      <w:r>
        <w:t xml:space="preserve"> </w:t>
      </w:r>
      <w:r>
        <w:t xml:space="preserve">In COVID-19 mortality analyses, a quiet window may be defined as an inter-wave period between major variant surges, verified by approximately linear all-cause cumulative hazards in the general population and the absence of cohort-differential policy or reporting shocks. The specific calendar bounds are not assumed to be unique or correct a priori; instead, robustness to small perturbations of the window boundaries (e.g., ± several weeks) is treated as a core diagnostic. If fitted depletion parameters or post-normalization linearity are unstable under such perturbations, the quiet-window assumption is deemed violated and KCOR is treated as not identified for that analysis.</w:t>
      </w:r>
    </w:p>
    <w:p>
      <w:r>
        <w:pict>
          <v:rect style="width:0;height:1.5pt" o:hralign="center" o:hrstd="t" o:hr="t"/>
        </w:pict>
      </w:r>
    </w:p>
    <w:bookmarkEnd w:id="51"/>
    <w:bookmarkEnd w:id="52"/>
    <w:bookmarkStart w:id="57"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53"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53"/>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54"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54"/>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Least-squares fitting is used as a numerical estimating equation rather than as a likelihood-based estimator.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6"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5"/>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5"/>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5"/>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55"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11</m:t>
        </m:r>
        <m:r>
          <m:rPr>
            <m:sty m:val="p"/>
          </m:rPr>
          <m:t>)</m:t>
        </m:r>
      </m:oMath>
    </w:p>
    <w:bookmarkEnd w:id="55"/>
    <w:p>
      <w:pPr>
        <w:pStyle w:val="BodyText"/>
      </w:pPr>
      <w:r>
        <w:t xml:space="preserve">Equation {#eq:hazard-from-mr-improved} is a second-order accurate midpoint approximation to the integrated hazard over a discrete interval under a piecewise-constant hazard assumption.</w:t>
      </w:r>
      <w:r>
        <w:t xml:space="preserve"> </w:t>
      </w:r>
      <w:r>
        <w:t xml:space="preserve">For small</w:t>
      </w:r>
      <w:r>
        <w:t xml:space="preserve"> </w:t>
      </w:r>
      <m:oMath>
        <m:sSub>
          <m:e>
            <m:r>
              <m:rPr>
                <m:sty m:val="p"/>
              </m:rPr>
              <m:t>M</m:t>
            </m:r>
            <m:r>
              <m:rPr>
                <m:sty m:val="p"/>
              </m:rPr>
              <m:t>R</m:t>
            </m:r>
          </m:e>
          <m:sub>
            <m:r>
              <m:t>d</m:t>
            </m:r>
            <m:r>
              <m:rPr>
                <m:sty m:val="p"/>
              </m:rPr>
              <m:t>,</m:t>
            </m:r>
            <m:r>
              <m:t>t</m:t>
            </m:r>
          </m:sub>
        </m:sSub>
      </m:oMath>
      <w:r>
        <w:t xml:space="preserve"> </w:t>
      </w:r>
      <w:r>
        <w:t xml:space="preserve">it reduces to the standard Nelson–Aalen increment</w:t>
      </w:r>
      <w:r>
        <w:t xml:space="preserve"> </w:t>
      </w:r>
      <m:oMath>
        <m:r>
          <m:rPr>
            <m:sty m:val="p"/>
          </m:rPr>
          <m:t>Δ</m:t>
        </m:r>
        <m:acc>
          <m:accPr>
            <m:chr m:val="̂"/>
          </m:accPr>
          <m:e>
            <m:r>
              <m:t>H</m:t>
            </m:r>
          </m:e>
        </m:acc>
        <m:r>
          <m:rPr>
            <m:sty m:val="p"/>
          </m:rPr>
          <m:t>(</m:t>
        </m:r>
        <m:r>
          <m:t>t</m:t>
        </m:r>
        <m:r>
          <m:rPr>
            <m:sty m:val="p"/>
          </m:rPr>
          <m:t>)</m:t>
        </m:r>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while exhibiting reduced discretization bias at weekly resolution.</w:t>
      </w:r>
      <w:r>
        <w:t xml:space="preserve"> </w:t>
      </w:r>
      <w:r>
        <w:t xml:space="preserve">All validation analyses were replicated using the Nelson–Aalen increment, yielding indistinguishable KCOR trajectories.</w:t>
      </w:r>
    </w:p>
    <w:p>
      <w:pPr>
        <w:pStyle w:val="Compact"/>
        <w:numPr>
          <w:ilvl w:val="0"/>
          <w:numId w:val="1016"/>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6"/>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6"/>
    <w:bookmarkEnd w:id="57"/>
    <w:bookmarkStart w:id="62"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8"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12</m:t>
        </m:r>
        <m:r>
          <m:rPr>
            <m:sty m:val="p"/>
          </m:rPr>
          <m:t>)</m:t>
        </m:r>
      </m:oMath>
    </w:p>
    <w:bookmarkEnd w:id="58"/>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 This normalization defines a common comparison scale in cumulative-hazard space; it is not equivalent to Cox partial-likelihood baseline anchoring, but serves an analogous geometric role for cumulative contrasts. 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9"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13</m:t>
        </m:r>
        <m:r>
          <m:rPr>
            <m:sty m:val="p"/>
          </m:rPr>
          <m:t>)</m:t>
        </m:r>
      </m:oMath>
    </w:p>
    <w:bookmarkEnd w:id="59"/>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60"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60"/>
    <w:bookmarkStart w:id="61"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7"/>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7"/>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8"/>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9"/>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61"/>
    <w:bookmarkEnd w:id="62"/>
    <w:bookmarkStart w:id="64"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63"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14</m:t>
        </m:r>
        <m:r>
          <m:rPr>
            <m:sty m:val="p"/>
          </m:rPr>
          <m:t>)</m:t>
        </m:r>
      </m:oMath>
    </w:p>
    <w:bookmarkEnd w:id="63"/>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64"/>
    <w:bookmarkStart w:id="66"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65"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15</m:t>
        </m:r>
        <m:r>
          <m:rPr>
            <m:sty m:val="p"/>
          </m:rPr>
          <m:t>)</m:t>
        </m:r>
      </m:oMath>
    </w:p>
    <w:bookmarkEnd w:id="65"/>
    <w:p>
      <w:pPr>
        <w:pStyle w:val="BodyText"/>
      </w:pPr>
      <w:r>
        <w:t xml:space="preserve">This is a cumulative comparison in hazard space after removing cohort-specific selection-induced depletion dynamics estimated during quiet periods.</w:t>
      </w:r>
    </w:p>
    <w:bookmarkEnd w:id="66"/>
    <w:bookmarkStart w:id="68" w:name="uncertainty-quantification"/>
    <w:p>
      <w:pPr>
        <w:pStyle w:val="Heading3"/>
      </w:pPr>
      <w:r>
        <w:t xml:space="preserve">2.9 Uncertainty quantification</w:t>
      </w:r>
    </w:p>
    <w:p>
      <w:pPr>
        <w:pStyle w:val="FirstParagraph"/>
      </w:pPr>
      <w:r>
        <w:t xml:space="preserve">Uncertainty is quantified using bootstrap resampling as described below, propagating uncertainty in both the event process and the fitted depletion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w:t>
      </w:r>
    </w:p>
    <w:p>
      <w:pPr>
        <w:pStyle w:val="BodyText"/>
      </w:pPr>
      <w:r>
        <w:t xml:space="preserve">Bootstrap resampling is preferred over asymptotic approximations (e.g., delta method) for several reasons. First, frailty parameter estimation involves nonlinear optimization, and the uncertainty in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propagates nonlinearly through the gamma-frailty inversion to the normalized cumulative hazards. Bootstrap naturally captures this estimation uncertainty without requiring normal approximation assumptions. Second, the transformation from observed to normalized cumulative hazards via the gamma-frailty inversion is nonlinear, making closed-form variance propagation difficult. Bootstrap resampling propagates uncertainty through the entire pipeline—from event counts through frailty fitting, inversion, and KCOR computation—without requiring linearization assumptions. Coverage below 95% under model misspecification (e.g., non-gamma frailty) is expected and diagnostic, signaling when the working frailty model inadequately captures the true depletion geometry.</w:t>
      </w:r>
    </w:p>
    <w:bookmarkStart w:id="67"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20"/>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20"/>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20"/>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20"/>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20"/>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7"/>
    <w:bookmarkEnd w:id="68"/>
    <w:bookmarkStart w:id="74"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9"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9"/>
    <w:bookmarkStart w:id="73"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71" name="Picture"/>
            <a:graphic>
              <a:graphicData uri="http://schemas.openxmlformats.org/drawingml/2006/picture">
                <pic:pic>
                  <pic:nvPicPr>
                    <pic:cNvPr descr="figures/fig_kcor_workflow.png" id="72" name="Picture"/>
                    <pic:cNvPicPr>
                      <a:picLocks noChangeArrowheads="1" noChangeAspect="1"/>
                    </pic:cNvPicPr>
                  </pic:nvPicPr>
                  <pic:blipFill>
                    <a:blip r:embed="rId70"/>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73"/>
    <w:bookmarkEnd w:id="74"/>
    <w:bookmarkStart w:id="86"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This reflects an estimand mismatch: Cox targets a different quantity under depletion than KCOR’s cumulative hazard estimand. Cox is behaving correctly for its estimand, but that estimand may not align with the scientific question when selection-induced depletion is present. Accordingly, Cox results are presented here as a diagnostic demonstration of estimand mismatch,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84"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1"/>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1"/>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5"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5"/>
    <w:bookmarkStart w:id="79" w:name="fig:cox_bias_hr"/>
    <w:p>
      <w:pPr>
        <w:pStyle w:val="CaptionedFigure"/>
      </w:pPr>
      <w:r>
        <w:drawing>
          <wp:inline>
            <wp:extent cx="5334000" cy="3975680"/>
            <wp:effectExtent b="0" l="0" r="0" t="0"/>
            <wp:docPr descr="Figure 2.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7" name="Picture"/>
            <a:graphic>
              <a:graphicData uri="http://schemas.openxmlformats.org/drawingml/2006/picture">
                <pic:pic>
                  <pic:nvPicPr>
                    <pic:cNvPr descr="figures/fig_cox_bias_hr_vs_theta.png" id="78" name="Picture"/>
                    <pic:cNvPicPr>
                      <a:picLocks noChangeArrowheads="1" noChangeAspect="1"/>
                    </pic:cNvPicPr>
                  </pic:nvPicPr>
                  <pic:blipFill>
                    <a:blip r:embed="rId76"/>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9"/>
    <w:bookmarkStart w:id="83" w:name="fig:cox_bias_kcor"/>
    <w:p>
      <w:pPr>
        <w:pStyle w:val="CaptionedFigure"/>
      </w:pPr>
      <w:r>
        <w:drawing>
          <wp:inline>
            <wp:extent cx="5334000" cy="3975680"/>
            <wp:effectExtent b="0" l="0" r="0" t="0"/>
            <wp:docPr descr="Figure 3.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81" name="Picture"/>
            <a:graphic>
              <a:graphicData uri="http://schemas.openxmlformats.org/drawingml/2006/picture">
                <pic:pic>
                  <pic:nvPicPr>
                    <pic:cNvPr descr="figures/fig_cox_bias_kcor_vs_theta.png" id="82" name="Picture"/>
                    <pic:cNvPicPr>
                      <a:picLocks noChangeArrowheads="1" noChangeAspect="1"/>
                    </pic:cNvPicPr>
                  </pic:nvPicPr>
                  <pic:blipFill>
                    <a:blip r:embed="rId80"/>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83"/>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This reflects an estimand mismatch: Cox targets instantaneous hazard ratios under proportional hazards assumptions, whereas KCOR targets cumulative contrasts after depletion normalization. Cox is behaving correctly for its estimand, but that estimand conditions on the evolving risk set and therefore reflects depletion dynamics rather than a causal effect under these conditions.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demonstrating the estimand mismatch that motivates cumulative-hazard–based normalization when selection-induced curvature is present.</w:t>
      </w:r>
    </w:p>
    <w:bookmarkEnd w:id="84"/>
    <w:bookmarkStart w:id="85"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85"/>
    <w:bookmarkEnd w:id="86"/>
    <w:bookmarkStart w:id="87"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87"/>
    <w:bookmarkStart w:id="88"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88"/>
    <w:bookmarkStart w:id="89"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p>
      <w:pPr>
        <w:pStyle w:val="BodyText"/>
      </w:pPr>
      <w:r>
        <w:t xml:space="preserve">Technical derivations, algebraic details, and additional simulation results are provided in the Supplementary Material.</w:t>
      </w:r>
    </w:p>
    <w:bookmarkEnd w:id="89"/>
    <w:bookmarkStart w:id="90" w:name="use-of-artificial-intelligence-tools"/>
    <w:p>
      <w:pPr>
        <w:pStyle w:val="Heading3"/>
      </w:pPr>
      <w:r>
        <w:t xml:space="preserve">2.15 Use of artificial intelligence tools</w:t>
      </w:r>
    </w:p>
    <w:p>
      <w:pPr>
        <w:pStyle w:val="FirstParagraph"/>
      </w:pPr>
      <w:r>
        <w:t xml:space="preserve">The KCOR method and estimand were developed by the author without the use of artificial intelligence (AI) tools. Generative AI tools, including OpenAI’s ChatGPT and Cursor Composer 1, were used during manuscript preparation to assist with drafting and editing text, mathematical typesetting, refactoring code, and implementing simulation studies described in this section.</w:t>
      </w:r>
    </w:p>
    <w:p>
      <w:pPr>
        <w:pStyle w:val="BodyText"/>
      </w:pPr>
      <w:r>
        <w:t xml:space="preserve">Simulation designs were either specified by the author or proposed during iterative discussion and subsequently reviewed and approved by the author prior to implementation. AI assistance was used to draft code for approved simulations, which the author reviewed, tested, and validated. Additional large language models (including Gemini, DeepSeek, and Claude) were used to provide feedback on manuscript wording and methodological exposition in a role analogous to informal peer review.</w:t>
      </w:r>
    </w:p>
    <w:p>
      <w:pPr>
        <w:pStyle w:val="BodyText"/>
      </w:pPr>
      <w:r>
        <w:t xml:space="preserve">All scientific decisions, methodological choices, analyses, interpretations, and judgments regarding which suggestions to accept or reject were made solely by the author, who reviewed and understands all content and takes full responsibility for the manuscript.</w:t>
      </w:r>
    </w:p>
    <w:bookmarkEnd w:id="90"/>
    <w:bookmarkEnd w:id="91"/>
    <w:bookmarkStart w:id="148"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2"/>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2"/>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p>
      <w:pPr>
        <w:pStyle w:val="BodyText"/>
      </w:pPr>
      <w:r>
        <w:t xml:space="preserve">In vaccinated–unvaccinated comparisons, large early differences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may reflect baseline risk selection rather than intervention effects; in such cases we therefore emphasize</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which reports deviations relative to an early post-enrollment reference while preserving time-varying divergence.</w:t>
      </w:r>
    </w:p>
    <w:bookmarkStart w:id="108" w:name="X250d2743dd947cd04209f9dc9cf02b545517230"/>
    <w:p>
      <w:pPr>
        <w:pStyle w:val="Heading3"/>
      </w:pPr>
      <w:r>
        <w:t xml:space="preserve">3.1 Negative controls: null under selection-induced curvature</w:t>
      </w:r>
    </w:p>
    <w:bookmarkStart w:id="97"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3"/>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3"/>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3"/>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96"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4"/>
        </w:numPr>
      </w:pPr>
      <w:r>
        <w:t xml:space="preserve">Time unit: weeks.</w:t>
      </w:r>
    </w:p>
    <w:p>
      <w:pPr>
        <w:pStyle w:val="Compact"/>
        <w:numPr>
          <w:ilvl w:val="0"/>
          <w:numId w:val="1024"/>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4"/>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4"/>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4 shows this construction.</w:t>
      </w:r>
    </w:p>
    <w:bookmarkStart w:id="95" w:name="fig:neg_control_synthetic"/>
    <w:p>
      <w:pPr>
        <w:pStyle w:val="CaptionedFigure"/>
      </w:pPr>
      <w:r>
        <w:drawing>
          <wp:inline>
            <wp:extent cx="5334000" cy="3852333"/>
            <wp:effectExtent b="0" l="0" r="0" t="0"/>
            <wp:docPr descr="Figure 4. Synthetic negative control under strong selection (different curvature) but no effect: \mathrm{KCOR}(t) remains flat at 1. Top panel shows cohort hazards with different frailty-mixture weights inducing different curvature. Bottom panel shows \mathrm{KCOR}(t) remaining near 1.0 after normalization, demonstrating successful depletion-neutralization under the null. Uncertainty bands (95% bootstrap intervals) are shown." title="" id="93" name="Picture"/>
            <a:graphic>
              <a:graphicData uri="http://schemas.openxmlformats.org/drawingml/2006/picture">
                <pic:pic>
                  <pic:nvPicPr>
                    <pic:cNvPr descr="figures/fig_neg_control_synthetic.png" id="94" name="Picture"/>
                    <pic:cNvPicPr>
                      <a:picLocks noChangeArrowheads="1" noChangeAspect="1"/>
                    </pic:cNvPicPr>
                  </pic:nvPicPr>
                  <pic:blipFill>
                    <a:blip r:embed="rId92"/>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4. Synthetic negative control under strong selection (different curvature) but no effect: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flat at 1. Top panel shows cohort hazards with different frailty-mixture weights inducing different curvature. Bottom panel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near 1.0 after normalization, demonstrating successful depletion-neutralization under the null. Uncertainty bands (95% bootstrap intervals) are shown.</w:t>
      </w:r>
    </w:p>
    <w:bookmarkEnd w:id="95"/>
    <w:bookmarkEnd w:id="96"/>
    <w:bookmarkEnd w:id="97"/>
    <w:bookmarkStart w:id="107" w:name="Xb12f4dbd996bae02468d30adae747b49cac5ee6"/>
    <w:p>
      <w:pPr>
        <w:pStyle w:val="Heading4"/>
      </w:pPr>
      <w:r>
        <w:t xml:space="preserve">3.1.2 Empirical negative control using national registry data (Czech Republic)</w:t>
      </w:r>
    </w:p>
    <w:p>
      <w:pPr>
        <w:pStyle w:val="FirstParagraph"/>
      </w:pPr>
      <w:r>
        <w:t xml:space="preserve">This application is presented solely to illustrate KCOR’s diagnostic behavior on real registry data and does not support causal inference.</w:t>
      </w:r>
    </w:p>
    <w:p>
      <w:pPr>
        <w:pStyle w:val="BodyText"/>
      </w:pPr>
      <w:r>
        <w:t xml:space="preserve">The repository includes a pragmatic negative control construction that repurposes a real dataset by comparing</w:t>
      </w:r>
      <w:r>
        <w:t xml:space="preserve"> </w:t>
      </w:r>
      <w:r>
        <w:t xml:space="preserve">“like with like”</w:t>
      </w:r>
      <w:r>
        <w:t xml:space="preserve"> </w:t>
      </w:r>
      <w:r>
        <w:t xml:space="preserve">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5 and 6),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101" w:name="fig:neg_control_10yr"/>
    <w:p>
      <w:pPr>
        <w:pStyle w:val="CaptionedFigure"/>
      </w:pPr>
      <w:r>
        <w:drawing>
          <wp:inline>
            <wp:extent cx="5334000" cy="2773680"/>
            <wp:effectExtent b="0" l="0" r="0" t="0"/>
            <wp:docPr descr="Figure 5. Empirical negative control with approximately 10-year age difference between cohorts. Despite large baseline mortality differences, \mathrm{KCOR}(t) remains near-flat at 1 over follow-up, consistent with a true null effect. Curves are shown as anchored \mathrm{KCOR}(t; t_0), i.e., \mathrm{KCOR}(t)/\mathrm{KCOR}(t_0), which removes pre-existing cumulative differences and displays post-anchor divergence only. KCOR curves are anchored at t_0 = 4 weeks (i.e., plotted as \mathrm{KCOR}(t; t_0)). Uncertainty bands (95% bootstrap intervals) are shown. Data source: Czech Republic mortality and vaccination dataset processed into KCOR_CMR aggregated format (negative-control construction; see Appendix B.2).12" title="" id="99" name="Picture"/>
            <a:graphic>
              <a:graphicData uri="http://schemas.openxmlformats.org/drawingml/2006/picture">
                <pic:pic>
                  <pic:nvPicPr>
                    <pic:cNvPr descr="figures/fig2_neg_control_10yr_age_diff.png" id="100" name="Picture"/>
                    <pic:cNvPicPr>
                      <a:picLocks noChangeArrowheads="1" noChangeAspect="1"/>
                    </pic:cNvPicPr>
                  </pic:nvPicPr>
                  <pic:blipFill>
                    <a:blip r:embed="rId98"/>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Curves are shown as anchored</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i.e.,</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r>
        <w:t xml:space="preserve">, which removes pre-existing cumulative differences and displays post-anchor divergence only.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r>
        <w:rPr>
          <w:vertAlign w:val="superscript"/>
        </w:rPr>
        <w:t xml:space="preserve">12</w:t>
      </w:r>
    </w:p>
    <w:bookmarkEnd w:id="101"/>
    <w:bookmarkStart w:id="105" w:name="fig:neg_control_20yr"/>
    <w:p>
      <w:pPr>
        <w:pStyle w:val="CaptionedFigure"/>
      </w:pPr>
      <w:r>
        <w:drawing>
          <wp:inline>
            <wp:extent cx="5334000" cy="2810466"/>
            <wp:effectExtent b="0" l="0" r="0" t="0"/>
            <wp:docPr descr="Figure 6. Empirical negative control with approximately 20-year age difference between cohorts. Even under extreme composition differences, \mathrm{KCOR}(t) exhibits no systematic drift, demonstrating robustness to selection-induced curvature. KCOR curves are anchored at t_0 = 4 weeks (i.e., plotted as \mathrm{KCOR}(t; t_0)). Uncertainty bands (95% bootstrap intervals) are shown. Data source: Czech Republic mortality and vaccination dataset processed into KCOR_CMR aggregated format (negative-control construction; see Appendix B.2)." title="" id="103" name="Picture"/>
            <a:graphic>
              <a:graphicData uri="http://schemas.openxmlformats.org/drawingml/2006/picture">
                <pic:pic>
                  <pic:nvPicPr>
                    <pic:cNvPr descr="figures/fig3_neg_control_20yr_age_diff.png" id="104" name="Picture"/>
                    <pic:cNvPicPr>
                      <a:picLocks noChangeArrowheads="1" noChangeAspect="1"/>
                    </pic:cNvPicPr>
                  </pic:nvPicPr>
                  <pic:blipFill>
                    <a:blip r:embed="rId102"/>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6. Empirical negative control with approximately 20-year age difference between cohorts. Even under extreme composition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exhibits no systematic drift, demonstrating robustness to selection-induced curvature.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p>
    <w:bookmarkEnd w:id="105"/>
    <w:p>
      <w:pPr>
        <w:pStyle w:val="BodyText"/>
      </w:pPr>
      <w:r>
        <w:t xml:space="preserve">Table 7 provides numeric summaries.</w:t>
      </w:r>
    </w:p>
    <w:bookmarkStart w:id="106"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6"/>
    <w:bookmarkEnd w:id="107"/>
    <w:bookmarkEnd w:id="108"/>
    <w:bookmarkStart w:id="115"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09"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16</m:t>
        </m:r>
        <m:r>
          <m:rPr>
            <m:sty m:val="p"/>
          </m:rPr>
          <m:t>)</m:t>
        </m:r>
      </m:oMath>
    </w:p>
    <w:bookmarkEnd w:id="109"/>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7 and Table 8 confirm this behavior.</w:t>
      </w:r>
    </w:p>
    <w:bookmarkStart w:id="113" w:name="fig:pos_control_injected"/>
    <w:p>
      <w:pPr>
        <w:pStyle w:val="CaptionedFigure"/>
      </w:pPr>
      <w:r>
        <w:drawing>
          <wp:inline>
            <wp:extent cx="5334000" cy="4253184"/>
            <wp:effectExtent b="0" l="0" r="0" t="0"/>
            <wp:docPr descr="Figure 7.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111" name="Picture"/>
            <a:graphic>
              <a:graphicData uri="http://schemas.openxmlformats.org/drawingml/2006/picture">
                <pic:pic>
                  <pic:nvPicPr>
                    <pic:cNvPr descr="figures/fig_pos_control_injected.png" id="112" name="Picture"/>
                    <pic:cNvPicPr>
                      <a:picLocks noChangeArrowheads="1" noChangeAspect="1"/>
                    </pic:cNvPicPr>
                  </pic:nvPicPr>
                  <pic:blipFill>
                    <a:blip r:embed="rId110"/>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7.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113"/>
    <w:bookmarkStart w:id="114"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14"/>
    <w:bookmarkEnd w:id="115"/>
    <w:bookmarkStart w:id="121"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5"/>
        </w:numPr>
      </w:pPr>
      <w:r>
        <w:t xml:space="preserve">Quiet-window selection (calendar ISO-week bounds)</w:t>
      </w:r>
    </w:p>
    <w:p>
      <w:pPr>
        <w:pStyle w:val="Compact"/>
        <w:numPr>
          <w:ilvl w:val="0"/>
          <w:numId w:val="1025"/>
        </w:numPr>
      </w:pPr>
      <w:r>
        <w:t xml:space="preserve">Stabilization skip (early-bin handling)</w:t>
      </w:r>
    </w:p>
    <w:p>
      <w:pPr>
        <w:pStyle w:val="Compact"/>
        <w:numPr>
          <w:ilvl w:val="0"/>
          <w:numId w:val="1025"/>
        </w:numPr>
      </w:pPr>
      <w:r>
        <w:t xml:space="preserve">Time-binning resolution</w:t>
      </w:r>
    </w:p>
    <w:p>
      <w:pPr>
        <w:pStyle w:val="Compact"/>
        <w:numPr>
          <w:ilvl w:val="0"/>
          <w:numId w:val="1025"/>
        </w:numPr>
      </w:pPr>
      <w:r>
        <w:t xml:space="preserve">Age stratification and/or stratified analyses where appropriate</w:t>
      </w:r>
    </w:p>
    <w:p>
      <w:pPr>
        <w:pStyle w:val="Compact"/>
        <w:numPr>
          <w:ilvl w:val="0"/>
          <w:numId w:val="1025"/>
        </w:numPr>
      </w:pPr>
      <w:r>
        <w:t xml:space="preserve">Baseline shape choice (default constant baseline over the fit window; alternatives can be assessed as sensitivity)</w:t>
      </w:r>
    </w:p>
    <w:p>
      <w:pPr>
        <w:pStyle w:val="FirstParagraph"/>
      </w:pPr>
      <w:r>
        <w:t xml:space="preserve">Figure 8 summarizes KCOR stability across the parameter grid.</w:t>
      </w:r>
    </w:p>
    <w:bookmarkStart w:id="119" w:name="fig:sensitivity_overview"/>
    <w:p>
      <w:pPr>
        <w:pStyle w:val="CaptionedFigure"/>
      </w:pPr>
      <w:r>
        <w:drawing>
          <wp:inline>
            <wp:extent cx="5334000" cy="1571483"/>
            <wp:effectExtent b="0" l="0" r="0" t="0"/>
            <wp:docPr descr="Figure 8. Sensitivity analysis summary showing \mathrm{KCOR}(t) values across parameter grid. Heatmaps display \mathrm{KCOR}(t) estimates for different combinations of baseline weeks (rows) and quiet-window start offsets (columns). Across all comparisons, \mathrm{KCOR}(t)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117" name="Picture"/>
            <a:graphic>
              <a:graphicData uri="http://schemas.openxmlformats.org/drawingml/2006/picture">
                <pic:pic>
                  <pic:nvPicPr>
                    <pic:cNvPr descr="figures/fig_sensitivity_overview.png" id="118" name="Picture"/>
                    <pic:cNvPicPr>
                      <a:picLocks noChangeArrowheads="1" noChangeAspect="1"/>
                    </pic:cNvPicPr>
                  </pic:nvPicPr>
                  <pic:blipFill>
                    <a:blip r:embed="rId116"/>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8. Sensitivity analysis summary showing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across parameter grid. Heatmaps display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estimates for different combinations of baseline weeks (rows) and quiet-window start offsets (columns). Across all comparisons,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119"/>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120"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6"/>
        </w:numPr>
      </w:pPr>
      <w:r>
        <w:rPr>
          <w:b/>
          <w:bCs/>
        </w:rPr>
        <w:t xml:space="preserve">Gamma</w:t>
      </w:r>
      <w:r>
        <w:t xml:space="preserve"> </w:t>
      </w:r>
      <w:r>
        <w:t xml:space="preserve">(baseline reference)</w:t>
      </w:r>
    </w:p>
    <w:p>
      <w:pPr>
        <w:pStyle w:val="Compact"/>
        <w:numPr>
          <w:ilvl w:val="0"/>
          <w:numId w:val="1026"/>
        </w:numPr>
      </w:pPr>
      <w:r>
        <w:rPr>
          <w:b/>
          <w:bCs/>
        </w:rPr>
        <w:t xml:space="preserve">Lognormal</w:t>
      </w:r>
      <w:r>
        <w:t xml:space="preserve"> </w:t>
      </w:r>
      <w:r>
        <w:t xml:space="preserve">frailty</w:t>
      </w:r>
    </w:p>
    <w:p>
      <w:pPr>
        <w:pStyle w:val="Compact"/>
        <w:numPr>
          <w:ilvl w:val="0"/>
          <w:numId w:val="1026"/>
        </w:numPr>
      </w:pPr>
      <w:r>
        <w:rPr>
          <w:b/>
          <w:bCs/>
        </w:rPr>
        <w:t xml:space="preserve">Two-point mixture</w:t>
      </w:r>
      <w:r>
        <w:t xml:space="preserve"> </w:t>
      </w:r>
      <w:r>
        <w:t xml:space="preserve">(discrete frailty)</w:t>
      </w:r>
    </w:p>
    <w:p>
      <w:pPr>
        <w:pStyle w:val="Compact"/>
        <w:numPr>
          <w:ilvl w:val="0"/>
          <w:numId w:val="1026"/>
        </w:numPr>
      </w:pPr>
      <w:r>
        <w:rPr>
          <w:b/>
          <w:bCs/>
        </w:rPr>
        <w:t xml:space="preserve">Bimodal</w:t>
      </w:r>
      <w:r>
        <w:t xml:space="preserve"> </w:t>
      </w:r>
      <w:r>
        <w:t xml:space="preserve">frailty distributions</w:t>
      </w:r>
    </w:p>
    <w:p>
      <w:pPr>
        <w:pStyle w:val="Compact"/>
        <w:numPr>
          <w:ilvl w:val="0"/>
          <w:numId w:val="1026"/>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fails gracefully by attenuating toward unity or by failing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120"/>
    <w:bookmarkEnd w:id="121"/>
    <w:bookmarkStart w:id="145"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See Figures 9 and 10 below.</w:t>
      </w:r>
    </w:p>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rPr>
          <w:b/>
          <w:bCs/>
        </w:rPr>
        <w:t xml:space="preserve">Comparison with shared frailty Cox models.</w:t>
      </w:r>
      <w:r>
        <w:br/>
      </w:r>
      <w:r>
        <w:t xml:space="preserve">Table 9 reports head-to-head comparisons of standard Cox regression, shared frailty Cox models, and KCOR on the S7 simulation (joint frailty and treatment effects) and the gamma-frailty null scenario (selection-only, no treatment effect). Shared frailty Cox models extend standard Cox regression by including a random frailty term shared across individuals, allowing for unobserved heterogeneity. These models estimate instantaneous hazard ratios while accounting for frailty, but do not normalize depletion geometry prior to comparison.</w:t>
      </w:r>
    </w:p>
    <w:p>
      <w:pPr>
        <w:pStyle w:val="BodyText"/>
      </w:pPr>
      <w:r>
        <w:t xml:space="preserve">Under selection-only conditions (gamma-frailty null), standard Cox regression produces non-null hazard ratios (HR ≈ 0.87) driven by depletion dynamics rather than true signal. Shared frailty Cox models partially mitigate this bias (HR ≈ 0.94) by accounting for frailty heterogeneity, but still exhibit residual non-null behavior because they estimate hazard ratios conditional on survival rather than normalizing depletion curvature. KCOR remains near-null (drift &lt; 0.5% per year) because normalization precedes comparison: frailty parameters estimated during quiet windows remove selection-induced curvature before cohort contrast.</w:t>
      </w:r>
    </w:p>
    <w:p>
      <w:pPr>
        <w:pStyle w:val="BodyText"/>
      </w:pPr>
      <w:r>
        <w:t xml:space="preserve">Under joint frailty and treatment effects (S7 harm scenario, r=1.2), standard Cox regression detects the effect (HR ≈ 1.18) but with bias due to residual depletion effects. Shared frailty Cox models show improved performance (HR ≈ 1.19) but still reflect depletion-induced time-varying behavior. KCOR correctly identifies the effect magnitude (KCOR drift ≈ 1.8% per year, consistent with r=1.2) while remaining flat during the quiet window, demonstrating successful temporal separation of selection and treatment mechanisms.</w:t>
      </w:r>
    </w:p>
    <w:p>
      <w:pPr>
        <w:pStyle w:val="BodyText"/>
      </w:pPr>
      <w:r>
        <w:t xml:space="preserve">These comparisons illustrate when shared frailty models help versus when they still fail: shared frailty Cox models improve upon standard Cox regression by accounting for unobserved heterogeneity, but they continue to estimate instantaneous hazard ratios that reflect depletion dynamics rather than normalizing them. KCOR’s distinct role is to explicitly remove depletion-induced curvature before comparison, enabling cumulative contrasts that remain stable under selection-only regimes and correctly detect treatment effects when temporal separability holds.</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5" w:name="fig:sim_grid_overview"/>
    <w:p>
      <w:pPr>
        <w:pStyle w:val="CaptionedFigure"/>
      </w:pPr>
      <w:r>
        <w:drawing>
          <wp:inline>
            <wp:extent cx="5334000" cy="4247078"/>
            <wp:effectExtent b="0" l="0" r="0" t="0"/>
            <wp:docPr descr="Figure 9. Simulation grid overview: \mathrm{KCOR}(t) trajectories across prespecified scenarios, including gamma-frailty null with strong selection, injected hazard increase and decrease, non-gamma frailty, quiet-window contamination, and sparse-event regimes. Under true null, \mathrm{KCOR}(t) remains near-flat at 1; injected effects are detected in the expected direction; adverse regimes are accompanied by degraded diagnostics and reduced interpretability. Uncertainty bands (95% bootstrap intervals) are shown where applicable." title="" id="123" name="Picture"/>
            <a:graphic>
              <a:graphicData uri="http://schemas.openxmlformats.org/drawingml/2006/picture">
                <pic:pic>
                  <pic:nvPicPr>
                    <pic:cNvPr descr="figures/fig_sim_grid_overview.png" id="124" name="Picture"/>
                    <pic:cNvPicPr>
                      <a:picLocks noChangeArrowheads="1" noChangeAspect="1"/>
                    </pic:cNvPicPr>
                  </pic:nvPicPr>
                  <pic:blipFill>
                    <a:blip r:embed="rId122"/>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9. Simulation grid overview: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across prespecified scenarios, including gamma-frailty null with strong selection, injected hazard increase and decrease, non-gamma frailty, quiet-window contamination, and sparse-event regimes. Under true null,</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injected effects are detected in the expected direction; adverse regimes are accompanied by degraded diagnostics and reduced interpretability. Uncertainty bands (95% bootstrap intervals) are shown where applicable.</w:t>
      </w:r>
    </w:p>
    <w:bookmarkEnd w:id="125"/>
    <w:bookmarkStart w:id="129" w:name="fig:sim_grid_diagnostics"/>
    <w:p>
      <w:pPr>
        <w:pStyle w:val="CaptionedFigure"/>
      </w:pPr>
      <w:r>
        <w:drawing>
          <wp:inline>
            <wp:extent cx="5334000" cy="2490038"/>
            <wp:effectExtent b="0" l="0" r="0" t="0"/>
            <wp:docPr descr="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 title="" id="127" name="Picture"/>
            <a:graphic>
              <a:graphicData uri="http://schemas.openxmlformats.org/drawingml/2006/picture">
                <pic:pic>
                  <pic:nvPicPr>
                    <pic:cNvPr descr="figures/fig_sim_grid_diagnostics.png" id="128" name="Picture"/>
                    <pic:cNvPicPr>
                      <a:picLocks noChangeArrowheads="1" noChangeAspect="1"/>
                    </pic:cNvPicPr>
                  </pic:nvPicPr>
                  <pic:blipFill>
                    <a:blip r:embed="rId126"/>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w:t>
      </w:r>
    </w:p>
    <w:bookmarkEnd w:id="129"/>
    <w:bookmarkStart w:id="133" w:name="fig:s7_overview"/>
    <w:p>
      <w:pPr>
        <w:pStyle w:val="CaptionedFigure"/>
      </w:pPr>
      <w:r>
        <w:drawing>
          <wp:inline>
            <wp:extent cx="5334000" cy="1391685"/>
            <wp:effectExtent b="0" l="0" r="0" t="0"/>
            <wp:docPr descr="Figure 11. S7 simulation results: \mathrm{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mathrm{KCOR}(t) 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 title="" id="131" name="Picture"/>
            <a:graphic>
              <a:graphicData uri="http://schemas.openxmlformats.org/drawingml/2006/picture">
                <pic:pic>
                  <pic:nvPicPr>
                    <pic:cNvPr descr="figures/fig_s7_overview.png" id="132" name="Picture"/>
                    <pic:cNvPicPr>
                      <a:picLocks noChangeArrowheads="1" noChangeAspect="1"/>
                    </pic:cNvPicPr>
                  </pic:nvPicPr>
                  <pic:blipFill>
                    <a:blip r:embed="rId130"/>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11. S7 simulation results: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w:t>
      </w:r>
    </w:p>
    <w:bookmarkEnd w:id="133"/>
    <w:bookmarkStart w:id="137" w:name="fig:s7_diagnostics"/>
    <w:p>
      <w:pPr>
        <w:pStyle w:val="CaptionedFigure"/>
      </w:pPr>
      <w:r>
        <w:drawing>
          <wp:inline>
            <wp:extent cx="5334000" cy="4431300"/>
            <wp:effectExtent b="0" l="0" r="0" t="0"/>
            <wp:docPr descr="Figure 12. S7 simulation diagnostics: Fitted frailty variance parameters (\hat{\theta}_0, \hat{\theta}_1), fit quality (RMSE), and convergence status across S7 scenarios. The overlap variant shows degraded fit quality, correctly signaling violation of temporal separability assumptions." title="" id="135" name="Picture"/>
            <a:graphic>
              <a:graphicData uri="http://schemas.openxmlformats.org/drawingml/2006/picture">
                <pic:pic>
                  <pic:nvPicPr>
                    <pic:cNvPr descr="figures/fig_s7_diagnostics.png" id="136" name="Picture"/>
                    <pic:cNvPicPr>
                      <a:picLocks noChangeArrowheads="1" noChangeAspect="1"/>
                    </pic:cNvPicPr>
                  </pic:nvPicPr>
                  <pic:blipFill>
                    <a:blip r:embed="rId134"/>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12. S7 simulation diagnostics: Fitted frailty variance parameters (</w:t>
      </w:r>
      <m:oMath>
        <m:sSub>
          <m:e>
            <m:acc>
              <m:accPr>
                <m:chr m:val="̂"/>
              </m:accPr>
              <m:e>
                <m:r>
                  <m:t>θ</m:t>
                </m:r>
              </m:e>
            </m:acc>
          </m:e>
          <m:sub>
            <m:r>
              <m:t>0</m:t>
            </m:r>
          </m:sub>
        </m:sSub>
      </m:oMath>
      <w:r>
        <w:t xml:space="preserve">,</w:t>
      </w:r>
      <w:r>
        <w:t xml:space="preserve"> </w:t>
      </w:r>
      <m:oMath>
        <m:sSub>
          <m:e>
            <m:acc>
              <m:accPr>
                <m:chr m:val="̂"/>
              </m:accPr>
              <m:e>
                <m:r>
                  <m:t>θ</m:t>
                </m:r>
              </m:e>
            </m:acc>
          </m:e>
          <m:sub>
            <m:r>
              <m:t>1</m:t>
            </m:r>
          </m:sub>
        </m:sSub>
      </m:oMath>
      <w:r>
        <w:t xml:space="preserve">), fit quality (RMSE), and convergence status across S7 scenarios. The overlap variant shows degraded fit quality, correctly signaling violation of temporal separability assumptions.</w:t>
      </w:r>
    </w:p>
    <w:bookmarkEnd w:id="137"/>
    <w:bookmarkStart w:id="141" w:name="fig:skip_weeks_sensitivity"/>
    <w:p>
      <w:pPr>
        <w:pStyle w:val="CaptionedFigure"/>
      </w:pPr>
      <w:r>
        <w:drawing>
          <wp:inline>
            <wp:extent cx="5334000" cy="3170886"/>
            <wp:effectExtent b="0" l="0" r="0" t="0"/>
            <wp:docPr descr="Figure 13. Skip-window sensitivity illustrates dynamic selection effects in early follow-up. \mathrm{KCOR}(t) computed on the same fixed-cohort comparison using skip windows of 0, 4, and 8 weeks. Early-time departures that attenuate with larger skip windows are consistent with dynamic selection immediately following cohort entry; later-time behavior is comparatively stable." title="" id="139" name="Picture"/>
            <a:graphic>
              <a:graphicData uri="http://schemas.openxmlformats.org/drawingml/2006/picture">
                <pic:pic>
                  <pic:nvPicPr>
                    <pic:cNvPr descr="figures/fig_skip_weeks_sensitivity.png" id="140" name="Picture"/>
                    <pic:cNvPicPr>
                      <a:picLocks noChangeArrowheads="1" noChangeAspect="1"/>
                    </pic:cNvPicPr>
                  </pic:nvPicPr>
                  <pic:blipFill>
                    <a:blip r:embed="rId138"/>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13. Skip-window sensitivity illustrates dynamic selection effects in early follow-up.</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41"/>
    <w:bookmarkStart w:id="142" w:name="tbl:joint_frailty_comparison"/>
    <w:p>
      <w:pPr>
        <w:pStyle w:val="TableCaption"/>
      </w:pPr>
      <w:r>
        <w:t xml:space="preserve">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w:t>
      </w:r>
    </w:p>
    <w:tbl>
      <w:tblPr>
        <w:tblStyle w:val="Table"/>
        <w:tblW w:type="pct" w:w="5000"/>
        <w:tblLayout w:type="fixed"/>
        <w:tblLook w:firstRow="1" w:lastRow="0" w:firstColumn="0" w:lastColumn="0" w:noHBand="0" w:noVBand="0" w:val="0020"/>
        <w:tblCaption w:val="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
      </w:tblPr>
      <w:tblGrid>
        <w:gridCol w:w="553"/>
        <w:gridCol w:w="941"/>
        <w:gridCol w:w="443"/>
        <w:gridCol w:w="1218"/>
        <w:gridCol w:w="941"/>
        <w:gridCol w:w="1163"/>
        <w:gridCol w:w="1495"/>
        <w:gridCol w:w="1163"/>
      </w:tblGrid>
      <w:tr>
        <w:trPr>
          <w:tblHeader w:val="on"/>
        </w:trPr>
        <w:tc>
          <w:tcPr/>
          <w:p>
            <w:pPr>
              <w:pStyle w:val="Compact"/>
            </w:pPr>
            <w:r>
              <w:t xml:space="preserve">Scenario</w:t>
            </w:r>
          </w:p>
        </w:tc>
        <w:tc>
          <w:tcPr/>
          <w:p>
            <w:pPr>
              <w:pStyle w:val="Compact"/>
            </w:pPr>
            <w:r>
              <w:t xml:space="preserve">True effect (r)</w:t>
            </w:r>
          </w:p>
        </w:tc>
        <w:tc>
          <w:tcPr/>
          <w:p>
            <w:pPr>
              <w:pStyle w:val="Compact"/>
            </w:pPr>
            <w:r>
              <w:t xml:space="preserve">Cox HR</w:t>
            </w:r>
          </w:p>
        </w:tc>
        <w:tc>
          <w:tcPr/>
          <w:p>
            <w:pPr>
              <w:pStyle w:val="Compact"/>
            </w:pPr>
            <w:r>
              <w:t xml:space="preserve">Shared frailty Cox HR</w:t>
            </w:r>
          </w:p>
        </w:tc>
        <w:tc>
          <w:tcPr/>
          <w:p>
            <w:pPr>
              <w:pStyle w:val="Compact"/>
            </w:pPr>
            <w:r>
              <w:t xml:space="preserve">KCOR drift/year</w:t>
            </w:r>
          </w:p>
        </w:tc>
        <w:tc>
          <w:tcPr/>
          <w:p>
            <w:pPr>
              <w:pStyle w:val="Compact"/>
            </w:pPr>
            <w:r>
              <w:t xml:space="preserve">Cox indicates null?</w:t>
            </w:r>
          </w:p>
        </w:tc>
        <w:tc>
          <w:tcPr/>
          <w:p>
            <w:pPr>
              <w:pStyle w:val="Compact"/>
            </w:pPr>
            <w:r>
              <w:t xml:space="preserve">Frailty-Cox indicates null?</w:t>
            </w:r>
          </w:p>
        </w:tc>
        <w:tc>
          <w:tcPr/>
          <w:p>
            <w:pPr>
              <w:pStyle w:val="Compact"/>
            </w:pPr>
            <w:r>
              <w:t xml:space="preserve">KCOR indicates null?</w:t>
            </w:r>
          </w:p>
        </w:tc>
      </w:tr>
      <w:tr>
        <w:tc>
          <w:tcPr/>
          <w:p>
            <w:pPr>
              <w:pStyle w:val="Compact"/>
            </w:pPr>
            <w:r>
              <w:t xml:space="preserve">Gamma-frailty null</w:t>
            </w:r>
          </w:p>
        </w:tc>
        <w:tc>
          <w:tcPr/>
          <w:p>
            <w:pPr>
              <w:pStyle w:val="Compact"/>
            </w:pPr>
            <w:r>
              <w:t xml:space="preserve">1.0 (null)</w:t>
            </w:r>
          </w:p>
        </w:tc>
        <w:tc>
          <w:tcPr/>
          <w:p>
            <w:pPr>
              <w:pStyle w:val="Compact"/>
            </w:pPr>
            <w:r>
              <w:t xml:space="preserve">0.87</w:t>
            </w:r>
          </w:p>
        </w:tc>
        <w:tc>
          <w:tcPr/>
          <w:p>
            <w:pPr>
              <w:pStyle w:val="Compact"/>
            </w:pPr>
            <w:r>
              <w:t xml:space="preserve">0.94</w:t>
            </w:r>
          </w:p>
        </w:tc>
        <w:tc>
          <w:tcPr/>
          <w:p>
            <w:pPr>
              <w:pStyle w:val="Compact"/>
            </w:pPr>
            <w:r>
              <w:t xml:space="preserve">&lt; 0.5%</w:t>
            </w:r>
          </w:p>
        </w:tc>
        <w:tc>
          <w:tcPr/>
          <w:p>
            <w:pPr>
              <w:pStyle w:val="Compact"/>
            </w:pPr>
            <w:r>
              <w:t xml:space="preserve">No (HR ≠ 1)</w:t>
            </w:r>
          </w:p>
        </w:tc>
        <w:tc>
          <w:tcPr/>
          <w:p>
            <w:pPr>
              <w:pStyle w:val="Compact"/>
            </w:pPr>
            <w:r>
              <w:t xml:space="preserve">No (HR ≠ 1)</w:t>
            </w:r>
          </w:p>
        </w:tc>
        <w:tc>
          <w:tcPr/>
          <w:p>
            <w:pPr>
              <w:pStyle w:val="Compact"/>
            </w:pPr>
            <w:r>
              <w:t xml:space="preserve">Yes (flat)</w:t>
            </w:r>
          </w:p>
        </w:tc>
      </w:tr>
      <w:tr>
        <w:tc>
          <w:tcPr/>
          <w:p>
            <w:pPr>
              <w:pStyle w:val="Compact"/>
            </w:pPr>
            <w:r>
              <w:t xml:space="preserve">S7 harm (r=1.2)</w:t>
            </w:r>
          </w:p>
        </w:tc>
        <w:tc>
          <w:tcPr/>
          <w:p>
            <w:pPr>
              <w:pStyle w:val="Compact"/>
            </w:pPr>
            <w:r>
              <w:t xml:space="preserve">1.2</w:t>
            </w:r>
          </w:p>
        </w:tc>
        <w:tc>
          <w:tcPr/>
          <w:p>
            <w:pPr>
              <w:pStyle w:val="Compact"/>
            </w:pPr>
            <w:r>
              <w:t xml:space="preserve">1.18</w:t>
            </w:r>
          </w:p>
        </w:tc>
        <w:tc>
          <w:tcPr/>
          <w:p>
            <w:pPr>
              <w:pStyle w:val="Compact"/>
            </w:pPr>
            <w:r>
              <w:t xml:space="preserve">1.19</w:t>
            </w:r>
          </w:p>
        </w:tc>
        <w:tc>
          <w:tcPr/>
          <w:p>
            <w:pPr>
              <w:pStyle w:val="Compact"/>
            </w:pPr>
            <w:r>
              <w:t xml:space="preserve">+1.8%</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r>
        <w:tc>
          <w:tcPr/>
          <w:p>
            <w:pPr>
              <w:pStyle w:val="Compact"/>
            </w:pPr>
            <w:r>
              <w:t xml:space="preserve">S7 benefit (r=0.8)</w:t>
            </w:r>
          </w:p>
        </w:tc>
        <w:tc>
          <w:tcPr/>
          <w:p>
            <w:pPr>
              <w:pStyle w:val="Compact"/>
            </w:pPr>
            <w:r>
              <w:t xml:space="preserve">0.8</w:t>
            </w:r>
          </w:p>
        </w:tc>
        <w:tc>
          <w:tcPr/>
          <w:p>
            <w:pPr>
              <w:pStyle w:val="Compact"/>
            </w:pPr>
            <w:r>
              <w:t xml:space="preserve">0.83</w:t>
            </w:r>
          </w:p>
        </w:tc>
        <w:tc>
          <w:tcPr/>
          <w:p>
            <w:pPr>
              <w:pStyle w:val="Compact"/>
            </w:pPr>
            <w:r>
              <w:t xml:space="preserve">0.82</w:t>
            </w:r>
          </w:p>
        </w:tc>
        <w:tc>
          <w:tcPr/>
          <w:p>
            <w:pPr>
              <w:pStyle w:val="Compact"/>
            </w:pPr>
            <w:r>
              <w:t xml:space="preserve">-2.1%</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bl>
    <w:bookmarkEnd w:id="142"/>
    <w:p>
      <w:pPr>
        <w:pStyle w:val="BodyText"/>
      </w:pPr>
      <w:r>
        <w:rPr>
          <w:b/>
          <w:bCs/>
        </w:rPr>
        <w:t xml:space="preserve">Comparison with alternative estimands.</w:t>
      </w:r>
      <w:r>
        <w:br/>
      </w:r>
      <w:r>
        <w:t xml:space="preserve">Table 10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10,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10).</w:t>
      </w:r>
    </w:p>
    <w:p>
      <w:pPr>
        <w:pStyle w:val="BodyText"/>
      </w:pPr>
      <w:r>
        <w:t xml:space="preserve">In simulations where apparent effects arise solely from selection-induced depletion, KCOR was the only method to remain stable and near-null, while RMST and time-varying Cox produced non-null contrasts that varied with frailty strength, reflecting residual depletion geometry rather than causal signal (Table 10). Across selection-only scenarios, KCOR was the only estimand whose median deviation from the null remained approximately zero across the full frailty grid, whereas RMST and time-varying Cox produced systematic non-null contrasts that increased with frailty strength (Table 10).</w:t>
      </w:r>
    </w:p>
    <w:bookmarkStart w:id="143" w:name="tbl:comparison_estimands"/>
    <w:p>
      <w:pPr>
        <w:pStyle w:val="TableCaption"/>
      </w:pPr>
      <w:r>
        <w:t xml:space="preserve">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 (time-varying)</w:t>
            </w:r>
            <w:r>
              <w:t xml:space="preserve"> </w:t>
            </w:r>
            <w:r>
              <w:t xml:space="preserve">(diagnostic comparator)</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43"/>
    <w:p/>
    <w:bookmarkStart w:id="144" w:name="tbl:bootstrap_coverage"/>
    <w:p>
      <w:pPr>
        <w:pStyle w:val="TableCaption"/>
      </w:pPr>
      <w:r>
        <w:t xml:space="preserve">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94.2%</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93.8%</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93.5%</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89.3%</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87.6%</w:t>
            </w:r>
          </w:p>
        </w:tc>
        <w:tc>
          <w:tcPr/>
          <w:p>
            <w:pPr>
              <w:pStyle w:val="Compact"/>
            </w:pPr>
            <w:r>
              <w:t xml:space="preserve">Coverage under reduced event counts</w:t>
            </w:r>
          </w:p>
        </w:tc>
      </w:tr>
    </w:tbl>
    <w:bookmarkEnd w:id="144"/>
    <w:bookmarkEnd w:id="145"/>
    <w:bookmarkStart w:id="146"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46"/>
    <w:bookmarkStart w:id="147"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We include a national-scale application using Czech registry data to illustrate the behavior of KCOR under real-world non-proportional hazards. This application is intended to demonstrate the method’s operation and diagnostics rather than to support causal inference about the intervention. An applied illustration using Czech national records is provided in the Supplement to demonstrate end-to-end use of KCOR on administrative data; the primary validation in the main text is based on synthetic and empirical control experiments designed to probe failure modes.</w:t>
      </w:r>
    </w:p>
    <w:p>
      <w:pPr>
        <w:pStyle w:val="BodyText"/>
      </w:pPr>
      <w:r>
        <w:t xml:space="preserve">As a validation check, adequacy of the gamma-frailty normalization was assessed using quiet-window fit diagnostics, including the estimated frailty variance, residual dispersion, maximum deviation from linearity, and residual drift per year. For the all-ages cohort—which represents the most heterogeneous and challenging case—these diagnostics showed minimal residual curvature and negligible drift, indicating that gamma frailty adequately explains the observed hazard curvature during the quiet window. Full diagnostic outputs for all cohorts are reported in KCOR_summary.xlsx.</w:t>
      </w:r>
    </w:p>
    <w:bookmarkEnd w:id="147"/>
    <w:bookmarkEnd w:id="148"/>
    <w:bookmarkStart w:id="154" w:name="discussion"/>
    <w:p>
      <w:pPr>
        <w:pStyle w:val="Heading2"/>
      </w:pPr>
      <w:r>
        <w:t xml:space="preserve">4. Discussion</w:t>
      </w:r>
    </w:p>
    <w:p>
      <w:pPr>
        <w:pStyle w:val="FirstParagraph"/>
      </w:pPr>
      <w:r>
        <w:rPr>
          <w:b/>
          <w:bCs/>
        </w:rPr>
        <w:t xml:space="preserve">Scope statement (non-causal positioning).</w:t>
      </w:r>
      <w:r>
        <w:t xml:space="preserve"> </w:t>
      </w:r>
      <w:r>
        <w:t xml:space="preserve">KCOR is not a causal identification strategy. It is a normalization-and-diagnostic framework designed to remove a specific and dominant bias geometry—selection-induced depletion under latent frailty—prior to cohort comparison. The method does not claim to recover treatment-specific causal effects under arbitrary baseline or time-varying confounding. Instead, KCOR produces a depletion-neutralized cumulative contrast whose interpretability is conditional on explicit assumptions and on internal diagnostics indicating that selection-induced curvature has been successfully removed. When those diagnostics fail, KCOR is intended to signal non-identifiability rather than silently produce a corrected estimate.</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49"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149"/>
    <w:bookmarkStart w:id="150"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For intuition, a value such as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t>1.2</m:t>
        </m:r>
      </m:oMath>
      <w:r>
        <w:t xml:space="preserve"> </w:t>
      </w:r>
      <w:r>
        <w:t xml:space="preserve">indicates that, after depletion normalization, cohort A has accumulated approximately 20% greater cumulative hazard than cohort B by time</w:t>
      </w:r>
      <w:r>
        <w:t xml:space="preserve"> </w:t>
      </w:r>
      <m:oMath>
        <m:r>
          <m:t>t</m:t>
        </m:r>
      </m:oMath>
      <w:r>
        <w:t xml:space="preserve">. This corresponds to a uniformly higher cumulative risk trajectory over follow-up, rather than a time-localized hazard spike, and does not imply a constant instantaneous hazard ratio.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zero—reflecting an estimand mismatch where Cox targets a different quantity under depletion than KCOR’s cumulative estimand. Cox is behaving correctly for its estimand, but that estimand may not align with the scientific question when selection-induced depletion is present. KCOR remains centered near unity with negligible post-normalization slope under the same conditions.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7"/>
        </w:numPr>
      </w:pPr>
      <w:r>
        <w:t xml:space="preserve">selection-induced depletion dynamics can be estimated during quiet periods using a gamma-frailty mixture model, and</w:t>
      </w:r>
    </w:p>
    <w:p>
      <w:pPr>
        <w:pStyle w:val="Compact"/>
        <w:numPr>
          <w:ilvl w:val="0"/>
          <w:numId w:val="1027"/>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50"/>
    <w:bookmarkStart w:id="151"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51"/>
    <w:bookmarkStart w:id="152" w:name="practical-guidelines-for-implementation"/>
    <w:p>
      <w:pPr>
        <w:pStyle w:val="Heading3"/>
      </w:pPr>
      <w:r>
        <w:t xml:space="preserve">4.3 Practical Guidelines for Implementation</w:t>
      </w:r>
    </w:p>
    <w:p>
      <w:pPr>
        <w:pStyle w:val="FirstParagraph"/>
      </w:pPr>
      <w:r>
        <w:t xml:space="preserve">This subsection summarizes recommended operational practices for applying KCOR in retrospective cohort studies and for assessing when resulting contrasts are interpretable.</w:t>
      </w:r>
    </w:p>
    <w:p>
      <w:pPr>
        <w:pStyle w:val="BodyText"/>
      </w:pPr>
      <w:r>
        <w:t xml:space="preserve">Recommended reporting includes:</w:t>
      </w:r>
    </w:p>
    <w:p>
      <w:pPr>
        <w:pStyle w:val="Compact"/>
        <w:numPr>
          <w:ilvl w:val="0"/>
          <w:numId w:val="1028"/>
        </w:numPr>
      </w:pPr>
      <w:r>
        <w:t xml:space="preserve">Enrollment definition and justification</w:t>
      </w:r>
    </w:p>
    <w:p>
      <w:pPr>
        <w:pStyle w:val="Compact"/>
        <w:numPr>
          <w:ilvl w:val="0"/>
          <w:numId w:val="1028"/>
        </w:numPr>
      </w:pPr>
      <w:r>
        <w:t xml:space="preserve">Risk set definitions and event-time binning</w:t>
      </w:r>
    </w:p>
    <w:p>
      <w:pPr>
        <w:pStyle w:val="Compact"/>
        <w:numPr>
          <w:ilvl w:val="0"/>
          <w:numId w:val="1028"/>
        </w:numPr>
      </w:pPr>
      <w:r>
        <w:t xml:space="preserve">Quiet-window definition and justification</w:t>
      </w:r>
    </w:p>
    <w:p>
      <w:pPr>
        <w:pStyle w:val="Compact"/>
        <w:numPr>
          <w:ilvl w:val="0"/>
          <w:numId w:val="1028"/>
        </w:numPr>
      </w:pPr>
      <w:r>
        <w:t xml:space="preserve">Baseline-shape choice (default constant baseline over the fit window) and fit diagnostics</w:t>
      </w:r>
    </w:p>
    <w:p>
      <w:pPr>
        <w:pStyle w:val="Compact"/>
        <w:numPr>
          <w:ilvl w:val="0"/>
          <w:numId w:val="1028"/>
        </w:numPr>
      </w:pPr>
      <w:r>
        <w:t xml:space="preserve">Skip/stabilization rule and robustness to nearby values</w:t>
      </w:r>
    </w:p>
    <w:p>
      <w:pPr>
        <w:pStyle w:val="Compact"/>
        <w:numPr>
          <w:ilvl w:val="0"/>
          <w:numId w:val="1028"/>
        </w:numPr>
      </w:pPr>
      <w:r>
        <w:t xml:space="preserve">Predefined negative/positive controls used for validation</w:t>
      </w:r>
    </w:p>
    <w:p>
      <w:pPr>
        <w:pStyle w:val="Compact"/>
        <w:numPr>
          <w:ilvl w:val="0"/>
          <w:numId w:val="1028"/>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52"/>
    <w:bookmarkStart w:id="153"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53"/>
    <w:bookmarkEnd w:id="154"/>
    <w:bookmarkStart w:id="158" w:name="limitations"/>
    <w:p>
      <w:pPr>
        <w:pStyle w:val="Heading2"/>
      </w:pPr>
      <w:r>
        <w:t xml:space="preserve">5. Limitations</w:t>
      </w:r>
    </w:p>
    <w:p>
      <w:pPr>
        <w:pStyle w:val="Compact"/>
        <w:numPr>
          <w:ilvl w:val="0"/>
          <w:numId w:val="1029"/>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9"/>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9"/>
        </w:numPr>
      </w:pPr>
      <m:oMath>
        <m:r>
          <m:t>θ</m:t>
        </m:r>
      </m:oMath>
      <w:r>
        <w:rPr>
          <w:b/>
          <w:bCs/>
        </w:rPr>
        <w:t xml:space="preserve"> </w:t>
      </w:r>
      <w:r>
        <w:rPr>
          <w:b/>
          <w:bCs/>
        </w:rPr>
        <w:t xml:space="preserve">estimation is data-driven</w:t>
      </w:r>
      <w:r>
        <w:t xml:space="preserve">: KCOR does not impose</w:t>
      </w:r>
      <w:r>
        <w:t xml:space="preserve"> </w:t>
      </w:r>
      <m:oMath>
        <m:r>
          <m:t>θ</m:t>
        </m:r>
        <m:r>
          <m:rPr>
            <m:sty m:val="p"/>
          </m:rPr>
          <m:t>=</m:t>
        </m:r>
        <m:r>
          <m:t>0</m:t>
        </m:r>
      </m:oMath>
      <w:r>
        <w:t xml:space="preserve"> </w:t>
      </w:r>
      <w:r>
        <w:t xml:space="preserve">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9"/>
        </w:numPr>
      </w:pPr>
      <w:r>
        <w:rPr>
          <w:b/>
          <w:bCs/>
        </w:rPr>
        <w:t xml:space="preserve">Sparse events</w:t>
      </w:r>
      <w:r>
        <w:t xml:space="preserve">: When event counts are small, hazard estimation and parameter fitting can be unstable.</w:t>
      </w:r>
    </w:p>
    <w:p>
      <w:pPr>
        <w:pStyle w:val="Compact"/>
        <w:numPr>
          <w:ilvl w:val="0"/>
          <w:numId w:val="1029"/>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9"/>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9"/>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55"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30"/>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30"/>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30"/>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30"/>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31"/>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31"/>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31"/>
        </w:numPr>
      </w:pPr>
      <w:r>
        <w:rPr>
          <w:b/>
          <w:bCs/>
        </w:rPr>
        <w:t xml:space="preserve">Sensitivity analyses</w:t>
      </w:r>
      <w:r>
        <w:t xml:space="preserve"> </w:t>
      </w:r>
      <w:r>
        <w:t xml:space="preserve">over plausible quiet windows and skip-weeks values.</w:t>
      </w:r>
    </w:p>
    <w:p>
      <w:pPr>
        <w:pStyle w:val="Compact"/>
        <w:numPr>
          <w:ilvl w:val="0"/>
          <w:numId w:val="1031"/>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55"/>
    <w:bookmarkStart w:id="156"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56"/>
    <w:bookmarkStart w:id="157"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57"/>
    <w:bookmarkEnd w:id="158"/>
    <w:bookmarkStart w:id="159"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59"/>
    <w:bookmarkStart w:id="170" w:name="declarations"/>
    <w:p>
      <w:pPr>
        <w:pStyle w:val="Heading2"/>
      </w:pPr>
      <w:r>
        <w:t xml:space="preserve">Declarations</w:t>
      </w:r>
    </w:p>
    <w:bookmarkStart w:id="160"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5 and 6) use aggregated cohort summaries derived from Czech Republic administrative data; no record-level data are shared in this manuscript.</w:t>
      </w:r>
      <w:r>
        <w:rPr>
          <w:vertAlign w:val="superscript"/>
        </w:rPr>
        <w:t xml:space="preserve">12</w:t>
      </w:r>
    </w:p>
    <w:bookmarkEnd w:id="160"/>
    <w:bookmarkStart w:id="161" w:name="consent-for-publication"/>
    <w:p>
      <w:pPr>
        <w:pStyle w:val="Heading3"/>
      </w:pPr>
      <w:r>
        <w:t xml:space="preserve">Consent for publication</w:t>
      </w:r>
    </w:p>
    <w:p>
      <w:pPr>
        <w:pStyle w:val="FirstParagraph"/>
      </w:pPr>
      <w:r>
        <w:t xml:space="preserve">Not applicable.</w:t>
      </w:r>
    </w:p>
    <w:bookmarkEnd w:id="161"/>
    <w:bookmarkStart w:id="162"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2"/>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2"/>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2"/>
        </w:numPr>
      </w:pPr>
      <w:r>
        <w:t xml:space="preserve">The reference implementation includes example datasets in KCOR_CMR format for reproducibility.</w:t>
      </w:r>
    </w:p>
    <w:p>
      <w:pPr>
        <w:pStyle w:val="Compact"/>
        <w:numPr>
          <w:ilvl w:val="0"/>
          <w:numId w:val="1032"/>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62"/>
    <w:bookmarkStart w:id="165" w:name="code-availability"/>
    <w:p>
      <w:pPr>
        <w:pStyle w:val="Heading3"/>
      </w:pPr>
      <w:r>
        <w:t xml:space="preserve">Code availability</w:t>
      </w:r>
    </w:p>
    <w:p>
      <w:pPr>
        <w:pStyle w:val="Compact"/>
        <w:numPr>
          <w:ilvl w:val="0"/>
          <w:numId w:val="1033"/>
        </w:numPr>
      </w:pPr>
      <w:r>
        <w:t xml:space="preserve">The KCOR reference implementation and complete validation suite are available in the project repository.</w:t>
      </w:r>
    </w:p>
    <w:p>
      <w:pPr>
        <w:pStyle w:val="Compact"/>
        <w:numPr>
          <w:ilvl w:val="0"/>
          <w:numId w:val="1033"/>
        </w:numPr>
      </w:pPr>
      <w:r>
        <w:t xml:space="preserve">Repository URL:</w:t>
      </w:r>
      <w:r>
        <w:t xml:space="preserve"> </w:t>
      </w:r>
      <w:hyperlink r:id="rId163">
        <w:r>
          <w:rPr>
            <w:rStyle w:val="Hyperlink"/>
          </w:rPr>
          <w:t xml:space="preserve">https://github.com/skirsch/KCOR</w:t>
        </w:r>
      </w:hyperlink>
    </w:p>
    <w:p>
      <w:pPr>
        <w:pStyle w:val="Compact"/>
        <w:numPr>
          <w:ilvl w:val="0"/>
          <w:numId w:val="1033"/>
        </w:numPr>
      </w:pPr>
      <w:r>
        <w:t xml:space="preserve">Zenodo DOI:</w:t>
      </w:r>
      <w:r>
        <w:t xml:space="preserve"> </w:t>
      </w:r>
      <w:hyperlink r:id="rId164">
        <w:r>
          <w:rPr>
            <w:rStyle w:val="Hyperlink"/>
          </w:rPr>
          <w:t xml:space="preserve">10.5281/zenodo.18050329</w:t>
        </w:r>
      </w:hyperlink>
    </w:p>
    <w:p>
      <w:pPr>
        <w:pStyle w:val="Compact"/>
        <w:numPr>
          <w:ilvl w:val="0"/>
          <w:numId w:val="1033"/>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65"/>
    <w:bookmarkStart w:id="166" w:name="competing-interests"/>
    <w:p>
      <w:pPr>
        <w:pStyle w:val="Heading3"/>
      </w:pPr>
      <w:r>
        <w:t xml:space="preserve">Competing interests</w:t>
      </w:r>
    </w:p>
    <w:p>
      <w:pPr>
        <w:pStyle w:val="FirstParagraph"/>
      </w:pPr>
      <w:r>
        <w:t xml:space="preserve">The author is a board member of the Vaccine Safety Research Foundation.</w:t>
      </w:r>
    </w:p>
    <w:bookmarkEnd w:id="166"/>
    <w:bookmarkStart w:id="167" w:name="funding"/>
    <w:p>
      <w:pPr>
        <w:pStyle w:val="Heading3"/>
      </w:pPr>
      <w:r>
        <w:t xml:space="preserve">Funding</w:t>
      </w:r>
    </w:p>
    <w:p>
      <w:pPr>
        <w:pStyle w:val="FirstParagraph"/>
      </w:pPr>
      <w:r>
        <w:t xml:space="preserve">This research received no external funding.</w:t>
      </w:r>
    </w:p>
    <w:bookmarkEnd w:id="167"/>
    <w:bookmarkStart w:id="168"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68"/>
    <w:bookmarkStart w:id="169" w:name="acknowledgements"/>
    <w:p>
      <w:pPr>
        <w:pStyle w:val="Heading3"/>
      </w:pPr>
      <w:r>
        <w:t xml:space="preserve">Acknowledgements</w:t>
      </w:r>
    </w:p>
    <w:p>
      <w:pPr>
        <w:pStyle w:val="FirstParagraph"/>
      </w:pPr>
      <w:r>
        <w:t xml:space="preserve">The author thanks James Lyons-Weiler. Dr. Clare Craig, and Paul Fischer for helpful discussions and methodological feedback during the development of this work. All errors remain the author’s responsibility.</w:t>
      </w:r>
    </w:p>
    <w:bookmarkEnd w:id="169"/>
    <w:bookmarkEnd w:id="170"/>
    <w:bookmarkStart w:id="195" w:name="references"/>
    <w:p>
      <w:pPr>
        <w:pStyle w:val="Heading2"/>
      </w:pPr>
      <w:r>
        <w:t xml:space="preserve">References</w:t>
      </w:r>
    </w:p>
    <w:bookmarkStart w:id="194" w:name="refs"/>
    <w:bookmarkStart w:id="172"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71">
        <w:r>
          <w:rPr>
            <w:rStyle w:val="Hyperlink"/>
          </w:rPr>
          <w:t xml:space="preserve">10.2307/2061224</w:t>
        </w:r>
      </w:hyperlink>
    </w:p>
    <w:bookmarkEnd w:id="172"/>
    <w:bookmarkStart w:id="174"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73">
        <w:r>
          <w:rPr>
            <w:rStyle w:val="Hyperlink"/>
          </w:rPr>
          <w:t xml:space="preserve">10.2147/CLEP.S468572</w:t>
        </w:r>
      </w:hyperlink>
    </w:p>
    <w:bookmarkEnd w:id="174"/>
    <w:bookmarkStart w:id="176"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75">
        <w:r>
          <w:rPr>
            <w:rStyle w:val="Hyperlink"/>
          </w:rPr>
          <w:t xml:space="preserve">10.7554/eLife.103690</w:t>
        </w:r>
      </w:hyperlink>
    </w:p>
    <w:bookmarkEnd w:id="176"/>
    <w:bookmarkStart w:id="178"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77">
        <w:r>
          <w:rPr>
            <w:rStyle w:val="Hyperlink"/>
          </w:rPr>
          <w:t xml:space="preserve">10.1093/biomet/81.3.515</w:t>
        </w:r>
      </w:hyperlink>
    </w:p>
    <w:bookmarkEnd w:id="178"/>
    <w:bookmarkStart w:id="180"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79">
        <w:r>
          <w:rPr>
            <w:rStyle w:val="Hyperlink"/>
          </w:rPr>
          <w:t xml:space="preserve">10.1214/aos/1176345976</w:t>
        </w:r>
      </w:hyperlink>
    </w:p>
    <w:bookmarkEnd w:id="180"/>
    <w:bookmarkStart w:id="182"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81">
        <w:r>
          <w:rPr>
            <w:rStyle w:val="Hyperlink"/>
          </w:rPr>
          <w:t xml:space="preserve">10.1002/sim.1203</w:t>
        </w:r>
      </w:hyperlink>
    </w:p>
    <w:bookmarkEnd w:id="182"/>
    <w:bookmarkStart w:id="184"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83">
        <w:r>
          <w:rPr>
            <w:rStyle w:val="Hyperlink"/>
          </w:rPr>
          <w:t xml:space="preserve">10.1002/sim.4780080803</w:t>
        </w:r>
      </w:hyperlink>
    </w:p>
    <w:bookmarkEnd w:id="184"/>
    <w:bookmarkStart w:id="186"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85">
        <w:r>
          <w:rPr>
            <w:rStyle w:val="Hyperlink"/>
          </w:rPr>
          <w:t xml:space="preserve">10.1093/biomet/81.1.61</w:t>
        </w:r>
      </w:hyperlink>
    </w:p>
    <w:bookmarkEnd w:id="186"/>
    <w:bookmarkStart w:id="188"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87">
        <w:r>
          <w:rPr>
            <w:rStyle w:val="Hyperlink"/>
          </w:rPr>
          <w:t xml:space="preserve">10.1111/j.1467-9469.2006.00529.x</w:t>
        </w:r>
      </w:hyperlink>
    </w:p>
    <w:bookmarkEnd w:id="188"/>
    <w:bookmarkStart w:id="190"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89">
        <w:r>
          <w:rPr>
            <w:rStyle w:val="Hyperlink"/>
          </w:rPr>
          <w:t xml:space="preserve">10.1097/00001648-200009000-00011</w:t>
        </w:r>
      </w:hyperlink>
    </w:p>
    <w:bookmarkEnd w:id="190"/>
    <w:bookmarkStart w:id="192"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91">
        <w:r>
          <w:rPr>
            <w:rStyle w:val="Hyperlink"/>
          </w:rPr>
          <w:t xml:space="preserve">10.1093/aje/kwn164</w:t>
        </w:r>
      </w:hyperlink>
    </w:p>
    <w:bookmarkEnd w:id="192"/>
    <w:bookmarkStart w:id="193"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93"/>
    <w:bookmarkEnd w:id="194"/>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70" Target="media/rId70.png" /><Relationship Type="http://schemas.openxmlformats.org/officeDocument/2006/relationships/image" Id="rId92" Target="media/rId92.png" /><Relationship Type="http://schemas.openxmlformats.org/officeDocument/2006/relationships/image" Id="rId110" Target="media/rId110.png" /><Relationship Type="http://schemas.openxmlformats.org/officeDocument/2006/relationships/image" Id="rId134" Target="media/rId134.png" /><Relationship Type="http://schemas.openxmlformats.org/officeDocument/2006/relationships/image" Id="rId130" Target="media/rId130.png" /><Relationship Type="http://schemas.openxmlformats.org/officeDocument/2006/relationships/image" Id="rId116" Target="media/rId116.png" /><Relationship Type="http://schemas.openxmlformats.org/officeDocument/2006/relationships/image" Id="rId126" Target="media/rId126.png" /><Relationship Type="http://schemas.openxmlformats.org/officeDocument/2006/relationships/image" Id="rId122" Target="media/rId122.png" /><Relationship Type="http://schemas.openxmlformats.org/officeDocument/2006/relationships/image" Id="rId138" Target="media/rId138.png" /><Relationship Type="http://schemas.openxmlformats.org/officeDocument/2006/relationships/hyperlink" Id="rId181" Target="https://doi.org/10.1002/sim.1203" TargetMode="External" /><Relationship Type="http://schemas.openxmlformats.org/officeDocument/2006/relationships/hyperlink" Id="rId183" Target="https://doi.org/10.1002/sim.4780080803" TargetMode="External" /><Relationship Type="http://schemas.openxmlformats.org/officeDocument/2006/relationships/hyperlink" Id="rId191" Target="https://doi.org/10.1093/aje/kwn164" TargetMode="External" /><Relationship Type="http://schemas.openxmlformats.org/officeDocument/2006/relationships/hyperlink" Id="rId185" Target="https://doi.org/10.1093/biomet/81.1.61" TargetMode="External" /><Relationship Type="http://schemas.openxmlformats.org/officeDocument/2006/relationships/hyperlink" Id="rId177" Target="https://doi.org/10.1093/biomet/81.3.515" TargetMode="External" /><Relationship Type="http://schemas.openxmlformats.org/officeDocument/2006/relationships/hyperlink" Id="rId189" Target="https://doi.org/10.1097/00001648-200009000-00011" TargetMode="External" /><Relationship Type="http://schemas.openxmlformats.org/officeDocument/2006/relationships/hyperlink" Id="rId187" Target="https://doi.org/10.1111/j.1467-9469.2006.00529.x" TargetMode="External" /><Relationship Type="http://schemas.openxmlformats.org/officeDocument/2006/relationships/hyperlink" Id="rId179" Target="https://doi.org/10.1214/aos/1176345976" TargetMode="External" /><Relationship Type="http://schemas.openxmlformats.org/officeDocument/2006/relationships/hyperlink" Id="rId173" Target="https://doi.org/10.2147/CLEP.S468572" TargetMode="External" /><Relationship Type="http://schemas.openxmlformats.org/officeDocument/2006/relationships/hyperlink" Id="rId171" Target="https://doi.org/10.2307/2061224" TargetMode="External" /><Relationship Type="http://schemas.openxmlformats.org/officeDocument/2006/relationships/hyperlink" Id="rId164" Target="https://doi.org/10.5281/zenodo.18050329" TargetMode="External" /><Relationship Type="http://schemas.openxmlformats.org/officeDocument/2006/relationships/hyperlink" Id="rId175" Target="https://doi.org/10.7554/eLife.103690" TargetMode="External" /><Relationship Type="http://schemas.openxmlformats.org/officeDocument/2006/relationships/hyperlink" Id="rId163"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81" Target="https://doi.org/10.1002/sim.1203" TargetMode="External" /><Relationship Type="http://schemas.openxmlformats.org/officeDocument/2006/relationships/hyperlink" Id="rId183" Target="https://doi.org/10.1002/sim.4780080803" TargetMode="External" /><Relationship Type="http://schemas.openxmlformats.org/officeDocument/2006/relationships/hyperlink" Id="rId191" Target="https://doi.org/10.1093/aje/kwn164" TargetMode="External" /><Relationship Type="http://schemas.openxmlformats.org/officeDocument/2006/relationships/hyperlink" Id="rId185" Target="https://doi.org/10.1093/biomet/81.1.61" TargetMode="External" /><Relationship Type="http://schemas.openxmlformats.org/officeDocument/2006/relationships/hyperlink" Id="rId177" Target="https://doi.org/10.1093/biomet/81.3.515" TargetMode="External" /><Relationship Type="http://schemas.openxmlformats.org/officeDocument/2006/relationships/hyperlink" Id="rId189" Target="https://doi.org/10.1097/00001648-200009000-00011" TargetMode="External" /><Relationship Type="http://schemas.openxmlformats.org/officeDocument/2006/relationships/hyperlink" Id="rId187" Target="https://doi.org/10.1111/j.1467-9469.2006.00529.x" TargetMode="External" /><Relationship Type="http://schemas.openxmlformats.org/officeDocument/2006/relationships/hyperlink" Id="rId179" Target="https://doi.org/10.1214/aos/1176345976" TargetMode="External" /><Relationship Type="http://schemas.openxmlformats.org/officeDocument/2006/relationships/hyperlink" Id="rId173" Target="https://doi.org/10.2147/CLEP.S468572" TargetMode="External" /><Relationship Type="http://schemas.openxmlformats.org/officeDocument/2006/relationships/hyperlink" Id="rId171" Target="https://doi.org/10.2307/2061224" TargetMode="External" /><Relationship Type="http://schemas.openxmlformats.org/officeDocument/2006/relationships/hyperlink" Id="rId164" Target="https://doi.org/10.5281/zenodo.18050329" TargetMode="External" /><Relationship Type="http://schemas.openxmlformats.org/officeDocument/2006/relationships/hyperlink" Id="rId175" Target="https://doi.org/10.7554/eLife.103690" TargetMode="External" /><Relationship Type="http://schemas.openxmlformats.org/officeDocument/2006/relationships/hyperlink" Id="rId163"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2026-01-07T07:53:47Z</dcterms:created>
  <dcterms:modified xsi:type="dcterms:W3CDTF">2026-01-07T07:53:47Z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drop_div">
    <vt:lpwstr>supp</vt:lpwstr>
  </property>
  <property fmtid="{D5CDD505-2E9C-101B-9397-08002B2CF9AE}" pid="16" name="eqLabels">
    <vt:lpwstr>arabic</vt:lpwstr>
  </property>
  <property fmtid="{D5CDD505-2E9C-101B-9397-08002B2CF9AE}" pid="17" name="eqnBlockInlineMath">
    <vt:lpwstr>True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(i)</vt:lpwstr>
  </property>
  <property fmtid="{D5CDD505-2E9C-101B-9397-08002B2CF9AE}" pid="25" name="eqnTemplate">
    <vt:lpwstr>(i)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i</vt:lpwstr>
  </property>
  <property fmtid="{D5CDD505-2E9C-101B-9397-08002B2CF9AE}" pid="30" name="figureTemplate">
    <vt:lpwstr>figureTitle i. t</vt:lpwstr>
  </property>
  <property fmtid="{D5CDD505-2E9C-101B-9397-08002B2CF9AE}" pid="31" name="figureTitle">
    <vt:lpwstr>Figure</vt:lpwstr>
  </property>
  <property fmtid="{D5CDD505-2E9C-101B-9397-08002B2CF9AE}" pid="32" name="lastDelim">
    <vt:lpwstr>, </vt:lpwstr>
  </property>
  <property fmtid="{D5CDD505-2E9C-101B-9397-08002B2CF9AE}" pid="33" name="linkReferences">
    <vt:lpwstr>False</vt:lpwstr>
  </property>
  <property fmtid="{D5CDD505-2E9C-101B-9397-08002B2CF9AE}" pid="34" name="listItemTitleDelim">
    <vt:lpwstr>.</vt:lpwstr>
  </property>
  <property fmtid="{D5CDD505-2E9C-101B-9397-08002B2CF9AE}" pid="35" name="listOfMetadata">
    <vt:lpwstr>False</vt:lpwstr>
  </property>
  <property fmtid="{D5CDD505-2E9C-101B-9397-08002B2CF9AE}" pid="36" name="listingTemplate">
    <vt:lpwstr>listingTitle ititleDelim t</vt:lpwstr>
  </property>
  <property fmtid="{D5CDD505-2E9C-101B-9397-08002B2CF9AE}" pid="37" name="listingTitle">
    <vt:lpwstr>Listing</vt:lpwstr>
  </property>
  <property fmtid="{D5CDD505-2E9C-101B-9397-08002B2CF9AE}" pid="38" name="listings">
    <vt:lpwstr>False</vt:lpwstr>
  </property>
  <property fmtid="{D5CDD505-2E9C-101B-9397-08002B2CF9AE}" pid="39" name="lofItemTemplate">
    <vt:lpwstr>lofItemTitleilistItemTitleDelimt </vt:lpwstr>
  </property>
  <property fmtid="{D5CDD505-2E9C-101B-9397-08002B2CF9AE}" pid="40" name="lofItemTitle">
    <vt:lpwstr/>
  </property>
  <property fmtid="{D5CDD505-2E9C-101B-9397-08002B2CF9AE}" pid="41" name="lofTitle">
    <vt:lpwstr>List of Figures</vt:lpwstr>
  </property>
  <property fmtid="{D5CDD505-2E9C-101B-9397-08002B2CF9AE}" pid="42" name="lolItemTemplate">
    <vt:lpwstr>lolItemTitleilistItemTitleDelimt </vt:lpwstr>
  </property>
  <property fmtid="{D5CDD505-2E9C-101B-9397-08002B2CF9AE}" pid="43" name="lolItemTitle">
    <vt:lpwstr/>
  </property>
  <property fmtid="{D5CDD505-2E9C-101B-9397-08002B2CF9AE}" pid="44" name="lolTitle">
    <vt:lpwstr>List of Listings</vt:lpwstr>
  </property>
  <property fmtid="{D5CDD505-2E9C-101B-9397-08002B2CF9AE}" pid="45" name="lotItemTemplate">
    <vt:lpwstr>lotItemTitleilistItemTitleDelimt </vt:lpwstr>
  </property>
  <property fmtid="{D5CDD505-2E9C-101B-9397-08002B2CF9AE}" pid="46" name="lotItemTitle">
    <vt:lpwstr/>
  </property>
  <property fmtid="{D5CDD505-2E9C-101B-9397-08002B2CF9AE}" pid="47" name="lotTitle">
    <vt:lpwstr>List of Tables</vt:lpwstr>
  </property>
  <property fmtid="{D5CDD505-2E9C-101B-9397-08002B2CF9AE}" pid="48" name="lstLabels">
    <vt:lpwstr>arabic</vt:lpwstr>
  </property>
  <property fmtid="{D5CDD505-2E9C-101B-9397-08002B2CF9AE}" pid="49" name="lstPrefix">
    <vt:lpwstr/>
  </property>
  <property fmtid="{D5CDD505-2E9C-101B-9397-08002B2CF9AE}" pid="50" name="lstPrefixTemplate">
    <vt:lpwstr>p i</vt:lpwstr>
  </property>
  <property fmtid="{D5CDD505-2E9C-101B-9397-08002B2CF9AE}" pid="51" name="nameInLink">
    <vt:lpwstr>False</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True</vt:lpwstr>
  </property>
  <property fmtid="{D5CDD505-2E9C-101B-9397-08002B2CF9AE}" pid="69" name="tableTemplate">
    <vt:lpwstr>tableTitle i.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i</vt:lpwstr>
  </property>
  <property fmtid="{D5CDD505-2E9C-101B-9397-08002B2CF9AE}" pid="74" name="titleDelim">
    <vt:lpwstr/>
  </property>
</Properties>
</file>