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33.png" ContentType="image/png"/>
  <Override PartName="/word/media/rId3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supp"/>
    <w:bookmarkStart w:id="67" w:name="kcor-supplementary-material"/>
    <w:p>
      <w:pPr>
        <w:pStyle w:val="Heading2"/>
      </w:pPr>
      <w:r>
        <w:t xml:space="preserve">KCOR Supplementary material</w:t>
      </w:r>
    </w:p>
    <w:p>
      <w:pPr>
        <w:pStyle w:val="FirstParagraph"/>
      </w:pPr>
      <w:r>
        <w:t xml:space="preserve">Supplementary appendices provide mathematical derivations and full control-test specifications.</w:t>
      </w:r>
    </w:p>
    <w:bookmarkStart w:id="15" w:name="appendix-a.-mathematical-derivations"/>
    <w:p>
      <w:pPr>
        <w:pStyle w:val="Heading3"/>
      </w:pPr>
      <w:r>
        <w:t xml:space="preserve">Appendix A. Mathematical derivations</w:t>
      </w:r>
    </w:p>
    <w:bookmarkStart w:id="9"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in which individual</w:t>
      </w:r>
      <w:r>
        <w:t xml:space="preserve"> </w:t>
      </w:r>
      <m:oMath>
        <m:r>
          <m:t>i</m:t>
        </m:r>
      </m:oMath>
      <w:r>
        <w:t xml:space="preserve"> </w:t>
      </w:r>
      <w:r>
        <w:t xml:space="preserve">has hazard</w:t>
      </w:r>
    </w:p>
    <w:p>
      <w:pPr>
        <w:pStyle w:val="BodyText"/>
      </w:pPr>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oMath>
      </m:oMathPara>
    </w:p>
    <w:p>
      <w:pPr>
        <w:pStyle w:val="FirstParagraph"/>
      </w:pPr>
      <w:r>
        <w:t xml:space="preserve">where the frailty</w:t>
      </w:r>
      <w:r>
        <w:t xml:space="preserve"> </w:t>
      </w:r>
      <m:oMath>
        <m:sSub>
          <m:e>
            <m:r>
              <m:t>z</m:t>
            </m:r>
          </m:e>
          <m:sub>
            <m:r>
              <m:t>i</m:t>
            </m:r>
            <m:r>
              <m:rPr>
                <m:sty m:val="p"/>
              </m:rPr>
              <m:t>,</m:t>
            </m:r>
            <m:r>
              <m:t>d</m:t>
            </m:r>
          </m:sub>
        </m:sSub>
      </m:oMath>
      <w:r>
        <w:t xml:space="preserve"> </w:t>
      </w:r>
      <w:r>
        <w:t xml:space="preserve">is drawn from a distribution with mean 1 and variance</w:t>
      </w:r>
      <w:r>
        <w:t xml:space="preserve"> </w:t>
      </w:r>
      <m:oMath>
        <m:sSub>
          <m:e>
            <m:r>
              <m:t>θ</m:t>
            </m:r>
          </m:e>
          <m:sub>
            <m:r>
              <m:t>d</m:t>
            </m:r>
          </m:sub>
        </m:sSub>
        <m:r>
          <m:rPr>
            <m:sty m:val="p"/>
          </m:rPr>
          <m:t>&gt;</m:t>
        </m:r>
        <m:r>
          <m:t>0</m:t>
        </m:r>
      </m:oMath>
      <w:r>
        <w:t xml:space="preserve">. Let</w:t>
      </w:r>
    </w:p>
    <w:p>
      <w:pPr>
        <w:pStyle w:val="BodyText"/>
      </w:pPr>
      <m:oMathPara>
        <m:oMathParaPr>
          <m:jc m:val="center"/>
        </m:oMathParaP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m:oMathPara>
    </w:p>
    <w:p>
      <w:pPr>
        <w:pStyle w:val="FirstParagraph"/>
      </w:pPr>
      <w:r>
        <w:t xml:space="preserve">denote the individual survival function, where</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m:oMathPara>
    </w:p>
    <w:p>
      <w:pPr>
        <w:pStyle w:val="FirstParagraph"/>
      </w:pPr>
      <w:r>
        <w:t xml:space="preserve">is the baseline cumulative hazard.</w:t>
      </w:r>
    </w:p>
    <w:p>
      <w:pPr>
        <w:pStyle w:val="BodyText"/>
      </w:pPr>
      <w:r>
        <w:t xml:space="preserve">The cohort survival function, obtained by integrating over the frailty distribution, is</w:t>
      </w:r>
    </w:p>
    <w:p>
      <w:pPr>
        <w:pStyle w:val="BodyText"/>
      </w:pPr>
      <m:oMathPara>
        <m:oMathParaPr>
          <m:jc m:val="center"/>
        </m:oMathParaPr>
        <m:oMath>
          <m:sSub>
            <m:e>
              <m:r>
                <m:t>S</m:t>
              </m:r>
            </m:e>
            <m:sub>
              <m:r>
                <m:t>d</m:t>
              </m:r>
            </m:sub>
          </m:sSub>
          <m:r>
            <m:rPr>
              <m:sty m:val="p"/>
            </m:rPr>
            <m:t>(</m:t>
          </m:r>
          <m:r>
            <m:t>t</m:t>
          </m:r>
          <m:r>
            <m:rPr>
              <m:sty m:val="p"/>
            </m:rPr>
            <m:t>)</m:t>
          </m:r>
          <m:r>
            <m:rPr>
              <m:sty m:val="p"/>
            </m:rPr>
            <m:t>=</m:t>
          </m:r>
          <m:r>
            <m:rPr>
              <m:scr m:val="double-struck"/>
              <m:sty m:val="p"/>
            </m:rPr>
            <m:t>E</m:t>
          </m:r>
          <m:r>
            <m:rPr>
              <m:sty m:val="p"/>
            </m:rPr>
            <m:t>[</m:t>
          </m:r>
          <m:sSub>
            <m:e>
              <m:r>
                <m:t>S</m:t>
              </m:r>
            </m:e>
            <m:sub>
              <m:r>
                <m:t>i</m:t>
              </m:r>
              <m:r>
                <m:rPr>
                  <m:sty m:val="p"/>
                </m:rPr>
                <m:t>,</m:t>
              </m:r>
              <m:r>
                <m:t>d</m:t>
              </m:r>
            </m:sub>
          </m:sSub>
          <m:r>
            <m:rPr>
              <m:sty m:val="p"/>
            </m:rPr>
            <m:t>(</m:t>
          </m:r>
          <m:r>
            <m:t>t</m:t>
          </m:r>
          <m:r>
            <m:rPr>
              <m:sty m:val="p"/>
            </m:rPr>
            <m:t>)</m:t>
          </m:r>
          <m:r>
            <m:rPr>
              <m:sty m:val="p"/>
            </m:rPr>
            <m:t>]</m:t>
          </m:r>
          <m:r>
            <m:rPr>
              <m:sty m:val="p"/>
            </m:rPr>
            <m:t>=</m:t>
          </m:r>
          <m:r>
            <m:rPr>
              <m:scr m:val="double-struck"/>
              <m:sty m:val="p"/>
            </m:rPr>
            <m:t>E</m:t>
          </m:r>
          <m:r>
            <m:rPr>
              <m:sty m:val="p"/>
            </m:rPr>
            <m:t>[</m:t>
          </m:r>
          <m:r>
            <m:rPr>
              <m:sty m:val="p"/>
            </m:rPr>
            <m:t>exp</m:t>
          </m:r>
          <m:r>
            <m:rPr>
              <m:sty m:val="p"/>
            </m:rPr>
            <m:t>(</m:t>
          </m:r>
          <m:r>
            <m:rPr>
              <m:sty m:val="p"/>
            </m:rPr>
            <m:t>−</m:t>
          </m:r>
          <m:r>
            <m:t>z</m:t>
          </m:r>
          <m:r>
            <m:t> </m:t>
          </m:r>
          <m:sSub>
            <m:e>
              <m:r>
                <m:t>H</m:t>
              </m:r>
            </m:e>
            <m:sub>
              <m:r>
                <m:t>0</m:t>
              </m:r>
              <m:r>
                <m:rPr>
                  <m:sty m:val="p"/>
                </m:rPr>
                <m:t>,</m:t>
              </m:r>
              <m:r>
                <m:t>d</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r>
                <m:rPr>
                  <m:sty m:val="p"/>
                </m:rPr>
                <m:t>,</m:t>
              </m:r>
              <m:r>
                <m:t>d</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denotes the Laplace transform of the frailty distribution. The corresponding cohort-level hazard is</w:t>
      </w:r>
    </w:p>
    <w:p>
      <w:pPr>
        <w:pStyle w:val="BodyText"/>
      </w:pPr>
      <m:oMathPara>
        <m:oMathParaPr>
          <m:jc m:val="center"/>
        </m:oMathParaPr>
        <m:oMath>
          <m:sSub>
            <m:e>
              <m:r>
                <m:t>h</m:t>
              </m:r>
            </m:e>
            <m:sub>
              <m:r>
                <m:t>d</m:t>
              </m:r>
            </m:sub>
          </m:sSub>
          <m:r>
            <m:rPr>
              <m:sty m:val="p"/>
            </m:rPr>
            <m:t>(</m:t>
          </m:r>
          <m:r>
            <m:t>t</m:t>
          </m:r>
          <m:r>
            <m:rPr>
              <m:sty m:val="p"/>
            </m:rPr>
            <m:t>)</m:t>
          </m:r>
          <m:r>
            <m:rPr>
              <m:sty m:val="p"/>
            </m:rPr>
            <m:t>=</m:t>
          </m:r>
          <m:r>
            <m:rPr>
              <m:sty m:val="p"/>
            </m:rPr>
            <m:t>−</m:t>
          </m:r>
          <m:f>
            <m:fPr>
              <m:type m:val="bar"/>
            </m:fPr>
            <m:num>
              <m:r>
                <m:t>d</m:t>
              </m:r>
            </m:num>
            <m:den>
              <m:r>
                <m:t>d</m:t>
              </m:r>
              <m:r>
                <m:t>t</m:t>
              </m:r>
            </m:den>
          </m:f>
          <m:r>
            <m:rPr>
              <m:sty m:val="p"/>
            </m:rPr>
            <m:t>log</m:t>
          </m:r>
          <m:sSub>
            <m:e>
              <m:r>
                <m:t>S</m:t>
              </m:r>
            </m:e>
            <m:sub>
              <m:r>
                <m:t>d</m:t>
              </m:r>
            </m:sub>
          </m:sSub>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 that</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
          <m:e>
            <m:r>
              <m:t>h</m:t>
            </m:r>
          </m:e>
          <m:sub>
            <m:r>
              <m:t>d</m:t>
            </m:r>
          </m:sub>
        </m:sSub>
        <m:r>
          <m:rPr>
            <m:sty m:val="p"/>
          </m:rPr>
          <m:t>(</m:t>
        </m:r>
        <m:r>
          <m:t>t</m:t>
        </m:r>
        <m:r>
          <m:rPr>
            <m:sty m:val="p"/>
          </m:rPr>
          <m:t>)</m:t>
        </m:r>
      </m:oMath>
      <w:r>
        <w:t xml:space="preserve"> </w:t>
      </w:r>
      <w:r>
        <w:t xml:space="preserve">is generally time-varying. High-frailty individuals experience events earlier, progressively depleting the higher-risk portion of the cohort and shifting the surviving population, conditional on survival, toward lower frailty over time. This selection-induced depletion is the mechanism by which frailty heterogeneity induces</w:t>
      </w:r>
      <w:r>
        <w:t xml:space="preserve"> </w:t>
      </w:r>
      <w:r>
        <w:rPr>
          <w:b/>
          <w:bCs/>
        </w:rPr>
        <w:t xml:space="preserve">curvature</w:t>
      </w:r>
      <w:r>
        <w:t xml:space="preserve"> </w:t>
      </w:r>
      <w:r>
        <w:t xml:space="preserve">in cohort-level hazards.</w:t>
      </w:r>
    </w:p>
    <w:bookmarkEnd w:id="9"/>
    <w:bookmarkStart w:id="10"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This is the gamma-frailty identity (see Equation (6) in the main text).</w:t>
      </w:r>
    </w:p>
    <w:bookmarkEnd w:id="10"/>
    <w:bookmarkStart w:id="11"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1"/>
    <w:bookmarkStart w:id="12"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2"/>
    <w:bookmarkStart w:id="13" w:name="X7ebe8ed6385dea6a688674d73c5f34d655b11b3"/>
    <w:p>
      <w:pPr>
        <w:pStyle w:val="Heading4"/>
      </w:pPr>
      <w:r>
        <w:t xml:space="preserve">A.4 Derivation and properties of Eq. (11)</w:t>
      </w:r>
    </w:p>
    <w:p>
      <w:pPr>
        <w:pStyle w:val="FirstParagraph"/>
      </w:pPr>
      <w:r>
        <w:t xml:space="preserve">Let</w:t>
      </w:r>
      <w:r>
        <w:t xml:space="preserve"> </w:t>
      </w:r>
      <m:oMath>
        <m:sSub>
          <m:e>
            <m:r>
              <m:t>d</m:t>
            </m:r>
          </m:e>
          <m:sub>
            <m:r>
              <m:t>d</m:t>
            </m:r>
          </m:sub>
        </m:sSub>
        <m:r>
          <m:rPr>
            <m:sty m:val="p"/>
          </m:rPr>
          <m:t>(</m:t>
        </m:r>
        <m:r>
          <m:t>t</m:t>
        </m:r>
        <m:r>
          <m:rPr>
            <m:sty m:val="p"/>
          </m:rPr>
          <m:t>)</m:t>
        </m:r>
      </m:oMath>
      <w:r>
        <w:t xml:space="preserve"> </w:t>
      </w:r>
      <w:r>
        <w:t xml:space="preserve">denote the number of events occurring during discrete interval</w:t>
      </w:r>
      <w:r>
        <w:t xml:space="preserve"> </w:t>
      </w:r>
      <m:oMath>
        <m:r>
          <m:t>t</m:t>
        </m:r>
      </m:oMath>
      <w:r>
        <w:t xml:space="preserve"> </w:t>
      </w:r>
      <w:r>
        <w:t xml:space="preserve">in cohort</w:t>
      </w:r>
      <w:r>
        <w:t xml:space="preserve"> </w:t>
      </w:r>
      <m:oMath>
        <m:r>
          <m:t>d</m:t>
        </m:r>
      </m:oMath>
      <w:r>
        <w:t xml:space="preserve">, and let</w:t>
      </w:r>
      <w:r>
        <w:t xml:space="preserve"> </w:t>
      </w:r>
      <m:oMath>
        <m:sSub>
          <m:e>
            <m:r>
              <m:t>N</m:t>
            </m:r>
          </m:e>
          <m:sub>
            <m:r>
              <m:t>d</m:t>
            </m:r>
          </m:sub>
        </m:sSub>
        <m:r>
          <m:rPr>
            <m:sty m:val="p"/>
          </m:rPr>
          <m:t>(</m:t>
        </m:r>
        <m:r>
          <m:t>t</m:t>
        </m:r>
        <m:r>
          <m:rPr>
            <m:sty m:val="p"/>
          </m:rPr>
          <m:t>)</m:t>
        </m:r>
      </m:oMath>
      <w:r>
        <w:t xml:space="preserve"> </w:t>
      </w:r>
      <w:r>
        <w:t xml:space="preserve">denote the number at risk at the start of that interval. The observed interval event probability is</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Under a piecewise-constant hazard assumption within each interval, the integrated hazard over interval</w:t>
      </w:r>
      <w:r>
        <w:t xml:space="preserve"> </w:t>
      </w:r>
      <m:oMath>
        <m:r>
          <m:t>t</m:t>
        </m:r>
      </m:oMath>
      <w:r>
        <w:t xml:space="preserve"> </w:t>
      </w:r>
      <w:r>
        <w:t xml:space="preserve">is related to the interval survival probability by</w:t>
      </w:r>
    </w:p>
    <w:p>
      <w:pPr>
        <w:pStyle w:val="BodyText"/>
      </w:pPr>
      <m:oMathPara>
        <m:oMathParaPr>
          <m:jc m:val="center"/>
        </m:oMathParaPr>
        <m:oMath>
          <m:r>
            <m:rPr>
              <m:sty m:val="p"/>
            </m:rPr>
            <m:t>Δ</m:t>
          </m:r>
          <m:sSub>
            <m:e>
              <m:r>
                <m:t>H</m:t>
              </m:r>
            </m:e>
            <m:sub>
              <m:r>
                <m:t>d</m:t>
              </m:r>
            </m:sub>
          </m:sSub>
          <m:r>
            <m:rPr>
              <m:sty m:val="p"/>
            </m:rPr>
            <m:t>(</m:t>
          </m:r>
          <m:r>
            <m:t>t</m:t>
          </m:r>
          <m:r>
            <m:rPr>
              <m:sty m:val="p"/>
            </m:rPr>
            <m:t>)</m:t>
          </m:r>
          <m:r>
            <m:rPr>
              <m:sty m:val="p"/>
            </m:rPr>
            <m:t>=</m:t>
          </m:r>
          <m:r>
            <m:rPr>
              <m:sty m:val="p"/>
            </m:rPr>
            <m:t>−</m:t>
          </m:r>
          <m:r>
            <m:rPr>
              <m:sty m:val="p"/>
            </m:rPr>
            <m:t>log</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oMath>
      </m:oMathPara>
    </w:p>
    <w:p>
      <w:pPr>
        <w:pStyle w:val="FirstParagraph"/>
      </w:pPr>
      <w:r>
        <w:t xml:space="preserve">This expression is exact when the hazard is constant over the interval and events are uniformly distributed.</w:t>
      </w:r>
    </w:p>
    <w:p>
      <w:pPr>
        <w:pStyle w:val="BodyText"/>
      </w:pPr>
      <w:r>
        <w:t xml:space="preserve">At weekly resolution, particularly in older cohorts where</w:t>
      </w:r>
      <w:r>
        <w:t xml:space="preserve"> </w:t>
      </w:r>
      <m:oMath>
        <m:sSub>
          <m:e>
            <m:r>
              <m:rPr>
                <m:sty m:val="p"/>
              </m:rPr>
              <m:t>M</m:t>
            </m:r>
            <m:r>
              <m:rPr>
                <m:sty m:val="p"/>
              </m:rPr>
              <m:t>R</m:t>
            </m:r>
          </m:e>
          <m:sub>
            <m:r>
              <m:t>d</m:t>
            </m:r>
            <m:r>
              <m:rPr>
                <m:sty m:val="p"/>
              </m:rPr>
              <m:t>,</m:t>
            </m:r>
            <m:r>
              <m:t>t</m:t>
            </m:r>
          </m:sub>
        </m:sSub>
      </m:oMath>
      <w:r>
        <w:t xml:space="preserve"> </w:t>
      </w:r>
      <w:r>
        <w:t xml:space="preserve">is non-negligible, first-order approximations such as the Nelson–Aalen increment</w:t>
      </w:r>
      <w:r>
        <w:t xml:space="preserve"> </w:t>
      </w:r>
      <m:oMath>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t>
      </w:r>
      <w:r>
        <w:t xml:space="preserve">can introduce systematic discretization bias that accumulates in cumulative-hazard space. To reduce this bias, we employ the midpoint-corrected transform given in Equation (11), which corresponds to a second-order accurate approximation to the integrated hazard over the interval.</w:t>
      </w:r>
    </w:p>
    <w:p>
      <w:pPr>
        <w:pStyle w:val="BodyText"/>
      </w:pPr>
      <w:r>
        <w:t xml:space="preserve">A Taylor expansion in</w:t>
      </w:r>
      <w:r>
        <w:t xml:space="preserve"> </w:t>
      </w:r>
      <m:oMath>
        <m:sSub>
          <m:e>
            <m:r>
              <m:rPr>
                <m:sty m:val="p"/>
              </m:rPr>
              <m:t>M</m:t>
            </m:r>
            <m:r>
              <m:rPr>
                <m:sty m:val="p"/>
              </m:rPr>
              <m:t>R</m:t>
            </m:r>
          </m:e>
          <m:sub>
            <m:r>
              <m:t>d</m:t>
            </m:r>
            <m:r>
              <m:rPr>
                <m:sty m:val="p"/>
              </m:rPr>
              <m:t>,</m:t>
            </m:r>
            <m:r>
              <m:t>t</m:t>
            </m:r>
          </m:sub>
        </m:sSub>
      </m:oMath>
      <w:r>
        <w:t xml:space="preserve"> </w:t>
      </w:r>
      <w:r>
        <w:t xml:space="preserve">yields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r>
            <m:t>O</m:t>
          </m:r>
          <m:r>
            <m:t>​</m:t>
          </m:r>
          <m:d>
            <m:dPr>
              <m:begChr m:val="("/>
              <m:sepChr m:val=""/>
              <m:endChr m:val=")"/>
              <m:grow/>
            </m:dPr>
            <m:e>
              <m:sSubSup>
                <m:e>
                  <m:r>
                    <m:rPr>
                      <m:sty m:val="p"/>
                    </m:rPr>
                    <m:t>M</m:t>
                  </m:r>
                  <m:r>
                    <m:rPr>
                      <m:sty m:val="p"/>
                    </m:rPr>
                    <m:t>R</m:t>
                  </m:r>
                </m:e>
                <m:sub>
                  <m:r>
                    <m:t>d</m:t>
                  </m:r>
                  <m:r>
                    <m:rPr>
                      <m:sty m:val="p"/>
                    </m:rPr>
                    <m:t>,</m:t>
                  </m:r>
                  <m:r>
                    <m:t>t</m:t>
                  </m:r>
                </m:sub>
                <m:sup>
                  <m:r>
                    <m:t>3</m:t>
                  </m:r>
                </m:sup>
              </m:sSubSup>
            </m:e>
          </m:d>
          <m:r>
            <m:rPr>
              <m:sty m:val="p"/>
            </m:rPr>
            <m:t>,</m:t>
          </m:r>
        </m:oMath>
      </m:oMathPara>
    </w:p>
    <w:p>
      <w:pPr>
        <w:pStyle w:val="FirstParagraph"/>
      </w:pPr>
      <w:r>
        <w:t xml:space="preserve">demonstrating that the transform reduces to the Nelson–Aalen increment in the small-event-probability limit while providing improved accuracy at finite</w:t>
      </w:r>
      <w:r>
        <w:t xml:space="preserve"> </w:t>
      </w:r>
      <m:oMath>
        <m:sSub>
          <m:e>
            <m:r>
              <m:rPr>
                <m:sty m:val="p"/>
              </m:rPr>
              <m:t>M</m:t>
            </m:r>
            <m:r>
              <m:rPr>
                <m:sty m:val="p"/>
              </m:rPr>
              <m:t>R</m:t>
            </m:r>
          </m:e>
          <m:sub>
            <m:r>
              <m:t>d</m:t>
            </m:r>
            <m:r>
              <m:rPr>
                <m:sty m:val="p"/>
              </m:rPr>
              <m:t>,</m:t>
            </m:r>
            <m:r>
              <m:t>t</m:t>
            </m:r>
          </m:sub>
        </m:sSub>
      </m:oMath>
      <w:r>
        <w:t xml:space="preserve">.</w:t>
      </w:r>
    </w:p>
    <w:p>
      <w:pPr>
        <w:pStyle w:val="BodyText"/>
      </w:pPr>
      <w:r>
        <w:t xml:space="preserve">This transform preserves the defining properties of an integrated hazard increment: it is nonnegative, monotone in</w:t>
      </w:r>
      <w:r>
        <w:t xml:space="preserve"> </w:t>
      </w:r>
      <m:oMath>
        <m:sSub>
          <m:e>
            <m:r>
              <m:rPr>
                <m:sty m:val="p"/>
              </m:rPr>
              <m:t>M</m:t>
            </m:r>
            <m:r>
              <m:rPr>
                <m:sty m:val="p"/>
              </m:rPr>
              <m:t>R</m:t>
            </m:r>
          </m:e>
          <m:sub>
            <m:r>
              <m:t>d</m:t>
            </m:r>
            <m:r>
              <m:rPr>
                <m:sty m:val="p"/>
              </m:rPr>
              <m:t>,</m:t>
            </m:r>
            <m:r>
              <m:t>t</m:t>
            </m:r>
          </m:sub>
        </m:sSub>
      </m:oMath>
      <w:r>
        <w:t xml:space="preserve">, additive in cumulative-hazard space, and converges to the continuous-time hazard integral as the interval width shrinks. In all empirical and simulation analyses, results obtained using this transform were indistinguishable from those obtained using the standard Nelson–Aalen estimator, indicating that its use improves numerical stability without altering the estimand.</w:t>
      </w:r>
    </w:p>
    <w:bookmarkEnd w:id="13"/>
    <w:bookmarkStart w:id="14" w:name="a.5-variance-propagation-sketch"/>
    <w:p>
      <w:pPr>
        <w:pStyle w:val="Heading4"/>
      </w:pPr>
      <w:r>
        <w:t xml:space="preserve">A.5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4"/>
    <w:bookmarkEnd w:id="15"/>
    <w:bookmarkStart w:id="28" w:name="appendix-b.-control-test-specifications"/>
    <w:p>
      <w:pPr>
        <w:pStyle w:val="Heading3"/>
      </w:pPr>
      <w:r>
        <w:t xml:space="preserve">Appendix B. Control-test specifications</w:t>
      </w:r>
    </w:p>
    <w:bookmarkStart w:id="16" w:name="X2180becb792c7366d1a2d9abe674c7e8eb8a3b6"/>
    <w:p>
      <w:pPr>
        <w:pStyle w:val="Heading4"/>
      </w:pPr>
      <w:r>
        <w:t xml:space="preserve">B.1 Negative control: synthetic gamma-frailty null</w:t>
      </w:r>
    </w:p>
    <w:p>
      <w:pPr>
        <w:pStyle w:val="FirstParagraph"/>
      </w:pPr>
      <w:r>
        <w:t xml:space="preserve">The synthetic negative control (Figure 4) is generated using:</w:t>
      </w:r>
    </w:p>
    <w:p>
      <w:pPr>
        <w:pStyle w:val="Compact"/>
        <w:numPr>
          <w:ilvl w:val="0"/>
          <w:numId w:val="1001"/>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01"/>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01"/>
        </w:numPr>
      </w:pPr>
      <w:r>
        <w:rPr>
          <w:b/>
          <w:bCs/>
        </w:rPr>
        <w:t xml:space="preserve">Cohort A weights</w:t>
      </w:r>
      <w:r>
        <w:t xml:space="preserve">: Equal weights across 5 frailty groups (0.2 each)</w:t>
      </w:r>
    </w:p>
    <w:p>
      <w:pPr>
        <w:pStyle w:val="Compact"/>
        <w:numPr>
          <w:ilvl w:val="0"/>
          <w:numId w:val="1001"/>
        </w:numPr>
      </w:pPr>
      <w:r>
        <w:rPr>
          <w:b/>
          <w:bCs/>
        </w:rPr>
        <w:t xml:space="preserve">Cohort B weights</w:t>
      </w:r>
      <w:r>
        <w:t xml:space="preserve">: Shifted weights [0.30, 0.20, 0.20, 0.20, 0.10]</w:t>
      </w:r>
    </w:p>
    <w:p>
      <w:pPr>
        <w:pStyle w:val="Compact"/>
        <w:numPr>
          <w:ilvl w:val="0"/>
          <w:numId w:val="1001"/>
        </w:numPr>
      </w:pPr>
      <w:r>
        <w:rPr>
          <w:b/>
          <w:bCs/>
        </w:rPr>
        <w:t xml:space="preserve">Frailty values</w:t>
      </w:r>
      <w:r>
        <w:t xml:space="preserve">: [1, 2, 4, 6, 10] (relative frailty multipliers)</w:t>
      </w:r>
    </w:p>
    <w:p>
      <w:pPr>
        <w:pStyle w:val="Compact"/>
        <w:numPr>
          <w:ilvl w:val="0"/>
          <w:numId w:val="1001"/>
        </w:numPr>
      </w:pPr>
      <w:r>
        <w:rPr>
          <w:b/>
          <w:bCs/>
        </w:rPr>
        <w:t xml:space="preserve">Base weekly probability</w:t>
      </w:r>
      <w:r>
        <w:t xml:space="preserve">: 0.01</w:t>
      </w:r>
    </w:p>
    <w:p>
      <w:pPr>
        <w:pStyle w:val="Compact"/>
        <w:numPr>
          <w:ilvl w:val="0"/>
          <w:numId w:val="1001"/>
        </w:numPr>
      </w:pPr>
      <w:r>
        <w:rPr>
          <w:b/>
          <w:bCs/>
        </w:rPr>
        <w:t xml:space="preserve">Weekly log-slope</w:t>
      </w:r>
      <w:r>
        <w:t xml:space="preserve">: 0.0 (constant baseline during quiet periods)</w:t>
      </w:r>
    </w:p>
    <w:p>
      <w:pPr>
        <w:pStyle w:val="Compact"/>
        <w:numPr>
          <w:ilvl w:val="0"/>
          <w:numId w:val="1001"/>
        </w:numPr>
      </w:pPr>
      <w:r>
        <w:rPr>
          <w:b/>
          <w:bCs/>
        </w:rPr>
        <w:t xml:space="preserve">Skip weeks</w:t>
      </w:r>
      <w:r>
        <w:t xml:space="preserve">: 2</w:t>
      </w:r>
    </w:p>
    <w:p>
      <w:pPr>
        <w:pStyle w:val="Compact"/>
        <w:numPr>
          <w:ilvl w:val="0"/>
          <w:numId w:val="1001"/>
        </w:numPr>
      </w:pPr>
      <w:r>
        <w:rPr>
          <w:b/>
          <w:bCs/>
        </w:rPr>
        <w:t xml:space="preserve">Normalization weeks</w:t>
      </w:r>
      <w:r>
        <w:t xml:space="preserve">: 4</w:t>
      </w:r>
    </w:p>
    <w:p>
      <w:pPr>
        <w:pStyle w:val="Compact"/>
        <w:numPr>
          <w:ilvl w:val="0"/>
          <w:numId w:val="1001"/>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6"/>
    <w:bookmarkStart w:id="17" w:name="X6ca5a97e85e9ee460a15280db933ceb5c1ed112"/>
    <w:p>
      <w:pPr>
        <w:pStyle w:val="Heading4"/>
      </w:pPr>
      <w:r>
        <w:t xml:space="preserve">B.2 Negative control: empirical age-shift construction</w:t>
      </w:r>
    </w:p>
    <w:p>
      <w:pPr>
        <w:pStyle w:val="FirstParagraph"/>
      </w:pPr>
      <w:r>
        <w:t xml:space="preserve">The empirical negative control (Figures 5 and 6) is generated using:</w:t>
      </w:r>
    </w:p>
    <w:p>
      <w:pPr>
        <w:pStyle w:val="Compact"/>
        <w:numPr>
          <w:ilvl w:val="0"/>
          <w:numId w:val="1002"/>
        </w:numPr>
      </w:pPr>
      <w:r>
        <w:rPr>
          <w:b/>
          <w:bCs/>
        </w:rPr>
        <w:t xml:space="preserve">Data source</w:t>
      </w:r>
      <w:r>
        <w:t xml:space="preserve">: Czech Republic administrative mortality and vaccination data, aggregated into KCOR_CMR format</w:t>
      </w:r>
    </w:p>
    <w:p>
      <w:pPr>
        <w:pStyle w:val="Compact"/>
        <w:numPr>
          <w:ilvl w:val="0"/>
          <w:numId w:val="1002"/>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02"/>
        </w:numPr>
      </w:pPr>
      <w:r>
        <w:rPr>
          <w:b/>
          <w:bCs/>
        </w:rPr>
        <w:t xml:space="preserve">Construction</w:t>
      </w:r>
      <w:r>
        <w:t xml:space="preserve">: Age strata remapped to pseudo-doses within same vaccination category</w:t>
      </w:r>
    </w:p>
    <w:p>
      <w:pPr>
        <w:pStyle w:val="Compact"/>
        <w:numPr>
          <w:ilvl w:val="0"/>
          <w:numId w:val="1002"/>
        </w:numPr>
      </w:pPr>
      <w:r>
        <w:rPr>
          <w:b/>
          <w:bCs/>
        </w:rPr>
        <w:t xml:space="preserve">Age mapping</w:t>
      </w:r>
      <w:r>
        <w:t xml:space="preserve">:</w:t>
      </w:r>
    </w:p>
    <w:p>
      <w:pPr>
        <w:pStyle w:val="Compact"/>
        <w:numPr>
          <w:ilvl w:val="1"/>
          <w:numId w:val="1003"/>
        </w:numPr>
      </w:pPr>
      <w:r>
        <w:t xml:space="preserve">Dose 0 → YoB {1930, 1935}</w:t>
      </w:r>
    </w:p>
    <w:p>
      <w:pPr>
        <w:pStyle w:val="Compact"/>
        <w:numPr>
          <w:ilvl w:val="1"/>
          <w:numId w:val="1003"/>
        </w:numPr>
      </w:pPr>
      <w:r>
        <w:t xml:space="preserve">Dose 1 → YoB {1940, 1945}</w:t>
      </w:r>
    </w:p>
    <w:p>
      <w:pPr>
        <w:pStyle w:val="Compact"/>
        <w:numPr>
          <w:ilvl w:val="1"/>
          <w:numId w:val="1003"/>
        </w:numPr>
      </w:pPr>
      <w:r>
        <w:t xml:space="preserve">Dose 2 → YoB {1950, 1955}</w:t>
      </w:r>
    </w:p>
    <w:p>
      <w:pPr>
        <w:pStyle w:val="Compact"/>
        <w:numPr>
          <w:ilvl w:val="0"/>
          <w:numId w:val="1002"/>
        </w:numPr>
      </w:pPr>
      <w:r>
        <w:rPr>
          <w:b/>
          <w:bCs/>
        </w:rPr>
        <w:t xml:space="preserve">Output YoB</w:t>
      </w:r>
      <w:r>
        <w:t xml:space="preserve">: Fixed at 1950 (unvax cohort) or 1940 (vax cohort)</w:t>
      </w:r>
    </w:p>
    <w:p>
      <w:pPr>
        <w:pStyle w:val="Compact"/>
        <w:numPr>
          <w:ilvl w:val="0"/>
          <w:numId w:val="1002"/>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7"/>
    <w:bookmarkStart w:id="18" w:name="b.3-positive-control-injected-effect"/>
    <w:p>
      <w:pPr>
        <w:pStyle w:val="Heading4"/>
      </w:pPr>
      <w:r>
        <w:t xml:space="preserve">B.3 Positive control: injected effect</w:t>
      </w:r>
    </w:p>
    <w:p>
      <w:pPr>
        <w:pStyle w:val="FirstParagraph"/>
      </w:pPr>
      <w:r>
        <w:t xml:space="preserve">The positive control (Figure 7 and Table 8) is generated using:</w:t>
      </w:r>
    </w:p>
    <w:p>
      <w:pPr>
        <w:pStyle w:val="Compact"/>
        <w:numPr>
          <w:ilvl w:val="0"/>
          <w:numId w:val="1004"/>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04"/>
        </w:numPr>
      </w:pPr>
      <w:r>
        <w:rPr>
          <w:b/>
          <w:bCs/>
        </w:rPr>
        <w:t xml:space="preserve">Initial cohort size</w:t>
      </w:r>
      <w:r>
        <w:t xml:space="preserve">: 100,000 per cohort</w:t>
      </w:r>
    </w:p>
    <w:p>
      <w:pPr>
        <w:pStyle w:val="Compact"/>
        <w:numPr>
          <w:ilvl w:val="0"/>
          <w:numId w:val="1004"/>
        </w:numPr>
      </w:pPr>
      <w:r>
        <w:rPr>
          <w:b/>
          <w:bCs/>
        </w:rPr>
        <w:t xml:space="preserve">Baseline hazard</w:t>
      </w:r>
      <w:r>
        <w:t xml:space="preserve">: 0.002 per week</w:t>
      </w:r>
    </w:p>
    <w:p>
      <w:pPr>
        <w:pStyle w:val="Compact"/>
        <w:numPr>
          <w:ilvl w:val="0"/>
          <w:numId w:val="1004"/>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04"/>
        </w:numPr>
      </w:pPr>
      <w:r>
        <w:rPr>
          <w:b/>
          <w:bCs/>
        </w:rPr>
        <w:t xml:space="preserve">Effect window</w:t>
      </w:r>
      <w:r>
        <w:t xml:space="preserve">: weeks 20–80</w:t>
      </w:r>
    </w:p>
    <w:p>
      <w:pPr>
        <w:pStyle w:val="Compact"/>
        <w:numPr>
          <w:ilvl w:val="0"/>
          <w:numId w:val="1004"/>
        </w:numPr>
      </w:pPr>
      <w:r>
        <w:rPr>
          <w:b/>
          <w:bCs/>
        </w:rPr>
        <w:t xml:space="preserve">Hazard multipliers</w:t>
      </w:r>
      <w:r>
        <w:t xml:space="preserve">:</w:t>
      </w:r>
    </w:p>
    <w:p>
      <w:pPr>
        <w:pStyle w:val="Compact"/>
        <w:numPr>
          <w:ilvl w:val="1"/>
          <w:numId w:val="1005"/>
        </w:numPr>
      </w:pPr>
      <w:r>
        <w:t xml:space="preserve">Harm scenario:</w:t>
      </w:r>
      <w:r>
        <w:t xml:space="preserve"> </w:t>
      </w:r>
      <m:oMath>
        <m:r>
          <m:t>r</m:t>
        </m:r>
        <m:r>
          <m:rPr>
            <m:sty m:val="p"/>
          </m:rPr>
          <m:t>=</m:t>
        </m:r>
        <m:r>
          <m:t>1.2</m:t>
        </m:r>
      </m:oMath>
    </w:p>
    <w:p>
      <w:pPr>
        <w:pStyle w:val="Compact"/>
        <w:numPr>
          <w:ilvl w:val="1"/>
          <w:numId w:val="1005"/>
        </w:numPr>
      </w:pPr>
      <w:r>
        <w:t xml:space="preserve">Benefit scenario:</w:t>
      </w:r>
      <w:r>
        <w:t xml:space="preserve"> </w:t>
      </w:r>
      <m:oMath>
        <m:r>
          <m:t>r</m:t>
        </m:r>
        <m:r>
          <m:rPr>
            <m:sty m:val="p"/>
          </m:rPr>
          <m:t>=</m:t>
        </m:r>
        <m:r>
          <m:t>0.8</m:t>
        </m:r>
      </m:oMath>
    </w:p>
    <w:p>
      <w:pPr>
        <w:pStyle w:val="Compact"/>
        <w:numPr>
          <w:ilvl w:val="0"/>
          <w:numId w:val="1004"/>
        </w:numPr>
      </w:pPr>
      <w:r>
        <w:rPr>
          <w:b/>
          <w:bCs/>
        </w:rPr>
        <w:t xml:space="preserve">Random seed</w:t>
      </w:r>
      <w:r>
        <w:t xml:space="preserve">: 42</w:t>
      </w:r>
    </w:p>
    <w:p>
      <w:pPr>
        <w:pStyle w:val="Compact"/>
        <w:numPr>
          <w:ilvl w:val="0"/>
          <w:numId w:val="1004"/>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8"/>
    <w:bookmarkStart w:id="19" w:name="b.4-sensitivity-analysis-parameters"/>
    <w:p>
      <w:pPr>
        <w:pStyle w:val="Heading4"/>
      </w:pPr>
      <w:r>
        <w:t xml:space="preserve">B.4 Sensitivity analysis parameters</w:t>
      </w:r>
    </w:p>
    <w:p>
      <w:pPr>
        <w:pStyle w:val="FirstParagraph"/>
      </w:pPr>
      <w:r>
        <w:t xml:space="preserve">The sensitivity analysis (Figure 8) varies:</w:t>
      </w:r>
    </w:p>
    <w:p>
      <w:pPr>
        <w:pStyle w:val="Compact"/>
        <w:numPr>
          <w:ilvl w:val="0"/>
          <w:numId w:val="1006"/>
        </w:numPr>
      </w:pPr>
      <w:r>
        <w:rPr>
          <w:b/>
          <w:bCs/>
        </w:rPr>
        <w:t xml:space="preserve">Baseline weeks</w:t>
      </w:r>
      <w:r>
        <w:t xml:space="preserve">: [2, 3, 4, 5, 6, 7, 8]</w:t>
      </w:r>
    </w:p>
    <w:p>
      <w:pPr>
        <w:pStyle w:val="Compact"/>
        <w:numPr>
          <w:ilvl w:val="0"/>
          <w:numId w:val="1006"/>
        </w:numPr>
      </w:pPr>
      <w:r>
        <w:rPr>
          <w:b/>
          <w:bCs/>
        </w:rPr>
        <w:t xml:space="preserve">Quiet-start offsets</w:t>
      </w:r>
      <w:r>
        <w:t xml:space="preserve">: [-12, -8, -4, 0, +4, +8, +12] weeks from 2022-24</w:t>
      </w:r>
    </w:p>
    <w:p>
      <w:pPr>
        <w:pStyle w:val="Compact"/>
        <w:numPr>
          <w:ilvl w:val="0"/>
          <w:numId w:val="1006"/>
        </w:numPr>
      </w:pPr>
      <w:r>
        <w:rPr>
          <w:b/>
          <w:bCs/>
        </w:rPr>
        <w:t xml:space="preserve">Quiet-window end</w:t>
      </w:r>
      <w:r>
        <w:t xml:space="preserve">: Fixed at 2024-16</w:t>
      </w:r>
    </w:p>
    <w:p>
      <w:pPr>
        <w:pStyle w:val="Compact"/>
        <w:numPr>
          <w:ilvl w:val="0"/>
          <w:numId w:val="1006"/>
        </w:numPr>
      </w:pPr>
      <w:r>
        <w:rPr>
          <w:b/>
          <w:bCs/>
        </w:rPr>
        <w:t xml:space="preserve">Dose pairs</w:t>
      </w:r>
      <w:r>
        <w:t xml:space="preserve">: 1 vs 0, 2 vs 0, 2 vs 1</w:t>
      </w:r>
    </w:p>
    <w:p>
      <w:pPr>
        <w:pStyle w:val="Compact"/>
        <w:numPr>
          <w:ilvl w:val="0"/>
          <w:numId w:val="1006"/>
        </w:numPr>
      </w:pPr>
      <w:r>
        <w:rPr>
          <w:b/>
          <w:bCs/>
        </w:rPr>
        <w:t xml:space="preserve">Cohorts</w:t>
      </w:r>
      <w:r>
        <w:t xml:space="preserve">: 2021_24</w:t>
      </w:r>
    </w:p>
    <w:p>
      <w:pPr>
        <w:pStyle w:val="FirstParagraph"/>
      </w:pPr>
      <w:r>
        <w:t xml:space="preserve">Output grids show KCOR(t) values for each parameter combination.</w:t>
      </w:r>
    </w:p>
    <w:bookmarkEnd w:id="19"/>
    <w:bookmarkStart w:id="20"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07"/>
        </w:numPr>
      </w:pPr>
      <w:r>
        <w:rPr>
          <w:b/>
          <w:bCs/>
        </w:rPr>
        <w:t xml:space="preserve">Mid-sampled cohort</w:t>
      </w:r>
      <w:r>
        <w:t xml:space="preserve">: frailty restricted to central quantiles (e.g., 25th–75th percentile) and renormalized to mean 1.</w:t>
      </w:r>
    </w:p>
    <w:p>
      <w:pPr>
        <w:pStyle w:val="Compact"/>
        <w:numPr>
          <w:ilvl w:val="0"/>
          <w:numId w:val="1007"/>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08"/>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08"/>
        </w:numPr>
      </w:pPr>
      <w:r>
        <w:rPr>
          <w:b/>
          <w:bCs/>
        </w:rPr>
        <w:t xml:space="preserve">Base frailty distribution</w:t>
      </w:r>
      <w:r>
        <w:t xml:space="preserve">: Log-normal with mean 1, variance 0.5</w:t>
      </w:r>
    </w:p>
    <w:p>
      <w:pPr>
        <w:pStyle w:val="Compact"/>
        <w:numPr>
          <w:ilvl w:val="0"/>
          <w:numId w:val="1008"/>
        </w:numPr>
      </w:pPr>
      <w:r>
        <w:rPr>
          <w:b/>
          <w:bCs/>
        </w:rPr>
        <w:t xml:space="preserve">Mid-quantile cohort</w:t>
      </w:r>
      <w:r>
        <w:t xml:space="preserve">: 25th–75th percentile</w:t>
      </w:r>
    </w:p>
    <w:p>
      <w:pPr>
        <w:pStyle w:val="Compact"/>
        <w:numPr>
          <w:ilvl w:val="0"/>
          <w:numId w:val="1008"/>
        </w:numPr>
      </w:pPr>
      <w:r>
        <w:rPr>
          <w:b/>
          <w:bCs/>
        </w:rPr>
        <w:t xml:space="preserve">Tail-mixture cohort</w:t>
      </w:r>
      <w:r>
        <w:t xml:space="preserve">: [0–15th] + [85th–100th] percentiles, equal weights</w:t>
      </w:r>
    </w:p>
    <w:p>
      <w:pPr>
        <w:pStyle w:val="Compact"/>
        <w:numPr>
          <w:ilvl w:val="0"/>
          <w:numId w:val="1008"/>
        </w:numPr>
      </w:pPr>
      <w:r>
        <w:rPr>
          <w:b/>
          <w:bCs/>
        </w:rPr>
        <w:t xml:space="preserve">Baseline hazard</w:t>
      </w:r>
      <w:r>
        <w:t xml:space="preserve">: 0.002 per week (constant)</w:t>
      </w:r>
    </w:p>
    <w:p>
      <w:pPr>
        <w:pStyle w:val="Compact"/>
        <w:numPr>
          <w:ilvl w:val="0"/>
          <w:numId w:val="1008"/>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08"/>
        </w:numPr>
      </w:pPr>
      <w:r>
        <w:rPr>
          <w:b/>
          <w:bCs/>
        </w:rPr>
        <w:t xml:space="preserve">Effect window</w:t>
      </w:r>
      <w:r>
        <w:t xml:space="preserve">: weeks 20–80</w:t>
      </w:r>
    </w:p>
    <w:p>
      <w:pPr>
        <w:pStyle w:val="Compact"/>
        <w:numPr>
          <w:ilvl w:val="0"/>
          <w:numId w:val="1008"/>
        </w:numPr>
      </w:pPr>
      <w:r>
        <w:rPr>
          <w:b/>
          <w:bCs/>
        </w:rPr>
        <w:t xml:space="preserve">Random seed</w:t>
      </w:r>
      <w:r>
        <w:t xml:space="preserve">: 42</w:t>
      </w:r>
    </w:p>
    <w:bookmarkEnd w:id="20"/>
    <w:bookmarkStart w:id="27"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1"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1"/>
    <w:bookmarkStart w:id="22" w:name="frailty-structure"/>
    <w:p>
      <w:pPr>
        <w:pStyle w:val="Heading5"/>
      </w:pPr>
      <w:r>
        <w:t xml:space="preserve">Frailty structure</w:t>
      </w:r>
    </w:p>
    <w:p>
      <w:pPr>
        <w:pStyle w:val="Compact"/>
        <w:numPr>
          <w:ilvl w:val="0"/>
          <w:numId w:val="1009"/>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09"/>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2"/>
    <w:bookmarkStart w:id="23"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10"/>
        </w:numPr>
      </w:pPr>
      <w:r>
        <w:t xml:space="preserve">Step change (constant multiplicative factor),</w:t>
      </w:r>
    </w:p>
    <w:p>
      <w:pPr>
        <w:pStyle w:val="Compact"/>
        <w:numPr>
          <w:ilvl w:val="0"/>
          <w:numId w:val="1010"/>
        </w:numPr>
      </w:pPr>
      <w:r>
        <w:t xml:space="preserve">Linear ramp,</w:t>
      </w:r>
    </w:p>
    <w:p>
      <w:pPr>
        <w:pStyle w:val="Compact"/>
        <w:numPr>
          <w:ilvl w:val="0"/>
          <w:numId w:val="1010"/>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3"/>
    <w:bookmarkStart w:id="24"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4"/>
    <w:bookmarkStart w:id="25"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11"/>
        </w:numPr>
      </w:pPr>
      <w:r>
        <w:t xml:space="preserve">KCOR(t) remains approximately flat and near unity during the quiet window,</w:t>
      </w:r>
    </w:p>
    <w:p>
      <w:pPr>
        <w:pStyle w:val="Compact"/>
        <w:numPr>
          <w:ilvl w:val="0"/>
          <w:numId w:val="1011"/>
        </w:numPr>
      </w:pPr>
      <w:r>
        <w:t xml:space="preserve">KCOR(t) deviates in the correct direction and magnitude during the treatment window,</w:t>
      </w:r>
    </w:p>
    <w:p>
      <w:pPr>
        <w:pStyle w:val="Compact"/>
        <w:numPr>
          <w:ilvl w:val="0"/>
          <w:numId w:val="1011"/>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5"/>
    <w:bookmarkStart w:id="26"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6"/>
    <w:bookmarkEnd w:id="27"/>
    <w:bookmarkEnd w:id="28"/>
    <w:bookmarkStart w:id="46" w:name="X3fb27f9d14d988b0afc4c757bd6d2a45d2ae0b5"/>
    <w:p>
      <w:pPr>
        <w:pStyle w:val="Heading3"/>
      </w:pPr>
      <w:r>
        <w:t xml:space="preserve">Appendix C. Additional figures and diagnostics</w:t>
      </w:r>
    </w:p>
    <w:bookmarkStart w:id="29"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12"/>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12"/>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12"/>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9"/>
    <w:bookmarkStart w:id="30"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Compact"/>
        <w:numPr>
          <w:ilvl w:val="0"/>
          <w:numId w:val="1013"/>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13"/>
        </w:numPr>
      </w:pPr>
      <w:r>
        <w:rPr>
          <w:b/>
          <w:bCs/>
        </w:rPr>
        <w:t xml:space="preserve">Outliers</w:t>
      </w:r>
      <w:r>
        <w:t xml:space="preserve">: Individual weeks with large residuals may indicate data quality issues or external shocks.</w:t>
      </w:r>
    </w:p>
    <w:p>
      <w:pPr>
        <w:pStyle w:val="Compact"/>
        <w:numPr>
          <w:ilvl w:val="0"/>
          <w:numId w:val="1013"/>
        </w:numPr>
      </w:pPr>
      <w:r>
        <w:rPr>
          <w:b/>
          <w:bCs/>
        </w:rPr>
        <w:t xml:space="preserve">Autocorrelation</w:t>
      </w:r>
      <w:r>
        <w:t xml:space="preserve">: Strong autocorrelation in residuals suggests the model is missing time-varying structure.</w:t>
      </w:r>
    </w:p>
    <w:bookmarkEnd w:id="30"/>
    <w:bookmarkStart w:id="31"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14"/>
        </w:numPr>
      </w:pPr>
      <w:r>
        <w:rPr>
          <w:b/>
          <w:bCs/>
        </w:rPr>
        <w:t xml:space="preserve">Quiet-window perturbation</w:t>
      </w:r>
      <w:r>
        <w:t xml:space="preserve">: Shift the quiet-window start/end by ±4 weeks and re-fit. Stable parameters should vary by &lt; 10%.</w:t>
      </w:r>
    </w:p>
    <w:p>
      <w:pPr>
        <w:pStyle w:val="Compact"/>
        <w:numPr>
          <w:ilvl w:val="0"/>
          <w:numId w:val="1014"/>
        </w:numPr>
      </w:pPr>
      <w:r>
        <w:rPr>
          <w:b/>
          <w:bCs/>
        </w:rPr>
        <w:t xml:space="preserve">Skip-weeks sensitivity</w:t>
      </w:r>
      <w:r>
        <w:t xml:space="preserve">: Vary SKIP_WEEKS from 0 to 8 and verify KCOR(t) trajectories remain qualitatively similar.</w:t>
      </w:r>
    </w:p>
    <w:p>
      <w:pPr>
        <w:pStyle w:val="Compact"/>
        <w:numPr>
          <w:ilvl w:val="0"/>
          <w:numId w:val="1014"/>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31"/>
    <w:bookmarkStart w:id="32"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15"/>
        </w:numPr>
      </w:pPr>
      <w:r>
        <w:t xml:space="preserve">Avoid major epidemic waves or external mortality shocks</w:t>
      </w:r>
    </w:p>
    <w:p>
      <w:pPr>
        <w:pStyle w:val="Compact"/>
        <w:numPr>
          <w:ilvl w:val="0"/>
          <w:numId w:val="1015"/>
        </w:numPr>
      </w:pPr>
      <w:r>
        <w:t xml:space="preserve">Contain sufficient event counts for stable estimation</w:t>
      </w:r>
    </w:p>
    <w:p>
      <w:pPr>
        <w:pStyle w:val="Compact"/>
        <w:numPr>
          <w:ilvl w:val="0"/>
          <w:numId w:val="1015"/>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32"/>
    <w:bookmarkStart w:id="45" w:name="c.5-robustness-to-age-stratification"/>
    <w:p>
      <w:pPr>
        <w:pStyle w:val="Heading4"/>
      </w:pPr>
      <w:r>
        <w:t xml:space="preserve">C.5 Robustness to age stratification</w:t>
      </w:r>
    </w:p>
    <w:bookmarkStart w:id="36" w:name="fig:kcor_realdata_yob1930"/>
    <w:p>
      <w:pPr>
        <w:pStyle w:val="CaptionedFigure"/>
      </w:pPr>
      <w:r>
        <w:drawing>
          <wp:inline>
            <wp:extent cx="5334000" cy="3078759"/>
            <wp:effectExtent b="0" l="0" r="0" t="0"/>
            <wp:docPr descr="Figure 14. Birth-year cohort 193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34" name="Picture"/>
            <a:graphic>
              <a:graphicData uri="http://schemas.openxmlformats.org/drawingml/2006/picture">
                <pic:pic>
                  <pic:nvPicPr>
                    <pic:cNvPr descr="figures/supplement/kcor_realdata_yob1930_enroll2022w26_eval2023.png" id="35" name="Picture"/>
                    <pic:cNvPicPr>
                      <a:picLocks noChangeArrowheads="1" noChangeAspect="1"/>
                    </pic:cNvPicPr>
                  </pic:nvPicPr>
                  <pic:blipFill>
                    <a:blip r:embed="rId33"/>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14. Birth-year cohort 1930: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36"/>
    <w:bookmarkStart w:id="40" w:name="fig:kcor_realdata_yob1940"/>
    <w:p>
      <w:pPr>
        <w:pStyle w:val="CaptionedFigure"/>
      </w:pPr>
      <w:r>
        <w:drawing>
          <wp:inline>
            <wp:extent cx="5334000" cy="3078759"/>
            <wp:effectExtent b="0" l="0" r="0" t="0"/>
            <wp:docPr descr="Figure 15. Birth-year cohort 194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38" name="Picture"/>
            <a:graphic>
              <a:graphicData uri="http://schemas.openxmlformats.org/drawingml/2006/picture">
                <pic:pic>
                  <pic:nvPicPr>
                    <pic:cNvPr descr="figures/supplement/kcor_realdata_yob1940_enroll2022w26_eval2023.png" id="39" name="Picture"/>
                    <pic:cNvPicPr>
                      <a:picLocks noChangeArrowheads="1" noChangeAspect="1"/>
                    </pic:cNvPicPr>
                  </pic:nvPicPr>
                  <pic:blipFill>
                    <a:blip r:embed="rId37"/>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15. Birth-year cohort 1940: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40"/>
    <w:bookmarkStart w:id="44" w:name="fig:kcor_realdata_yob1950"/>
    <w:p>
      <w:pPr>
        <w:pStyle w:val="CaptionedFigure"/>
      </w:pPr>
      <w:r>
        <w:drawing>
          <wp:inline>
            <wp:extent cx="5334000" cy="3078759"/>
            <wp:effectExtent b="0" l="0" r="0" t="0"/>
            <wp:docPr descr="Figure 16. Birth-year cohort 195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42" name="Picture"/>
            <a:graphic>
              <a:graphicData uri="http://schemas.openxmlformats.org/drawingml/2006/picture">
                <pic:pic>
                  <pic:nvPicPr>
                    <pic:cNvPr descr="figures/supplement/kcor_realdata_yob1950_enroll2022w26_eval2023.png" id="43" name="Picture"/>
                    <pic:cNvPicPr>
                      <a:picLocks noChangeArrowheads="1" noChangeAspect="1"/>
                    </pic:cNvPicPr>
                  </pic:nvPicPr>
                  <pic:blipFill>
                    <a:blip r:embed="rId41"/>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16. Birth-year cohort 1950: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44"/>
    <w:bookmarkEnd w:id="45"/>
    <w:bookmarkEnd w:id="46"/>
    <w:bookmarkStart w:id="57" w:name="X71516bca36a67a7b252aa09e83ac6f66b78ee40"/>
    <w:p>
      <w:pPr>
        <w:pStyle w:val="Heading3"/>
      </w:pPr>
      <w:r>
        <w:t xml:space="preserve">Appendix C.1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 Throughout this subsection, observed divergences are interpreted strictly as properties of the estimator under real-world selection, not as intervention effects.</w:t>
      </w:r>
    </w:p>
    <w:p>
      <w:pPr>
        <w:pStyle w:val="BodyText"/>
      </w:pPr>
      <w:r>
        <w:t xml:space="preserve">Unless otherwise noted, KCOR curves in the Czech analyses are shown anchored at</w:t>
      </w:r>
      <w:r>
        <w:t xml:space="preserve"> </w:t>
      </w:r>
      <m:oMath>
        <m:sSub>
          <m:e>
            <m:r>
              <m:t>t</m:t>
            </m:r>
          </m:e>
          <m:sub>
            <m:r>
              <m:t>0</m:t>
            </m:r>
          </m:sub>
        </m:sSub>
        <m:r>
          <m:rPr>
            <m:sty m:val="p"/>
          </m:rPr>
          <m:t>=</m:t>
        </m:r>
        <m:r>
          <m:t>4</m:t>
        </m:r>
      </m:oMath>
      <w:r>
        <w:t xml:space="preserve"> </w:t>
      </w:r>
      <w:r>
        <w:t xml:space="preserve">weeks for interpretability.</w:t>
      </w:r>
    </w:p>
    <w:bookmarkStart w:id="47" w:name="X7c3ddd3ef44bf474a41a98ea454d4dd80e5b491"/>
    <w:p>
      <w:pPr>
        <w:pStyle w:val="Heading4"/>
      </w:pPr>
      <w:r>
        <w:t xml:space="preserve">C.1.1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47"/>
    <w:bookmarkStart w:id="51" w:name="X04a772282f0bca0eb01ded27503d294683ddbb5"/>
    <w:p>
      <w:pPr>
        <w:pStyle w:val="Heading4"/>
      </w:pPr>
      <w:r>
        <w:t xml:space="preserve">C.1.2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Start w:id="48" w:name="tbl:frailty_diagnostics"/>
    <w:p>
      <w:pPr>
        <w:pStyle w:val="TableCaption"/>
      </w:pPr>
      <w:r>
        <w:t xml:space="preserve">Table 12.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12.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48"/>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14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bookmarkStart w:id="49" w:name="tbl:czech_diagnostic_gate"/>
    <w:p>
      <w:pPr>
        <w:pStyle w:val="TableCaption"/>
      </w:pPr>
      <w:r>
        <w:t xml:space="preserve">Table 13.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13.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bookmarkEnd w:id="49"/>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w:t>
      </w:r>
      <w:r>
        <w:t xml:space="preserve"> </w:t>
      </w:r>
      <m:oMath>
        <m:r>
          <m:t>θ</m:t>
        </m:r>
      </m:oMath>
      <w:r>
        <w:t xml:space="preserve"> </w:t>
      </w:r>
      <w:r>
        <w:t xml:space="preserve">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12 demonstrates selection-induced heterogeneity, unadjusted cumulative outcome contrasts are expected to conflate depletion effects with any true treatment differences; Table 14 therefore reports raw cumulative hazards solely as a pre-normalization diagnostic. KCOR normalization removes the depletion component, enabling interpretable comparison of the remaining differences.</w:t>
      </w:r>
    </w:p>
    <w:bookmarkStart w:id="50" w:name="tbl:raw_cumulative_outcomes"/>
    <w:p>
      <w:pPr>
        <w:pStyle w:val="TableCaption"/>
      </w:pPr>
      <w:r>
        <w:t xml:space="preserve">Table 14.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14.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50"/>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End w:id="51"/>
    <w:bookmarkStart w:id="56" w:name="X5edf977bb748663aefbf51a96004e616d3437f4"/>
    <w:p>
      <w:pPr>
        <w:pStyle w:val="Heading4"/>
      </w:pPr>
      <w:r>
        <w:t xml:space="preserve">C.1.3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17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14–16.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as illustrative applications demonstrating estimator behavior on registry data and do not support causal inference; no hypothesis testing is performed.</w:t>
      </w:r>
    </w:p>
    <w:bookmarkStart w:id="55" w:name="fig:kcor_realdata_allages"/>
    <w:p>
      <w:pPr>
        <w:pStyle w:val="CaptionedFigure"/>
      </w:pPr>
      <w:r>
        <w:drawing>
          <wp:inline>
            <wp:extent cx="5334000" cy="3078759"/>
            <wp:effectExtent b="0" l="0" r="0" t="0"/>
            <wp:docPr descr="Figure 17. All-ages stress test: \mathrm{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under extreme heterogeneity and does not support causal inference." title="" id="53" name="Picture"/>
            <a:graphic>
              <a:graphicData uri="http://schemas.openxmlformats.org/drawingml/2006/picture">
                <pic:pic>
                  <pic:nvPicPr>
                    <pic:cNvPr descr="figures/kcor_realdata_allages_enroll2022w26_eval2023.png" id="54" name="Picture"/>
                    <pic:cNvPicPr>
                      <a:picLocks noChangeArrowheads="1" noChangeAspect="1"/>
                    </pic:cNvPicPr>
                  </pic:nvPicPr>
                  <pic:blipFill>
                    <a:blip r:embed="rId52"/>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17.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under extreme heterogeneity and does not support causal inference.</w:t>
      </w:r>
    </w:p>
    <w:bookmarkEnd w:id="55"/>
    <w:bookmarkEnd w:id="56"/>
    <w:bookmarkEnd w:id="57"/>
    <w:bookmarkStart w:id="66"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58"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16"/>
        </w:numPr>
      </w:pPr>
      <w:r>
        <w:t xml:space="preserve">Inconsistencies in cohort risk sets (e.g., unexplained increases in at-risk counts).</w:t>
      </w:r>
    </w:p>
    <w:p>
      <w:pPr>
        <w:pStyle w:val="Compact"/>
        <w:numPr>
          <w:ilvl w:val="0"/>
          <w:numId w:val="1016"/>
        </w:numPr>
      </w:pPr>
      <w:r>
        <w:t xml:space="preserve">Early-time hazard suppression or inflation inconsistent with selection or depletion geometry.</w:t>
      </w:r>
    </w:p>
    <w:p>
      <w:pPr>
        <w:pStyle w:val="Compact"/>
        <w:numPr>
          <w:ilvl w:val="0"/>
          <w:numId w:val="1016"/>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58"/>
    <w:bookmarkStart w:id="59"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17"/>
        </w:numPr>
      </w:pPr>
      <w:r>
        <w:t xml:space="preserve">Calendar-time hazard spikes or drops that appear in only one cohort.</w:t>
      </w:r>
    </w:p>
    <w:p>
      <w:pPr>
        <w:pStyle w:val="Compact"/>
        <w:numPr>
          <w:ilvl w:val="0"/>
          <w:numId w:val="1017"/>
        </w:numPr>
      </w:pPr>
      <w:r>
        <w:t xml:space="preserve">Misalignment of major mortality shocks (e.g., epidemic waves) across cohorts.</w:t>
      </w:r>
    </w:p>
    <w:p>
      <w:pPr>
        <w:pStyle w:val="Compact"/>
        <w:numPr>
          <w:ilvl w:val="0"/>
          <w:numId w:val="1017"/>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59"/>
    <w:bookmarkStart w:id="60"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18"/>
        </w:numPr>
      </w:pPr>
      <w:r>
        <w:t xml:space="preserve">Strongly structured residuals in cumulative-hazard space inconsistent with depletion.</w:t>
      </w:r>
    </w:p>
    <w:p>
      <w:pPr>
        <w:pStyle w:val="Compact"/>
        <w:numPr>
          <w:ilvl w:val="0"/>
          <w:numId w:val="1018"/>
        </w:numPr>
      </w:pPr>
      <w:r>
        <w:t xml:space="preserve">Instability of fitted frailty parameters not attributable to window placement.</w:t>
      </w:r>
    </w:p>
    <w:p>
      <w:pPr>
        <w:pStyle w:val="Compact"/>
        <w:numPr>
          <w:ilvl w:val="0"/>
          <w:numId w:val="1018"/>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60"/>
    <w:bookmarkStart w:id="61"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19"/>
        </w:numPr>
      </w:pPr>
      <w:r>
        <w:t xml:space="preserve">Poor fit of the gamma-frailty cumulative-hazard model during the quiet window.</w:t>
      </w:r>
    </w:p>
    <w:p>
      <w:pPr>
        <w:pStyle w:val="Compact"/>
        <w:numPr>
          <w:ilvl w:val="0"/>
          <w:numId w:val="1019"/>
        </w:numPr>
      </w:pPr>
      <w:r>
        <w:t xml:space="preserve">Systematic residual curvature after frailty normalization.</w:t>
      </w:r>
    </w:p>
    <w:p>
      <w:pPr>
        <w:pStyle w:val="Compact"/>
        <w:numPr>
          <w:ilvl w:val="0"/>
          <w:numId w:val="1019"/>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w:t>
      </w:r>
      <m:oMath>
        <m:r>
          <m:t>θ</m:t>
        </m:r>
      </m:oMath>
      <w:r>
        <w:t xml:space="preserve">). Values of</w:t>
      </w:r>
      <w:r>
        <w:t xml:space="preserve"> </w:t>
      </w:r>
      <m:oMath>
        <m:r>
          <m:t>θ</m:t>
        </m:r>
      </m:oMath>
      <w:r>
        <w:t xml:space="preserve"> </w:t>
      </w:r>
      <w:r>
        <w:t xml:space="preserve">approaching zero are expected when cumulative hazards are approximately linear, while larger values correspond to visible depletion-induced curvature. Implausible</w:t>
      </w:r>
      <w:r>
        <w:t xml:space="preserve"> </w:t>
      </w:r>
      <m:oMath>
        <m:r>
          <m:t>θ</m:t>
        </m:r>
      </m:oMath>
      <w:r>
        <w:t xml:space="preserve"> </w:t>
      </w:r>
      <w:r>
        <w:t xml:space="preserve">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61"/>
    <w:bookmarkStart w:id="62"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20"/>
        </w:numPr>
      </w:pPr>
      <w:r>
        <w:t xml:space="preserve">Failure of KCOR(t) trajectories to stabilize or asymptote following frailty normalization.</w:t>
      </w:r>
    </w:p>
    <w:p>
      <w:pPr>
        <w:pStyle w:val="Compact"/>
        <w:numPr>
          <w:ilvl w:val="0"/>
          <w:numId w:val="1020"/>
        </w:numPr>
      </w:pPr>
      <w:r>
        <w:t xml:space="preserve">Persistent nonzero slope in KCOR(t), indicating residual curvature after normalization.</w:t>
      </w:r>
    </w:p>
    <w:p>
      <w:pPr>
        <w:pStyle w:val="Compact"/>
        <w:numPr>
          <w:ilvl w:val="0"/>
          <w:numId w:val="1020"/>
        </w:numPr>
      </w:pPr>
      <w:r>
        <w:t xml:space="preserve">Instability of fitted frailty parameters (</w:t>
      </w:r>
      <m:oMath>
        <m:r>
          <m:t>θ</m:t>
        </m:r>
      </m:oMath>
      <w:r>
        <w:t xml:space="preserve">) under small perturbations of quiet-window boundaries.</w:t>
      </w:r>
    </w:p>
    <w:p>
      <w:pPr>
        <w:pStyle w:val="Compact"/>
        <w:numPr>
          <w:ilvl w:val="0"/>
          <w:numId w:val="1020"/>
        </w:numPr>
      </w:pPr>
      <w:r>
        <w:t xml:space="preserve">Failure of depletion-neutralized cumulative hazards to become approximately linear during the quiet window.</w:t>
      </w:r>
    </w:p>
    <w:p>
      <w:pPr>
        <w:pStyle w:val="Compact"/>
        <w:numPr>
          <w:ilvl w:val="0"/>
          <w:numId w:val="1020"/>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bookmarkEnd w:id="62"/>
    <w:bookmarkStart w:id="63"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w:t>
      </w:r>
      <w:r>
        <w:t xml:space="preserve"> </w:t>
      </w:r>
      <m:oMath>
        <m:r>
          <m:t>θ</m:t>
        </m:r>
      </m:oMath>
      <w:r>
        <w:t xml:space="preserve"> </w:t>
      </w:r>
      <w:r>
        <w:t xml:space="preserve">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63"/>
    <w:bookmarkStart w:id="64"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64"/>
    <w:bookmarkStart w:id="65"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65"/>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2026-01-07T07:53:48Z</dcterms:created>
  <dcterms:modified xsi:type="dcterms:W3CDTF">2026-01-07T07:53:48Z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drop_div">
    <vt:lpwstr>main,frontmatter</vt:lpwstr>
  </property>
  <property fmtid="{D5CDD505-2E9C-101B-9397-08002B2CF9AE}" pid="16" name="eqLabels">
    <vt:lpwstr>arabic</vt:lpwstr>
  </property>
  <property fmtid="{D5CDD505-2E9C-101B-9397-08002B2CF9AE}" pid="17" name="eqnBlockInlineMath">
    <vt:lpwstr>True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(i)</vt:lpwstr>
  </property>
  <property fmtid="{D5CDD505-2E9C-101B-9397-08002B2CF9AE}" pid="25" name="eqnTemplate">
    <vt:lpwstr>(i)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i</vt:lpwstr>
  </property>
  <property fmtid="{D5CDD505-2E9C-101B-9397-08002B2CF9AE}" pid="30" name="figureTemplate">
    <vt:lpwstr>figureTitle i. t</vt:lpwstr>
  </property>
  <property fmtid="{D5CDD505-2E9C-101B-9397-08002B2CF9AE}" pid="31" name="figureTitle">
    <vt:lpwstr>Figure</vt:lpwstr>
  </property>
  <property fmtid="{D5CDD505-2E9C-101B-9397-08002B2CF9AE}" pid="32" name="lastDelim">
    <vt:lpwstr>, </vt:lpwstr>
  </property>
  <property fmtid="{D5CDD505-2E9C-101B-9397-08002B2CF9AE}" pid="33" name="linkReferences">
    <vt:lpwstr>False</vt:lpwstr>
  </property>
  <property fmtid="{D5CDD505-2E9C-101B-9397-08002B2CF9AE}" pid="34" name="listItemTitleDelim">
    <vt:lpwstr>.</vt:lpwstr>
  </property>
  <property fmtid="{D5CDD505-2E9C-101B-9397-08002B2CF9AE}" pid="35" name="listOfMetadata">
    <vt:lpwstr>False</vt:lpwstr>
  </property>
  <property fmtid="{D5CDD505-2E9C-101B-9397-08002B2CF9AE}" pid="36" name="listingTemplate">
    <vt:lpwstr>listingTitle ititleDelim t</vt:lpwstr>
  </property>
  <property fmtid="{D5CDD505-2E9C-101B-9397-08002B2CF9AE}" pid="37" name="listingTitle">
    <vt:lpwstr>Listing</vt:lpwstr>
  </property>
  <property fmtid="{D5CDD505-2E9C-101B-9397-08002B2CF9AE}" pid="38" name="listings">
    <vt:lpwstr>False</vt:lpwstr>
  </property>
  <property fmtid="{D5CDD505-2E9C-101B-9397-08002B2CF9AE}" pid="39" name="lofItemTemplate">
    <vt:lpwstr>lofItemTitleilistItemTitleDelimt </vt:lpwstr>
  </property>
  <property fmtid="{D5CDD505-2E9C-101B-9397-08002B2CF9AE}" pid="40" name="lofItemTitle">
    <vt:lpwstr/>
  </property>
  <property fmtid="{D5CDD505-2E9C-101B-9397-08002B2CF9AE}" pid="41" name="lofTitle">
    <vt:lpwstr>List of Figures</vt:lpwstr>
  </property>
  <property fmtid="{D5CDD505-2E9C-101B-9397-08002B2CF9AE}" pid="42" name="lolItemTemplate">
    <vt:lpwstr>lolItemTitleilistItemTitleDelimt </vt:lpwstr>
  </property>
  <property fmtid="{D5CDD505-2E9C-101B-9397-08002B2CF9AE}" pid="43" name="lolItemTitle">
    <vt:lpwstr/>
  </property>
  <property fmtid="{D5CDD505-2E9C-101B-9397-08002B2CF9AE}" pid="44" name="lolTitle">
    <vt:lpwstr>List of Listings</vt:lpwstr>
  </property>
  <property fmtid="{D5CDD505-2E9C-101B-9397-08002B2CF9AE}" pid="45" name="lotItemTemplate">
    <vt:lpwstr>lotItemTitleilistItemTitleDelimt </vt:lpwstr>
  </property>
  <property fmtid="{D5CDD505-2E9C-101B-9397-08002B2CF9AE}" pid="46" name="lotItemTitle">
    <vt:lpwstr/>
  </property>
  <property fmtid="{D5CDD505-2E9C-101B-9397-08002B2CF9AE}" pid="47" name="lotTitle">
    <vt:lpwstr>List of Tables</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nameInLink">
    <vt:lpwstr>False</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True</vt:lpwstr>
  </property>
  <property fmtid="{D5CDD505-2E9C-101B-9397-08002B2CF9AE}" pid="69" name="tableTemplate">
    <vt:lpwstr>tableTitle i.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i</vt:lpwstr>
  </property>
  <property fmtid="{D5CDD505-2E9C-101B-9397-08002B2CF9AE}" pid="74" name="titleDelim">
    <vt:lpwstr/>
  </property>
</Properties>
</file>