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E1C3" w14:textId="27678A3B" w:rsidR="004A2D84" w:rsidRDefault="004A2D84" w:rsidP="004A2D84">
      <w:pPr>
        <w:rPr>
          <w:b/>
          <w:bCs/>
        </w:rPr>
      </w:pPr>
      <w:r>
        <w:rPr>
          <w:b/>
          <w:bCs/>
        </w:rPr>
        <w:t>Codex log (just swipe and paste here)</w:t>
      </w:r>
    </w:p>
    <w:p w14:paraId="6BE8CCC4" w14:textId="70E4615B" w:rsidR="004A2D84" w:rsidRPr="004A2D84" w:rsidRDefault="004A2D84" w:rsidP="004A2D84">
      <w:r w:rsidRPr="004A2D84">
        <w:rPr>
          <w:b/>
          <w:bCs/>
        </w:rPr>
        <w:t>1. Additions To Your Positive Case</w:t>
      </w:r>
      <w:r w:rsidRPr="004A2D84">
        <w:br/>
        <w:t>Your current pillars are already right: small/unproven benefit plus nonzero/significant harm. The main additions I’d make are:</w:t>
      </w:r>
    </w:p>
    <w:p w14:paraId="5D047436" w14:textId="77777777" w:rsidR="004A2D84" w:rsidRPr="004A2D84" w:rsidRDefault="004A2D84" w:rsidP="004A2D84">
      <w:pPr>
        <w:numPr>
          <w:ilvl w:val="0"/>
          <w:numId w:val="1"/>
        </w:numPr>
      </w:pPr>
      <w:r w:rsidRPr="004A2D84">
        <w:t>Add </w:t>
      </w:r>
      <w:r w:rsidRPr="004A2D84">
        <w:rPr>
          <w:b/>
          <w:bCs/>
        </w:rPr>
        <w:t xml:space="preserve">KCOR / </w:t>
      </w:r>
      <w:proofErr w:type="gramStart"/>
      <w:r w:rsidRPr="004A2D84">
        <w:rPr>
          <w:b/>
          <w:bCs/>
        </w:rPr>
        <w:t>fixed-cohort</w:t>
      </w:r>
      <w:proofErr w:type="gramEnd"/>
      <w:r w:rsidRPr="004A2D84">
        <w:rPr>
          <w:b/>
          <w:bCs/>
        </w:rPr>
        <w:t xml:space="preserve"> / H(t) as its own core pillar</w:t>
      </w:r>
      <w:r w:rsidRPr="004A2D84">
        <w:t>, not just supporting evidence. Your SK docs repeatedly argue that full/fixed-cohort time-series hazard shapes are the way around static HVE.</w:t>
      </w:r>
    </w:p>
    <w:p w14:paraId="0EEB22F2" w14:textId="77777777" w:rsidR="004A2D84" w:rsidRPr="004A2D84" w:rsidRDefault="004A2D84" w:rsidP="004A2D84">
      <w:pPr>
        <w:numPr>
          <w:ilvl w:val="0"/>
          <w:numId w:val="1"/>
        </w:numPr>
      </w:pPr>
      <w:r w:rsidRPr="004A2D84">
        <w:t>Add </w:t>
      </w:r>
      <w:r w:rsidRPr="004A2D84">
        <w:rPr>
          <w:b/>
          <w:bCs/>
        </w:rPr>
        <w:t>Saar’s “zero-COVID countries” as a target</w:t>
      </w:r>
      <w:r w:rsidRPr="004A2D84">
        <w:t>, because he treats this as a major falsifier of NCVIDs. We need to answer it directly or concede its scope.</w:t>
      </w:r>
    </w:p>
    <w:p w14:paraId="6DA863E5" w14:textId="77777777" w:rsidR="004A2D84" w:rsidRPr="004A2D84" w:rsidRDefault="004A2D84" w:rsidP="004A2D84">
      <w:pPr>
        <w:numPr>
          <w:ilvl w:val="0"/>
          <w:numId w:val="1"/>
        </w:numPr>
      </w:pPr>
      <w:r w:rsidRPr="004A2D84">
        <w:t>Add </w:t>
      </w:r>
      <w:r w:rsidRPr="004A2D84">
        <w:rPr>
          <w:b/>
          <w:bCs/>
        </w:rPr>
        <w:t>Czech HVE dynamics</w:t>
      </w:r>
      <w:r w:rsidRPr="004A2D84">
        <w:t> more explicitly: Saar’s rebuttal says your Alpha/Delta or high/low COVID comparisons confuse changing HVE with VE. We need the best concise response.</w:t>
      </w:r>
    </w:p>
    <w:p w14:paraId="700D3B0E" w14:textId="77777777" w:rsidR="004A2D84" w:rsidRPr="004A2D84" w:rsidRDefault="004A2D84" w:rsidP="004A2D84">
      <w:pPr>
        <w:numPr>
          <w:ilvl w:val="0"/>
          <w:numId w:val="1"/>
        </w:numPr>
      </w:pPr>
      <w:r w:rsidRPr="004A2D84">
        <w:t>Add </w:t>
      </w:r>
      <w:r w:rsidRPr="004A2D84">
        <w:rPr>
          <w:b/>
          <w:bCs/>
        </w:rPr>
        <w:t>Levi/Ladapo as the poster child for product heterogeneity</w:t>
      </w:r>
      <w:r w:rsidRPr="004A2D84">
        <w:t>, especially because Saar’s rebuttal is predictable: no comorbidity matching, COVID deaths differed too, Pfizer-vs-Moderna conflicts with earlier Moderna-harm claims.</w:t>
      </w:r>
    </w:p>
    <w:p w14:paraId="469F7375" w14:textId="77777777" w:rsidR="004A2D84" w:rsidRPr="004A2D84" w:rsidRDefault="004A2D84" w:rsidP="004A2D84">
      <w:pPr>
        <w:numPr>
          <w:ilvl w:val="0"/>
          <w:numId w:val="1"/>
        </w:numPr>
      </w:pPr>
      <w:r w:rsidRPr="004A2D84">
        <w:t>Add </w:t>
      </w:r>
      <w:r w:rsidRPr="004A2D84">
        <w:rPr>
          <w:b/>
          <w:bCs/>
        </w:rPr>
        <w:t>Japan H(t) + Japan Factors paper carefully</w:t>
      </w:r>
      <w:r w:rsidRPr="004A2D84">
        <w:t>: full-population H(t) is stronger than the ecological Japan paper, because the paper itself gives mixed phase-specific conclusions.</w:t>
      </w:r>
    </w:p>
    <w:p w14:paraId="6E1D3494" w14:textId="77777777" w:rsidR="004A2D84" w:rsidRPr="004A2D84" w:rsidRDefault="004A2D84" w:rsidP="004A2D84">
      <w:r w:rsidRPr="004A2D84">
        <w:rPr>
          <w:b/>
          <w:bCs/>
        </w:rPr>
        <w:t>2. SW’s 5 Best Positive Arguments</w:t>
      </w:r>
      <w:r w:rsidRPr="004A2D84">
        <w:br/>
        <w:t>These are Saar’s affirmative “vaccines net saved lives” points:</w:t>
      </w:r>
    </w:p>
    <w:p w14:paraId="7177133D" w14:textId="77777777" w:rsidR="004A2D84" w:rsidRPr="004A2D84" w:rsidRDefault="004A2D84" w:rsidP="004A2D84">
      <w:pPr>
        <w:numPr>
          <w:ilvl w:val="0"/>
          <w:numId w:val="2"/>
        </w:numPr>
      </w:pPr>
      <w:r w:rsidRPr="004A2D84">
        <w:rPr>
          <w:b/>
          <w:bCs/>
        </w:rPr>
        <w:t>Zero-COVID countries / states:</w:t>
      </w:r>
      <w:r w:rsidRPr="004A2D84">
        <w:t> countries like Hong Kong and highly vaccinated low-COVID places allegedly had no excess deaths during vaccination-only periods, so large NCVID claims should have shown up.</w:t>
      </w:r>
    </w:p>
    <w:p w14:paraId="002A0692" w14:textId="77777777" w:rsidR="004A2D84" w:rsidRPr="004A2D84" w:rsidRDefault="004A2D84" w:rsidP="004A2D84">
      <w:pPr>
        <w:numPr>
          <w:ilvl w:val="0"/>
          <w:numId w:val="2"/>
        </w:numPr>
      </w:pPr>
      <w:r w:rsidRPr="004A2D84">
        <w:rPr>
          <w:b/>
          <w:bCs/>
        </w:rPr>
        <w:t>Safety systems detected other signals:</w:t>
      </w:r>
      <w:r w:rsidRPr="004A2D84">
        <w:t> AstraZeneca/J&amp;J clotting and mRNA myocarditis were detected quickly, so a much larger mRNA death signal should also have been detected by health authorities, coroners, insurers, and researchers.</w:t>
      </w:r>
    </w:p>
    <w:p w14:paraId="674AC8CF" w14:textId="77777777" w:rsidR="004A2D84" w:rsidRPr="004A2D84" w:rsidRDefault="004A2D84" w:rsidP="004A2D84">
      <w:pPr>
        <w:numPr>
          <w:ilvl w:val="0"/>
          <w:numId w:val="2"/>
        </w:numPr>
      </w:pPr>
      <w:r w:rsidRPr="004A2D84">
        <w:rPr>
          <w:b/>
          <w:bCs/>
        </w:rPr>
        <w:t>VE death evidence converges around high protection:</w:t>
      </w:r>
      <w:r w:rsidRPr="004A2D84">
        <w:t> RCT severe COVID, immunology/neutralization, real-world VE studies, meta-analyses, Israel/Czech/Hungary, and political/region comparisons allegedly converge on ~90% death protection.</w:t>
      </w:r>
    </w:p>
    <w:p w14:paraId="3B0688C4" w14:textId="77777777" w:rsidR="004A2D84" w:rsidRPr="004A2D84" w:rsidRDefault="004A2D84" w:rsidP="004A2D84">
      <w:pPr>
        <w:numPr>
          <w:ilvl w:val="0"/>
          <w:numId w:val="2"/>
        </w:numPr>
      </w:pPr>
      <w:r w:rsidRPr="004A2D84">
        <w:rPr>
          <w:b/>
          <w:bCs/>
        </w:rPr>
        <w:t>Lives-saved models are robust even under conservative assumptions:</w:t>
      </w:r>
      <w:r w:rsidRPr="004A2D84">
        <w:t> he gives lower-bound lives-saved estimates, including &gt;500k and sometimes ~700k to &gt;1M US lives saved depending on model.</w:t>
      </w:r>
    </w:p>
    <w:p w14:paraId="04B987B8" w14:textId="77777777" w:rsidR="004A2D84" w:rsidRPr="004A2D84" w:rsidRDefault="004A2D84" w:rsidP="004A2D84">
      <w:pPr>
        <w:numPr>
          <w:ilvl w:val="0"/>
          <w:numId w:val="2"/>
        </w:numPr>
      </w:pPr>
      <w:r w:rsidRPr="004A2D84">
        <w:rPr>
          <w:b/>
          <w:bCs/>
        </w:rPr>
        <w:lastRenderedPageBreak/>
        <w:t>ACM wave-differential argument:</w:t>
      </w:r>
      <w:r w:rsidRPr="004A2D84">
        <w:t> even if vaccinated people are healthier, he claims the vaccinated/unvaccinated mortality gap changes during COVID waves in a way consistent with high VE, and he tries to dynamically adjust for HVE over time.</w:t>
      </w:r>
    </w:p>
    <w:p w14:paraId="5C986061" w14:textId="77777777" w:rsidR="004A2D84" w:rsidRPr="004A2D84" w:rsidRDefault="004A2D84" w:rsidP="004A2D84">
      <w:r w:rsidRPr="004A2D84">
        <w:rPr>
          <w:b/>
          <w:bCs/>
        </w:rPr>
        <w:t>3. SW’s 5 Best Kirsch Rebuttal Points</w:t>
      </w:r>
      <w:r w:rsidRPr="004A2D84">
        <w:br/>
        <w:t>These are Saar’s strongest attacks on your case:</w:t>
      </w:r>
    </w:p>
    <w:p w14:paraId="5CB64E77" w14:textId="77777777" w:rsidR="004A2D84" w:rsidRPr="004A2D84" w:rsidRDefault="004A2D84" w:rsidP="004A2D84">
      <w:pPr>
        <w:numPr>
          <w:ilvl w:val="0"/>
          <w:numId w:val="3"/>
        </w:numPr>
      </w:pPr>
      <w:r w:rsidRPr="004A2D84">
        <w:rPr>
          <w:b/>
          <w:bCs/>
        </w:rPr>
        <w:t>Your evidence stack is cherry-picked / anecdotal / low-quality:</w:t>
      </w:r>
      <w:r w:rsidRPr="004A2D84">
        <w:t> doctors, embalmers, VAERS, X posts, surveys, and anecdotes are framed as weak evidence compared with representative datasets.</w:t>
      </w:r>
    </w:p>
    <w:p w14:paraId="58ED1447" w14:textId="77777777" w:rsidR="004A2D84" w:rsidRPr="004A2D84" w:rsidRDefault="004A2D84" w:rsidP="004A2D84">
      <w:pPr>
        <w:numPr>
          <w:ilvl w:val="0"/>
          <w:numId w:val="3"/>
        </w:numPr>
      </w:pPr>
      <w:r w:rsidRPr="004A2D84">
        <w:rPr>
          <w:b/>
          <w:bCs/>
        </w:rPr>
        <w:t>Passive surveillance cannot estimate deaths:</w:t>
      </w:r>
      <w:r w:rsidRPr="004A2D84">
        <w:t> his VAERS rebuttal attacks the underreporting factor and argues COVID-era reporting intensity/social media can explain unprecedented VAERS volume.</w:t>
      </w:r>
    </w:p>
    <w:p w14:paraId="1A2FDAF6" w14:textId="77777777" w:rsidR="004A2D84" w:rsidRPr="004A2D84" w:rsidRDefault="004A2D84" w:rsidP="004A2D84">
      <w:pPr>
        <w:numPr>
          <w:ilvl w:val="0"/>
          <w:numId w:val="3"/>
        </w:numPr>
      </w:pPr>
      <w:r w:rsidRPr="004A2D84">
        <w:rPr>
          <w:b/>
          <w:bCs/>
        </w:rPr>
        <w:t>Autopsy evidence has selection bias:</w:t>
      </w:r>
      <w:r w:rsidRPr="004A2D84">
        <w:t> he says autopsy case series cannot estimate population death rates and that some cited cases involve non-mRNA products.</w:t>
      </w:r>
    </w:p>
    <w:p w14:paraId="38EFC9D0" w14:textId="77777777" w:rsidR="004A2D84" w:rsidRPr="004A2D84" w:rsidRDefault="004A2D84" w:rsidP="004A2D84">
      <w:pPr>
        <w:numPr>
          <w:ilvl w:val="0"/>
          <w:numId w:val="3"/>
        </w:numPr>
      </w:pPr>
      <w:r w:rsidRPr="004A2D84">
        <w:rPr>
          <w:b/>
          <w:bCs/>
        </w:rPr>
        <w:t>Czech analysis confuses dynamic HVE with VE:</w:t>
      </w:r>
      <w:r w:rsidRPr="004A2D84">
        <w:t> he claims your high/low COVID period comparisons use the wrong baseline period, because HVE changes sharply over time.</w:t>
      </w:r>
    </w:p>
    <w:p w14:paraId="621DFE1D" w14:textId="77777777" w:rsidR="004A2D84" w:rsidRPr="004A2D84" w:rsidRDefault="004A2D84" w:rsidP="004A2D84">
      <w:pPr>
        <w:numPr>
          <w:ilvl w:val="0"/>
          <w:numId w:val="3"/>
        </w:numPr>
      </w:pPr>
      <w:r w:rsidRPr="004A2D84">
        <w:rPr>
          <w:b/>
          <w:bCs/>
        </w:rPr>
        <w:t>Levi/Ladapo is residual confounding, not brand harm:</w:t>
      </w:r>
      <w:r w:rsidRPr="004A2D84">
        <w:t> he argues comorbidities were not matched, COVID deaths differed most strongly, and the result conflicts with earlier Moderna-harm arguments.</w:t>
      </w:r>
    </w:p>
    <w:p w14:paraId="33AA784D" w14:textId="77777777" w:rsidR="004A2D84" w:rsidRPr="004A2D84" w:rsidRDefault="004A2D84" w:rsidP="004A2D84">
      <w:r w:rsidRPr="004A2D84">
        <w:t>My recommendation: focus next on #2 and #3 exactly as planned. If we can weaken his zero-COVID, surveillance-detection, and dynamic-HVE rebuttals, his case loses a lot of force. Then we can evaluate which additions to your positive case are worth making front-line versus keeping as backup.</w:t>
      </w:r>
    </w:p>
    <w:p w14:paraId="5CC613AE" w14:textId="39862FE9" w:rsidR="009B67A3" w:rsidRPr="004A2D84" w:rsidRDefault="009B67A3" w:rsidP="004A2D84"/>
    <w:sectPr w:rsidR="009B67A3" w:rsidRPr="004A2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F3CA4"/>
    <w:multiLevelType w:val="multilevel"/>
    <w:tmpl w:val="4FD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4D71A5"/>
    <w:multiLevelType w:val="multilevel"/>
    <w:tmpl w:val="1B3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1962CA"/>
    <w:multiLevelType w:val="multilevel"/>
    <w:tmpl w:val="67D2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6496331">
    <w:abstractNumId w:val="2"/>
  </w:num>
  <w:num w:numId="2" w16cid:durableId="2071807973">
    <w:abstractNumId w:val="0"/>
  </w:num>
  <w:num w:numId="3" w16cid:durableId="12072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84"/>
    <w:rsid w:val="004A2D84"/>
    <w:rsid w:val="00755A5C"/>
    <w:rsid w:val="00787ECD"/>
    <w:rsid w:val="00870759"/>
    <w:rsid w:val="009B67A3"/>
    <w:rsid w:val="009F160D"/>
    <w:rsid w:val="00A5590F"/>
    <w:rsid w:val="00BF2EB4"/>
    <w:rsid w:val="00D81CCF"/>
    <w:rsid w:val="00F1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32D3"/>
  <w15:chartTrackingRefBased/>
  <w15:docId w15:val="{53E00489-F2D0-42C2-B9F0-6C22DAE1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Kirsch</dc:creator>
  <cp:keywords/>
  <dc:description/>
  <cp:lastModifiedBy>Steve Kirsch</cp:lastModifiedBy>
  <cp:revision>1</cp:revision>
  <dcterms:created xsi:type="dcterms:W3CDTF">2026-04-10T22:59:00Z</dcterms:created>
  <dcterms:modified xsi:type="dcterms:W3CDTF">2026-04-10T23:01:00Z</dcterms:modified>
</cp:coreProperties>
</file>