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101.png" ContentType="image/png"/>
  <Override PartName="/word/media/rId105.png" ContentType="image/png"/>
  <Override PartName="/word/media/rId77.png" ContentType="image/png"/>
  <Override PartName="/word/media/rId81.png" ContentType="image/png"/>
  <Override PartName="/word/media/rId71.png" ContentType="image/png"/>
  <Override PartName="/word/media/rId95.png" ContentType="image/png"/>
  <Override PartName="/word/media/rId113.png" ContentType="image/png"/>
  <Override PartName="/word/media/rId136.png" ContentType="image/png"/>
  <Override PartName="/word/media/rId132.png" ContentType="image/png"/>
  <Override PartName="/word/media/rId119.png" ContentType="image/png"/>
  <Override PartName="/word/media/rId128.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5" w:name="X87404fd0c70b5b6a5b8bf836f021ef75f69b977"/>
    <w:p>
      <w:pPr>
        <w:pStyle w:val="Heading1"/>
      </w:pPr>
      <w:r>
        <w:t xml:space="preserve">KCOR: A Depletion-Neutralized Cohort Comparison Framework Using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survival analysis; frailty models; non-proportional hazards; cumulative hazard; selection bias; retrospective cohort studies; observational studies; simulation study</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produce non-proportional hazards that invalidate standard survival estimands. We introduce the Kirsch Cumulative Outcomes Ratio (KCOR), a cumulative-hazard normalization and comparison framework designed for retrospective cohorts using minimal registry data (e.g., dates of birth, intervention, and event). KCOR operates by estimating cohort-specific frailty during epidemiologically quiet periods, transforming observed cumulative hazards into a depletion-neutralized space, and defining a cumulative hazard ratio as the target estimand.</w:t>
      </w:r>
    </w:p>
    <w:p>
      <w:pPr>
        <w:pStyle w:val="BodyText"/>
      </w:pPr>
      <w:r>
        <w:t xml:space="preserve">Using simulation studies structured to vary frailty heterogeneity and selection strength, we evaluate KCOR alongside commonly used alternative estimands under both null and non-null conditions. Under selection-only scenarios, KCOR remains centered near the null with stable trajectories, whereas survival-based and hazard-based estimands exhibit systematic non-null behavior driven by residual depletion effects. KCOR defines a cumulative hazard ratio after explicit normalization of selection-induced depletion; it is presented as a diagnostic and normalization framework rather than a causal estimator, with interpretation contingent on stated assumptions and validated through prespecified simulations and control tests.</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whereas proportional hazards–based Cox regression can produce non-null hazard ratios driven by selection-induced depletion rather than true signal.</w:t>
      </w:r>
    </w:p>
    <w:bookmarkEnd w:id="11"/>
    <w:bookmarkStart w:id="27" w:name="introduction"/>
    <w:p>
      <w:pPr>
        <w:pStyle w:val="Heading2"/>
      </w:pPr>
      <w:r>
        <w:t xml:space="preserve">1. Introduction</w:t>
      </w:r>
    </w:p>
    <w:bookmarkStart w:id="12"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2"/>
    <w:bookmarkStart w:id="13"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3"/>
    <w:bookmarkStart w:id="16"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4" w:name="X4d548de58a3c5c18844cb09c3f0315e94fedf3d"/>
    <w:p>
      <w:pPr>
        <w:pStyle w:val="Heading4"/>
      </w:pPr>
      <w:r>
        <w:t xml:space="preserve">1.3.1 Related work beyond proportional hazards: time-varying effects and flexible hazard modeling</w:t>
      </w:r>
    </w:p>
    <w:p>
      <w:pPr>
        <w:pStyle w:val="FirstParagraph"/>
      </w:pP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bookmarkEnd w:id="14"/>
    <w:bookmarkStart w:id="15"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inherits the same curvature-driven bias present in unadjusted survival functions and does not normalize selection-induced depletion geometry.</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5"/>
    <w:bookmarkEnd w:id="16"/>
    <w:bookmarkStart w:id="20"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17"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7"/>
    <w:bookmarkStart w:id="19"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18"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8"/>
    <w:bookmarkEnd w:id="19"/>
    <w:bookmarkEnd w:id="20"/>
    <w:bookmarkStart w:id="23"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 These approaches differ not only in modeling strategy but in estimand: most existing methods target instantaneous or survival-conditional contrasts, whereas KCOR targets cumulative outcomes after explicit normalization of selection-induced depletion geometry.</w:t>
      </w:r>
    </w:p>
    <w:bookmarkStart w:id="21"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21"/>
    <w:p/>
    <w:bookmarkStart w:id="22" w:name="tbl:positioning"/>
    <w:p>
      <w:pPr>
        <w:pStyle w:val="TableCaption"/>
      </w:pPr>
      <w:r>
        <w:t xml:space="preserve">Table 3. Positioning KCOR among retrospective methods.</w:t>
      </w:r>
    </w:p>
    <w:tbl>
      <w:tblPr>
        <w:tblStyle w:val="Table"/>
        <w:tblW w:type="pct" w:w="5000"/>
        <w:tblLayout w:type="fixed"/>
        <w:tblLook w:firstRow="1" w:lastRow="0" w:firstColumn="0" w:lastColumn="0" w:noHBand="0" w:noVBand="0" w:val="0020"/>
        <w:tblCaption w:val="Table 3. Positioning KCOR among retrospective methods."/>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bookmarkEnd w:id="22"/>
    <w:p>
      <w:pPr>
        <w:pStyle w:val="BodyText"/>
      </w:pP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w:t>
      </w:r>
    </w:p>
    <w:bookmarkEnd w:id="23"/>
    <w:bookmarkStart w:id="24" w:name="target-estimand-and-interpretation"/>
    <w:p>
      <w:pPr>
        <w:pStyle w:val="Heading3"/>
      </w:pPr>
      <w:r>
        <w:t xml:space="preserve">1.6 Target estimand and interpretation</w:t>
      </w:r>
    </w:p>
    <w:p>
      <w:pPr>
        <w:pStyle w:val="FirstParagraph"/>
      </w:pPr>
      <w:r>
        <w:t xml:space="preserve">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w:t>
      </w:r>
    </w:p>
    <w:p>
      <w:pPr>
        <w:pStyle w:val="BodyText"/>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The method makes no claims regarding causality or mechanism and does not rely on assumptions of proportional hazards, exchangeability, or treatment randomization. The method does not target survival-based summary estimands such as RMST, but instead defines a cumulative hazard ratio after depletion normalization. When stronger causal designs are feasible, they should be preferred; when they are not, KCOR provides a principled way to assess whether observed cohort differences persist once selection-induced depletion is removed.</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2.</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4"/>
    <w:bookmarkStart w:id="25"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bookmarkEnd w:id="25"/>
    <w:bookmarkStart w:id="26"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4"/>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4"/>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6"/>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7"/>
        </w:numPr>
      </w:pPr>
      <w:r>
        <w:rPr>
          <w:b/>
          <w:bCs/>
        </w:rPr>
        <w:t xml:space="preserve">KCOR ratio</w:t>
      </w:r>
      <w:r>
        <w:t xml:space="preserve">: Cohorts are compared via the ratio of depletion-neutralized cumulative hazards:</w:t>
      </w:r>
    </w:p>
    <w:p>
      <w:pPr>
        <w:pStyle w:val="FirstParagraph"/>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8"/>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6"/>
    <w:bookmarkEnd w:id="27"/>
    <w:bookmarkStart w:id="90"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bookmarkStart w:id="28"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Para>
              <m:oMathParaPr>
                <m:jc m:val="center"/>
              </m:oMathParaPr>
              <m:oMath>
                <m:r>
                  <m:t>d</m:t>
                </m:r>
              </m:oMath>
            </m:oMathPara>
          </w:p>
        </w:tc>
        <w:tc>
          <w:tcPr/>
          <w:p>
            <w:pPr>
              <w:pStyle w:val="Compact"/>
            </w:pPr>
            <w:r>
              <w:t xml:space="preserve">Cohort index</w:t>
            </w:r>
          </w:p>
        </w:tc>
      </w:tr>
      <w:tr>
        <w:tc>
          <w:tcPr/>
          <w:p>
            <w:pPr>
              <w:pStyle w:val="Compact"/>
            </w:pPr>
            <m:oMathPara>
              <m:oMathParaPr>
                <m:jc m:val="center"/>
              </m:oMathParaPr>
              <m:oMath>
                <m:r>
                  <m:t>t</m:t>
                </m:r>
              </m:oMath>
            </m:oMathPara>
          </w:p>
        </w:tc>
        <w:tc>
          <w:tcPr/>
          <w:p>
            <w:pPr>
              <w:pStyle w:val="Compact"/>
            </w:pPr>
            <w:r>
              <w:t xml:space="preserve">Event time since enrollment (discrete bins, e.g., weeks)</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cohort hazard</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cumulative hazard (after skip/stabilization)</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acc>
                      <m:accPr>
                        <m:chr m:val="̃"/>
                      </m:accPr>
                      <m:e>
                        <m:r>
                          <m:t>H</m:t>
                        </m:r>
                      </m:e>
                    </m:acc>
                  </m:e>
                  <m:sub>
                    <m:r>
                      <m:t>0</m:t>
                    </m:r>
                    <m:r>
                      <m:rPr>
                        <m:sty m:val="p"/>
                      </m:rPr>
                      <m:t>,</m:t>
                    </m:r>
                    <m:r>
                      <m:t>d</m:t>
                    </m:r>
                  </m:sub>
                </m:sSub>
                <m:r>
                  <m:rPr>
                    <m:sty m:val="p"/>
                  </m:rPr>
                  <m:t>(</m:t>
                </m:r>
                <m:r>
                  <m:t>t</m:t>
                </m:r>
                <m:r>
                  <m:rPr>
                    <m:sty m:val="p"/>
                  </m:rPr>
                  <m:t>)</m:t>
                </m:r>
              </m:oMath>
            </m:oMathPara>
          </w:p>
        </w:tc>
        <w:tc>
          <w:tcPr/>
          <w:p>
            <w:pPr>
              <w:pStyle w:val="Compact"/>
            </w:pPr>
            <w:r>
              <w:t xml:space="preserve">Depletion-neutralized baseline cumulative hazard</w:t>
            </w:r>
          </w:p>
        </w:tc>
      </w:tr>
      <w:tr>
        <w:tc>
          <w:tcPr/>
          <w:p>
            <w:pPr>
              <w:pStyle w:val="Compact"/>
            </w:pPr>
            <m:oMathPara>
              <m:oMathParaPr>
                <m:jc m:val="center"/>
              </m:oMathParaPr>
              <m:oMath>
                <m:sSub>
                  <m:e>
                    <m:r>
                      <m:t>θ</m:t>
                    </m:r>
                  </m:e>
                  <m:sub>
                    <m:r>
                      <m:t>d</m:t>
                    </m:r>
                  </m:sub>
                </m:sSub>
              </m:oMath>
            </m:oMathPara>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Para>
              <m:oMathParaPr>
                <m:jc m:val="center"/>
              </m:oMathParaPr>
              <m:oMath>
                <m:sSub>
                  <m:e>
                    <m:acc>
                      <m:accPr>
                        <m:chr m:val="̂"/>
                      </m:accPr>
                      <m:e>
                        <m:r>
                          <m:t>θ</m:t>
                        </m:r>
                      </m:e>
                    </m:acc>
                  </m:e>
                  <m:sub>
                    <m:r>
                      <m:t>d</m:t>
                    </m:r>
                  </m:sub>
                </m:sSub>
              </m:oMath>
            </m:oMathPara>
          </w:p>
        </w:tc>
        <w:tc>
          <w:tcPr/>
          <w:p>
            <w:pPr>
              <w:pStyle w:val="Compact"/>
            </w:pPr>
            <w:r>
              <w:t xml:space="preserve">Estimated frailty variance from quiet-window fitting</w:t>
            </w:r>
          </w:p>
        </w:tc>
      </w:tr>
      <w:tr>
        <w:tc>
          <w:tcPr/>
          <w:p>
            <w:pPr>
              <w:pStyle w:val="Compact"/>
            </w:pPr>
            <m:oMathPara>
              <m:oMathParaPr>
                <m:jc m:val="center"/>
              </m:oMathParaPr>
              <m:oMath>
                <m:sSub>
                  <m:e>
                    <m:r>
                      <m:t>k</m:t>
                    </m:r>
                  </m:e>
                  <m:sub>
                    <m:r>
                      <m:t>d</m:t>
                    </m:r>
                  </m:sub>
                </m:sSub>
              </m:oMath>
            </m:oMathPara>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Para>
              <m:oMathParaPr>
                <m:jc m:val="center"/>
              </m:oMathParaPr>
              <m:oMath>
                <m:sSub>
                  <m:e>
                    <m:acc>
                      <m:accPr>
                        <m:chr m:val="̂"/>
                      </m:accPr>
                      <m:e>
                        <m:r>
                          <m:t>k</m:t>
                        </m:r>
                      </m:e>
                    </m:acc>
                  </m:e>
                  <m:sub>
                    <m:r>
                      <m:t>d</m:t>
                    </m:r>
                  </m:sub>
                </m:sSub>
              </m:oMath>
            </m:oMathPara>
          </w:p>
        </w:tc>
        <w:tc>
          <w:tcPr/>
          <w:p>
            <w:pPr>
              <w:pStyle w:val="Compact"/>
            </w:pPr>
            <w:r>
              <w:t xml:space="preserve">Estimated baseline hazard level from quiet-window fitting</w:t>
            </w:r>
          </w:p>
        </w:tc>
      </w:tr>
    </w:tbl>
    <w:bookmarkEnd w:id="28"/>
    <w:p>
      <w:pPr>
        <w:pStyle w:val="BodyText"/>
      </w:pPr>
      <w:r>
        <w:t xml:space="preserve">For COVID-19 vaccination analyses, intervention count corresponds to the number of vaccine doses received; more generally, this can index any discrete exposure level.</w:t>
      </w:r>
    </w:p>
    <w:bookmarkStart w:id="35"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9"/>
        </w:numPr>
      </w:pPr>
      <w:r>
        <w:rPr>
          <w:b/>
          <w:bCs/>
        </w:rPr>
        <w:t xml:space="preserve">Level effects</w:t>
      </w:r>
      <w:r>
        <w:t xml:space="preserve">: multiplicative shifts in hazard that are constant over time.</w:t>
      </w:r>
    </w:p>
    <w:p>
      <w:pPr>
        <w:pStyle w:val="Compact"/>
        <w:numPr>
          <w:ilvl w:val="0"/>
          <w:numId w:val="1009"/>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2 provides a schematic overview of the KCOR workflow.</w:t>
      </w:r>
    </w:p>
    <w:bookmarkStart w:id="29" w:name="kcor-assumptions-and-identifiability"/>
    <w:p>
      <w:pPr>
        <w:pStyle w:val="Heading4"/>
      </w:pPr>
      <w:r>
        <w:t xml:space="preserve">2.1.1 KCOR assumptions and identifiability</w:t>
      </w:r>
    </w:p>
    <w:p>
      <w:pPr>
        <w:pStyle w:val="FirstParagraph"/>
      </w:pPr>
      <w:r>
        <w:t xml:space="preserve">KCOR relies on</w:t>
      </w:r>
      <w:r>
        <w:t xml:space="preserve"> </w:t>
      </w:r>
      <w:r>
        <w:rPr>
          <w:b/>
          <w:bCs/>
        </w:rPr>
        <w:t xml:space="preserve">five explicit assumptions (A1–A5)</w:t>
      </w:r>
      <w:r>
        <w:t xml:space="preserve">. These assumptions are stated exhaustively here;</w:t>
      </w:r>
      <w:r>
        <w:t xml:space="preserve"> </w:t>
      </w:r>
      <w:r>
        <w:rPr>
          <w:b/>
          <w:bCs/>
        </w:rPr>
        <w:t xml:space="preserve">no additional assumptions are introduced elsewhere in the manuscript</w:t>
      </w:r>
      <w:r>
        <w:t xml:space="preserve">. Each assumption is either enforced by study design or empirically testable via prespecified diagnostics. When an assumption is violated, KCOR does not silently produce misleading estimates; instead, the violation manifests through identifiable diagnostic failures described in Appendix D.</w:t>
      </w:r>
    </w:p>
    <w:p>
      <w:pPr>
        <w:pStyle w:val="BodyText"/>
      </w:pPr>
      <w:r>
        <w:rPr>
          <w:b/>
          <w:bCs/>
        </w:rPr>
        <w:t xml:space="preserve">A1. Fixed cohorts at enrollment.</w:t>
      </w:r>
      <w:r>
        <w:t xml:space="preserve"> </w:t>
      </w:r>
      <w:r>
        <w:t xml:space="preserve">Individuals are assigned to cohorts at enrollment and remain in those cohorts for the duration of follow-up. No post-enrollment switching or censoring is permitted in the primary estimand.</w:t>
      </w:r>
    </w:p>
    <w:p>
      <w:pPr>
        <w:pStyle w:val="BodyText"/>
      </w:pPr>
      <w:r>
        <w:rPr>
          <w:b/>
          <w:bCs/>
        </w:rPr>
        <w:t xml:space="preserve">A2. Shared external hazard environment.</w:t>
      </w:r>
      <w:r>
        <w:t xml:space="preserve"> </w:t>
      </w:r>
      <w:r>
        <w:t xml:space="preserve">All cohorts are exposed to the same calendar-time external mortality environment (e.g., seasonality, epidemic waves, reporting artifacts). External shocks may occur but must affect cohorts symmetrically.</w:t>
      </w:r>
    </w:p>
    <w:p>
      <w:pPr>
        <w:pStyle w:val="BodyText"/>
      </w:pPr>
      <w:r>
        <w:rPr>
          <w:b/>
          <w:bCs/>
        </w:rPr>
        <w:t xml:space="preserve">A3. Selection operates through time-invariant latent frailty.</w:t>
      </w:r>
      <w:r>
        <w:t xml:space="preserve"> </w:t>
      </w:r>
      <w:r>
        <w:t xml:space="preserve">Differences between cohorts at enrollment arise primarily through selection on latent, multiplicative frailty that remains constant over follow-up and induces depletion of susceptibles.</w:t>
      </w:r>
    </w:p>
    <w:p>
      <w:pPr>
        <w:pStyle w:val="BodyText"/>
      </w:pPr>
      <w:r>
        <w:rPr>
          <w:b/>
          <w:bCs/>
        </w:rPr>
        <w:t xml:space="preserve">A4. Gamma frailty adequately approximates depletion geometry.</w:t>
      </w:r>
      <w:r>
        <w:t xml:space="preserve"> </w:t>
      </w:r>
      <w:r>
        <w:t xml:space="preserve">Gamma frailty provides a sufficient approximation to the cumulative-hazard curvature induced by frailty-driven depletion over the estimation window. This assumption is not asserted a priori and is evaluated empirically.</w:t>
      </w:r>
    </w:p>
    <w:p>
      <w:pPr>
        <w:pStyle w:val="BodyText"/>
      </w:pPr>
      <w:r>
        <w:rPr>
          <w:b/>
          <w:bCs/>
        </w:rPr>
        <w:t xml:space="preserve">A5. Existence of a valid quiet window for frailty identification.</w:t>
      </w:r>
      <w:r>
        <w:t xml:space="preserve"> </w:t>
      </w:r>
      <w:r>
        <w:t xml:space="preserve">There exists a prespecified epidemiologically quiet period</w:t>
      </w:r>
      <w:r>
        <w:t xml:space="preserve"> </w:t>
      </w:r>
      <w:r>
        <w:rPr>
          <w:i/>
          <w:iCs/>
        </w:rPr>
        <w:t xml:space="preserve">(i.e., periods with approximately stable baseline hazard and no major external mortality shocks, rather than simply periods of low mortality)</w:t>
      </w:r>
      <w:r>
        <w:t xml:space="preserve"> </w:t>
      </w:r>
      <w:r>
        <w:t xml:space="preserve">during which selection-induced depletion dominates other sources of curvature, permitting identification of frailty parameters. This assumption is assessed empirically and is the primary dataset-specific requirement for KCOR applicability.</w:t>
      </w:r>
    </w:p>
    <w:p>
      <w:pPr>
        <w:pStyle w:val="BodyText"/>
      </w:pPr>
      <w:r>
        <w:t xml:space="preserve">Of these five assumptions,</w:t>
      </w:r>
      <w:r>
        <w:t xml:space="preserve"> </w:t>
      </w:r>
      <w:r>
        <w:rPr>
          <w:b/>
          <w:bCs/>
        </w:rPr>
        <w:t xml:space="preserve">A1–A3 are structural and are typically satisfied by cohort construction in national mortality datasets</w:t>
      </w:r>
      <w:r>
        <w:t xml:space="preserve">, while</w:t>
      </w:r>
      <w:r>
        <w:t xml:space="preserve"> </w:t>
      </w:r>
      <w:r>
        <w:rPr>
          <w:b/>
          <w:bCs/>
        </w:rPr>
        <w:t xml:space="preserve">A4–A5 are empirically evaluated using diagnostics</w:t>
      </w:r>
      <w:r>
        <w:t xml:space="preserve">. Failure of any assumption limits interpretability and is explicitly signaled by KCOR’s diagnostic outputs (Appendix D). Sanity checks on frailty estimates—including magnitude, stability, and coherence with observed cumulative-hazard curvature—are treated diagnostically rather than as assumptions (Appendix D; see also diagnostic coherence in §2.1.2). KCOR does not assume causal separability of selection and treatment effects; rather, it identifies cumulative outcome differences under explicit normalization of selection-induced depletion, making departures from the null of no net harm or benefit interpretable when diagnostic and interpretability conditions are satisfied.</w:t>
      </w:r>
    </w:p>
    <w:p>
      <w:pPr>
        <w:pStyle w:val="BodyText"/>
      </w:pPr>
      <w:r>
        <w:t xml:space="preserve">KCOR is designed for settings in which selection-induced depletion of susceptibles is the dominant source of non-proportionality in cohort hazards; regimes in which timing misalignment or denominator redefinition dominate are typically identifiable through early instability, lack of a valid quiet window, or failure of post-normalization linearity and therefore fall outside the intended scope of the method.</w:t>
      </w:r>
    </w:p>
    <w:bookmarkEnd w:id="29"/>
    <w:bookmarkStart w:id="30" w:name="Xb392e4b688f4a0f1d9b42015876f69bb1b92dbe"/>
    <w:p>
      <w:pPr>
        <w:pStyle w:val="Heading4"/>
      </w:pPr>
      <w:r>
        <w:t xml:space="preserve">2.1.2 Interpretability checklist for KCOR results</w:t>
      </w:r>
    </w:p>
    <w:p>
      <w:pPr>
        <w:pStyle w:val="FirstParagraph"/>
      </w:pPr>
      <w:r>
        <w:t xml:space="preserve">The assumptions in §2.1.1 specify the conditions under which KCOR is a valid and diagnostically enforceable estimator. Interpretation of a specific KCOR result—particularly as evidence of harm or benefit—requires additional prespecified checks. These checks do not constitute assumptions of the method, but determine what inferential question a given KCOR trajectory answers.</w:t>
      </w:r>
    </w:p>
    <w:p>
      <w:pPr>
        <w:pStyle w:val="BodyText"/>
      </w:pPr>
      <w:r>
        <w:rPr>
          <w:b/>
          <w:bCs/>
        </w:rPr>
        <w:t xml:space="preserve">Before interpreting a KCOR result as evidence of cumulative harm or benefit, the following interpretability checks should be verified:</w:t>
      </w:r>
    </w:p>
    <w:p>
      <w:pPr>
        <w:numPr>
          <w:ilvl w:val="0"/>
          <w:numId w:val="1010"/>
        </w:numPr>
      </w:pPr>
      <w:r>
        <w:rPr>
          <w:b/>
          <w:bCs/>
        </w:rPr>
        <w:t xml:space="preserve">Dynamic selection handling.</w:t>
      </w:r>
      <w:r>
        <w:t xml:space="preserve"> </w:t>
      </w:r>
      <w:r>
        <w:t xml:space="preserve">Early post-enrollment periods subject to short-horizon dynamic selection (e.g., deferral effects) are excluded from frailty identification via prespecified skip weeks.</w:t>
      </w:r>
    </w:p>
    <w:p>
      <w:pPr>
        <w:numPr>
          <w:ilvl w:val="0"/>
          <w:numId w:val="1010"/>
        </w:numPr>
      </w:pPr>
      <w:r>
        <w:rPr>
          <w:b/>
          <w:bCs/>
        </w:rPr>
        <w:t xml:space="preserve">Quiet baseline anchoring.</w:t>
      </w:r>
      <w:r>
        <w:t xml:space="preserve"> </w:t>
      </w:r>
      <w:r>
        <w:t xml:space="preserve">The baseline anchoring period used for comparison lies within an epidemiologically quiet window, free of major external shocks, and exhibits approximate post-normalization linearity.</w:t>
      </w:r>
    </w:p>
    <w:p>
      <w:pPr>
        <w:numPr>
          <w:ilvl w:val="0"/>
          <w:numId w:val="1010"/>
        </w:numPr>
      </w:pPr>
      <w:r>
        <w:rPr>
          <w:b/>
          <w:bCs/>
        </w:rPr>
        <w:t xml:space="preserve">Temporal alignment with hypothesized effects.</w:t>
      </w:r>
      <w:r>
        <w:t xml:space="preserve"> </w:t>
      </w:r>
      <w:r>
        <w:t xml:space="preserve">The follow-up window used for interpretation overlaps the period during which a substantive effect is hypothesized to occur; KCOR does not recover effects outside the analyzed window.</w:t>
      </w:r>
    </w:p>
    <w:p>
      <w:pPr>
        <w:numPr>
          <w:ilvl w:val="0"/>
          <w:numId w:val="1010"/>
        </w:numPr>
      </w:pPr>
      <w:r>
        <w:rPr>
          <w:b/>
          <w:bCs/>
        </w:rPr>
        <w:t xml:space="preserve">Post-normalization stability.</w:t>
      </w:r>
      <w:r>
        <w:t xml:space="preserve"> </w:t>
      </w:r>
      <w:r>
        <w:t xml:space="preserve">KCOR(t) trajectories stabilize rather than drift following normalization and anchoring, consistent with successful removal of selection-induced depletion curvature.</w:t>
      </w:r>
    </w:p>
    <w:p>
      <w:pPr>
        <w:numPr>
          <w:ilvl w:val="0"/>
          <w:numId w:val="1010"/>
        </w:numPr>
      </w:pPr>
      <w:r>
        <w:rPr>
          <w:b/>
          <w:bCs/>
        </w:rPr>
        <w:t xml:space="preserve">Diagnostic coherence.</w:t>
      </w:r>
      <w:r>
        <w:t xml:space="preserve"> </w:t>
      </w:r>
      <w:r>
        <w:t xml:space="preserve">Fitted frailty parameters and residual diagnostics are stable under reasonable perturbations of skip weeks and quiet-window boundaries.</w:t>
      </w:r>
    </w:p>
    <w:p>
      <w:pPr>
        <w:pStyle w:val="FirstParagraph"/>
      </w:pPr>
      <w:r>
        <w:t xml:space="preserve">Failure of any interpretability check narrows what can be inferred, but does not invalidate the KCOR estimator itself. Formal diagnostics underlying these checks, including frailty-parameter coherence and stability, are detailed in Appendix D.</w:t>
      </w:r>
    </w:p>
    <w:bookmarkEnd w:id="30"/>
    <w:bookmarkStart w:id="31" w:name="multiplicity-and-ensemble-interpretation"/>
    <w:p>
      <w:pPr>
        <w:pStyle w:val="Heading4"/>
      </w:pPr>
      <w:r>
        <w:t xml:space="preserve">2.1.3 Multiplicity and ensemble interpretation</w:t>
      </w:r>
    </w:p>
    <w:p>
      <w:pPr>
        <w:pStyle w:val="FirstParagraph"/>
      </w:pPr>
      <w:r>
        <w:t xml:space="preserve">KCOR is not intended as a mass univariate hypothesis-testing framework. When applied across multiple age strata, enrollment periods, or dose comparisons, resulting KCOR(t) trajectories should be interpreted as correlated views of a shared underlying process rather than as independent statistical tests. Accordingly, inference emphasizes diagnostic coherence, temporal stability, and consistency of cumulative-outcome patterns across strata, rather than reliance on nominal significance thresholds or formal multiple-comparison corrections.</w:t>
      </w:r>
    </w:p>
    <w:bookmarkEnd w:id="31"/>
    <w:bookmarkStart w:id="32" w:name="identifiability-and-scope-of-inference"/>
    <w:p>
      <w:pPr>
        <w:pStyle w:val="Heading4"/>
      </w:pPr>
      <w:r>
        <w:t xml:space="preserve">2.1.4 Identifiability and scope of inference</w:t>
      </w:r>
    </w:p>
    <w:p>
      <w:pPr>
        <w:pStyle w:val="FirstParagraph"/>
      </w:pPr>
      <w:r>
        <w:t xml:space="preserve">Identifiability in the KCOR framework concerns whether cumulative outcome differences can be meaningfully interpreted after explicit normalization of selection-induced depletion. KCOR is not a general causal estimator under arbitrary unmeasured confounding; it is a depletion-normalization method that yields a cumulative cohort contrast that is interpretable only conditional on the stated assumptions, controls, and diagnostics. KCOR does not seek to decompose selection and treatment effects into separate causal components; instead, it tests whether observed cumulative outcomes depart from the null hypothesis of no net harm or benefit under shared external hazards and diagnosed frailty structure. When diagnostic and interpretability conditions are satisfied, persistent departures of KCOR(t) from unity reflect differences in cumulative outcomes that cannot be attributed to selection alone. When those conditions are not met, KCOR explicitly signals loss of identifiability rather than producing misleading estimates.</w:t>
      </w:r>
    </w:p>
    <w:bookmarkEnd w:id="32"/>
    <w:bookmarkStart w:id="33" w:name="X2ff639dda5c76ee12c1be373d6ab806d9726741"/>
    <w:p>
      <w:pPr>
        <w:pStyle w:val="Heading4"/>
      </w:pPr>
      <w:r>
        <w:t xml:space="preserve">2.1.5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causal terminology, latent frailty heterogeneity functions as an unmeasured confounder; however, its defining feature in this setting is not baseline imbalance per se but the induced time-evolution of the risk set, which violates proportional hazards even under a true null effect.</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33"/>
    <w:bookmarkStart w:id="34" w:name="X19be1cc8b4f22674f4fa31b60c80ceca3407093"/>
    <w:p>
      <w:pPr>
        <w:pStyle w:val="Heading4"/>
      </w:pPr>
      <w:r>
        <w:t xml:space="preserve">2.1.6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Importantly, 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34"/>
    <w:bookmarkEnd w:id="35"/>
    <w:bookmarkStart w:id="37"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11"/>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11"/>
        </w:numPr>
      </w:pPr>
      <w:r>
        <w:t xml:space="preserve">No censoring or cohort switching is permitted in the primary estimand.</w:t>
      </w:r>
    </w:p>
    <w:p>
      <w:pPr>
        <w:pStyle w:val="Compact"/>
        <w:numPr>
          <w:ilvl w:val="0"/>
          <w:numId w:val="1011"/>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36"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12"/>
        </w:numPr>
      </w:pPr>
      <w:r>
        <w:t xml:space="preserve">Record-level data</w:t>
      </w:r>
      <w:r>
        <w:br/>
      </w:r>
    </w:p>
    <w:p>
      <w:pPr>
        <w:pStyle w:val="Compact"/>
        <w:numPr>
          <w:ilvl w:val="0"/>
          <w:numId w:val="1012"/>
        </w:numPr>
      </w:pPr>
      <w:r>
        <w:t xml:space="preserve">Aggregated outcome summary data</w:t>
      </w:r>
      <w:r>
        <w:br/>
      </w:r>
    </w:p>
    <w:p>
      <w:pPr>
        <w:pStyle w:val="Compact"/>
        <w:numPr>
          <w:ilvl w:val="0"/>
          <w:numId w:val="1012"/>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36"/>
    <w:bookmarkEnd w:id="37"/>
    <w:bookmarkStart w:id="41"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bookmarkStart w:id="38"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1</m:t>
        </m:r>
        <m:r>
          <m:rPr>
            <m:sty m:val="p"/>
          </m:rPr>
          <m:t>)</m:t>
        </m:r>
      </m:oMath>
    </w:p>
    <w:bookmarkEnd w:id="38"/>
    <w:p>
      <w:pPr>
        <w:pStyle w:val="BodyText"/>
      </w:pPr>
      <w:r>
        <w:t xml:space="preserve">We work primarily in</w:t>
      </w:r>
      <w:r>
        <w:t xml:space="preserve"> </w:t>
      </w:r>
      <w:r>
        <w:rPr>
          <w:b/>
          <w:bCs/>
        </w:rPr>
        <w:t xml:space="preserve">cumulative-hazard space</w:t>
      </w:r>
      <w:r>
        <w:t xml:space="preserve">, accumulating observed hazards after an optional stabilization skip (see §2.7):</w:t>
      </w:r>
    </w:p>
    <w:bookmarkStart w:id="39"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oMath>
      <w:r>
        <w:t xml:space="preserve"> </w:t>
      </w:r>
      <w:r>
        <w:tab/>
      </w:r>
      <w:r>
        <w:t xml:space="preserve"> </w:t>
      </w:r>
      <m:oMath>
        <m:r>
          <m:rPr>
            <m:sty m:val="p"/>
          </m:rPr>
          <m:t>(</m:t>
        </m:r>
        <m:r>
          <m:t>2</m:t>
        </m:r>
        <m:r>
          <m:rPr>
            <m:sty m:val="p"/>
          </m:rPr>
          <m:t>)</m:t>
        </m:r>
      </m:oMath>
    </w:p>
    <w:bookmarkEnd w:id="39"/>
    <w:bookmarkStart w:id="40" w:name="discrete-time-and-tied-events"/>
    <w:p>
      <w:pPr>
        <w:pStyle w:val="Heading4"/>
      </w:pPr>
      <w:r>
        <w:t xml:space="preserve">2.3.1 Discrete time and tied events</w:t>
      </w:r>
    </w:p>
    <w:p>
      <w:pPr>
        <w:pStyle w:val="FirstParagraph"/>
      </w:pPr>
      <w:r>
        <w:t xml:space="preserve">KCOR is formulated in discrete time using aggregated event counts and therefore naturally accommodates tied event times. For population registry data, weekly or similarly coarse time bins are generally appropriate and reduce noise without sacrificing identifiability. Finer binning does not improve depletion normalization and may destabilize frailty estimation when event counts per bin are small. Bin width should be guided by diagnostic stability rather than temporal resolution alone.</w:t>
      </w:r>
    </w:p>
    <w:bookmarkEnd w:id="40"/>
    <w:bookmarkEnd w:id="41"/>
    <w:bookmarkStart w:id="54" w:name="Xe033a348c5bd6b05b57c8d9f7299f5850ccd667"/>
    <w:p>
      <w:pPr>
        <w:pStyle w:val="Heading3"/>
      </w:pPr>
      <w:r>
        <w:t xml:space="preserve">2.4 Selection model: gamma frailty and the cumulative-hazard identity</w:t>
      </w:r>
    </w:p>
    <w:bookmarkStart w:id="43"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bookmarkStart w:id="42"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3</m:t>
        </m:r>
        <m:r>
          <m:rPr>
            <m:sty m:val="p"/>
          </m:rPr>
          <m:t>)</m:t>
        </m:r>
      </m:oMath>
    </w:p>
    <w:bookmarkEnd w:id="42"/>
    <w:p>
      <w:pPr>
        <w:pStyle w:val="BodyText"/>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w:t>
      </w:r>
      <w:r>
        <w:t xml:space="preserve">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 observed cohort hazards 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 Frailty in KCOR is not interpreted as a causal variable or mediator of the intervention; it is a statistical construct used to model and remove selection-induced depletion geometry prior to cohort comparison.</w:t>
      </w:r>
    </w:p>
    <w:bookmarkEnd w:id="43"/>
    <w:bookmarkStart w:id="51" w:name="gamma-frailty-identity-core-mathematics"/>
    <w:p>
      <w:pPr>
        <w:pStyle w:val="Heading4"/>
      </w:pPr>
      <w:r>
        <w:t xml:space="preserve">2.4.2 Gamma-frailty identity (core mathematics)</w:t>
      </w:r>
    </w:p>
    <w:p>
      <w:pPr>
        <w:pStyle w:val="FirstParagraph"/>
      </w:pPr>
      <w:r>
        <w:t xml:space="preserve">Let the baseline cumulative hazard be</w:t>
      </w:r>
    </w:p>
    <w:bookmarkStart w:id="44"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oMath>
      <w:r>
        <w:t xml:space="preserve"> </w:t>
      </w:r>
      <w:r>
        <w:tab/>
      </w:r>
      <w:r>
        <w:t xml:space="preserve"> </w:t>
      </w:r>
      <m:oMath>
        <m:r>
          <m:rPr>
            <m:sty m:val="p"/>
          </m:rPr>
          <m:t>(</m:t>
        </m:r>
        <m:r>
          <m:t>4</m:t>
        </m:r>
        <m:r>
          <m:rPr>
            <m:sty m:val="p"/>
          </m:rPr>
          <m:t>)</m:t>
        </m:r>
      </m:oMath>
    </w:p>
    <w:bookmarkEnd w:id="44"/>
    <w:p>
      <w:pPr>
        <w:pStyle w:val="BodyText"/>
      </w:pPr>
      <w:r>
        <w:t xml:space="preserve">Integrating over gamma frailty yields a closed-form relationship between the observed cohort cumulative hazard and the baseline cumulative hazard:</w:t>
      </w:r>
    </w:p>
    <w:bookmarkStart w:id="45"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5</m:t>
        </m:r>
        <m:r>
          <m:rPr>
            <m:sty m:val="p"/>
          </m:rPr>
          <m:t>)</m:t>
        </m:r>
      </m:oMath>
    </w:p>
    <w:bookmarkEnd w:id="45"/>
    <w:p>
      <w:pPr>
        <w:pStyle w:val="BodyText"/>
      </w:pPr>
      <w:r>
        <w:t xml:space="preserve">This identity can be inverted exactly:</w:t>
      </w:r>
    </w:p>
    <w:bookmarkStart w:id="46"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6</m:t>
        </m:r>
        <m:r>
          <m:rPr>
            <m:sty m:val="p"/>
          </m:rPr>
          <m:t>)</m:t>
        </m:r>
      </m:oMath>
    </w:p>
    <w:bookmarkEnd w:id="46"/>
    <w:p>
      <w:pPr>
        <w:pStyle w:val="BodyText"/>
      </w:pPr>
      <w:r>
        <w:t xml:space="preserve">This inversion is the</w:t>
      </w:r>
      <w:r>
        <w:t xml:space="preserve"> </w:t>
      </w:r>
      <w:r>
        <w:rPr>
          <w:b/>
          <w:bCs/>
        </w:rPr>
        <w:t xml:space="preserve">KCOR normalization step</w:t>
      </w:r>
      <w:r>
        <w:t xml:space="preserve">: it transforms the observed cumulative hazard into a depletion-neutralized baseline cumulative hazard for each cohort. Figure 1 illustrates this logic schematically.</w:t>
      </w:r>
    </w:p>
    <w:bookmarkStart w:id="50" w:name="fig:kcor_v6_schematic"/>
    <w:p>
      <w:pPr>
        <w:pStyle w:val="CaptionedFigure"/>
      </w:pPr>
      <w:r>
        <w:drawing>
          <wp:inline>
            <wp:extent cx="5334000" cy="1417316"/>
            <wp:effectExtent b="0" l="0" r="0" t="0"/>
            <wp:docPr descr="Figure 1. Three-panel schematic illustrating the KCOR normalization logic. Left: individual hazards differ only by multiplicative frailty z, with no treatment effect. Middle: aggregation over heterogeneous frailty induces cohort-level curvature in observed cumulative hazards despite identical baseline hazards. Right: inversion of the gamma-frailty identity recovers aligned baseline cumulative hazards, demonstrating depletion-neutralization. This figure is schematic and intended for conceptual illustration; it does not represent empirical data." title="" id="48" name="Picture"/>
            <a:graphic>
              <a:graphicData uri="http://schemas.openxmlformats.org/drawingml/2006/picture">
                <pic:pic>
                  <pic:nvPicPr>
                    <pic:cNvPr descr="figures/fig1_kcor_v6_schematic.png" id="49" name="Picture"/>
                    <pic:cNvPicPr>
                      <a:picLocks noChangeArrowheads="1" noChangeAspect="1"/>
                    </pic:cNvPicPr>
                  </pic:nvPicPr>
                  <pic:blipFill>
                    <a:blip r:embed="rId47"/>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 despite identical baseline hazards. Right: inversion of the gamma-frailty identity recovers aligned baseline cumulative hazards, demonstrating depletion-neutralization. This figure is schematic and intended for conceptual illustration; it does not represent empirical data.</w:t>
      </w:r>
    </w:p>
    <w:bookmarkEnd w:id="50"/>
    <w:p>
      <w:pPr>
        <w:pStyle w:val="BodyText"/>
      </w:pPr>
      <w:r>
        <w:t xml:space="preserve">Observed cumulative hazard:</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p>
      <w:pPr>
        <w:pStyle w:val="FirstParagraph"/>
      </w:pPr>
      <w:r>
        <w:t xml:space="preserve">Baseline cumulative hazard:</w:t>
      </w:r>
    </w:p>
    <w:p>
      <w:pPr>
        <w:pStyle w:val="BodyText"/>
      </w:pPr>
      <m:oMathPara>
        <m:oMathParaPr>
          <m:jc m:val="center"/>
        </m:oMathParaPr>
        <m:oMath>
          <m:sSub>
            <m:e>
              <m:r>
                <m:t>H</m:t>
              </m:r>
            </m:e>
            <m:sub>
              <m:r>
                <m:t>0</m:t>
              </m:r>
              <m:r>
                <m:rPr>
                  <m:sty m:val="p"/>
                </m:rPr>
                <m:t>,</m:t>
              </m:r>
              <m:r>
                <m:t>d</m:t>
              </m:r>
            </m:sub>
          </m:sSub>
          <m:r>
            <m:rPr>
              <m:sty m:val="p"/>
            </m:rPr>
            <m:t>(</m:t>
          </m:r>
          <m:r>
            <m:t>t</m:t>
          </m:r>
          <m:r>
            <m:rPr>
              <m:sty m:val="p"/>
            </m:rPr>
            <m:t>)</m:t>
          </m:r>
        </m:oMath>
      </m:oMathPara>
    </w:p>
    <w:bookmarkEnd w:id="51"/>
    <w:bookmarkStart w:id="53"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bookmarkStart w:id="52"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7</m:t>
        </m:r>
        <m:r>
          <m:rPr>
            <m:sty m:val="p"/>
          </m:rPr>
          <m:t>)</m:t>
        </m:r>
      </m:oMath>
    </w:p>
    <w:bookmarkEnd w:id="52"/>
    <w:p>
      <w:pPr>
        <w:pStyle w:val="BodyText"/>
      </w:pPr>
      <w:r>
        <w:t xml:space="preserve">This choice minimizes degrees of freedom and forces curvature during quiet periods to be explained by selection (frailty) rather than by an explicit time-varying baseline.</w:t>
      </w:r>
    </w:p>
    <w:bookmarkEnd w:id="53"/>
    <w:bookmarkEnd w:id="54"/>
    <w:bookmarkStart w:id="59"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55"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8</m:t>
        </m:r>
        <m:r>
          <m:rPr>
            <m:sty m:val="p"/>
          </m:rPr>
          <m:t>)</m:t>
        </m:r>
      </m:oMath>
    </w:p>
    <w:bookmarkEnd w:id="55"/>
    <w:p>
      <w:pPr>
        <w:pStyle w:val="BodyText"/>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56"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9</m:t>
        </m:r>
        <m:r>
          <m:rPr>
            <m:sty m:val="p"/>
          </m:rPr>
          <m:t>)</m:t>
        </m:r>
      </m:oMath>
    </w:p>
    <w:bookmarkEnd w:id="56"/>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8"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3"/>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3"/>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3"/>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7"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10</m:t>
        </m:r>
        <m:r>
          <m:rPr>
            <m:sty m:val="p"/>
          </m:rPr>
          <m:t>)</m:t>
        </m:r>
      </m:oMath>
    </w:p>
    <w:bookmarkEnd w:id="57"/>
    <w:p>
      <w:pPr>
        <w:pStyle w:val="BodyText"/>
      </w:pPr>
      <w:r>
        <w:t xml:space="preserve">This form provides a second-order accurate approximation to the continuous-time hazard while remaining numerically stable for small mortality-rate (MR) values.</w:t>
      </w:r>
    </w:p>
    <w:p>
      <w:pPr>
        <w:pStyle w:val="Compact"/>
        <w:numPr>
          <w:ilvl w:val="0"/>
          <w:numId w:val="1014"/>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4"/>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8"/>
    <w:bookmarkEnd w:id="59"/>
    <w:bookmarkStart w:id="64"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60"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11</m:t>
        </m:r>
        <m:r>
          <m:rPr>
            <m:sty m:val="p"/>
          </m:rPr>
          <m:t>)</m:t>
        </m:r>
      </m:oMath>
    </w:p>
    <w:bookmarkEnd w:id="60"/>
    <w:p>
      <w:pPr>
        <w:pStyle w:val="BodyText"/>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An adjusted hazard may be recovered by differencing:</w:t>
      </w:r>
    </w:p>
    <w:bookmarkStart w:id="61"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12</m:t>
        </m:r>
        <m:r>
          <m:rPr>
            <m:sty m:val="p"/>
          </m:rPr>
          <m:t>)</m:t>
        </m:r>
      </m:oMath>
    </w:p>
    <w:bookmarkEnd w:id="61"/>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cumulative hazard 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62"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62"/>
    <w:bookmarkStart w:id="63"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5"/>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5"/>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6"/>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7"/>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63"/>
    <w:bookmarkEnd w:id="64"/>
    <w:bookmarkStart w:id="66"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65"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13</m:t>
        </m:r>
        <m:r>
          <m:rPr>
            <m:sty m:val="p"/>
          </m:rPr>
          <m:t>)</m:t>
        </m:r>
      </m:oMath>
    </w:p>
    <w:bookmarkEnd w:id="65"/>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66"/>
    <w:bookmarkStart w:id="68"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7" w:name="eq:kcor-estimator"/>
    <w:p>
      <w:pPr>
        <w:pStyle w:val="BodyText"/>
      </w:pPr>
      <w:pPr>
        <w:tabs>
          <w:tab w:val="center" w:leader="none" w:pos="4680"/>
          <w:tab w:val="right" w:leader="none" w:pos="9360"/>
        </w:tabs>
      </w:pPr>
      <w:r>
        <w:tab/>
      </w:r>
      <w:r>
        <w:t xml:space="preserve"> </w:t>
      </w: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14</m:t>
        </m:r>
        <m:r>
          <m:rPr>
            <m:sty m:val="p"/>
          </m:rPr>
          <m:t>)</m:t>
        </m:r>
      </m:oMath>
    </w:p>
    <w:bookmarkEnd w:id="67"/>
    <w:p>
      <w:pPr>
        <w:pStyle w:val="BodyText"/>
      </w:pPr>
      <w:r>
        <w:t xml:space="preserve">This is a cumulative comparison in hazard space after removing cohort-specific selection-induced depletion dynamics estimated during quiet periods.</w:t>
      </w:r>
    </w:p>
    <w:bookmarkEnd w:id="68"/>
    <w:bookmarkStart w:id="69"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8"/>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8"/>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9"/>
    <w:bookmarkStart w:id="75"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70"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t>K</m:t>
              </m:r>
              <m:r>
                <m:t>C</m:t>
              </m:r>
              <m:r>
                <m:t>O</m:t>
              </m:r>
              <m: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70"/>
    <w:bookmarkStart w:id="74"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72" name="Picture"/>
            <a:graphic>
              <a:graphicData uri="http://schemas.openxmlformats.org/drawingml/2006/picture">
                <pic:pic>
                  <pic:nvPicPr>
                    <pic:cNvPr descr="figures/fig_kcor_workflow.png" id="73" name="Picture"/>
                    <pic:cNvPicPr>
                      <a:picLocks noChangeArrowheads="1" noChangeAspect="1"/>
                    </pic:cNvPicPr>
                  </pic:nvPicPr>
                  <pic:blipFill>
                    <a:blip r:embed="rId71"/>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74"/>
    <w:bookmarkEnd w:id="75"/>
    <w:bookmarkStart w:id="87"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Accordingly, Cox results are presented here only as a diagnostic demonstration of assumption failure, not as a competing causal estimator.</w:t>
      </w:r>
    </w:p>
    <w:p>
      <w:pPr>
        <w:pStyle w:val="BodyText"/>
      </w:pPr>
      <w:r>
        <w:t xml:space="preserve">Conceptually, Cox regression estimates a treatment effect by fitting a hazard model to the observed data and reading the effect from the fitted coefficients, whereas KCOR uses a parametric model only to adjust the observed data for selection-induced depletion and then computes cohort contrasts directly from the adjusted cumulative hazards themselves.</w:t>
      </w:r>
    </w:p>
    <w:bookmarkStart w:id="85"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 KCOR</w:t>
      </w:r>
      <m:oMath>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 KCOR</w:t>
      </w:r>
      <m:oMath>
        <m:r>
          <m:rPr>
            <m:sty m:val="p"/>
          </m:rPr>
          <m:t>(</m:t>
        </m:r>
        <m:r>
          <m:t>t</m:t>
        </m:r>
        <m:r>
          <m:rPr>
            <m:sty m:val="p"/>
          </m:rPr>
          <m:t>)</m:t>
        </m:r>
      </m:oMath>
      <w:r>
        <w:t xml:space="preserve">. Post-normalization slope and asymptotic KCOR(t) 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19"/>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19"/>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 KCOR(t) 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6"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 KCOR(t) 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KCOR(t)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6"/>
    <w:bookmarkStart w:id="80" w:name="fig:cox_bias_hr"/>
    <w:p>
      <w:pPr>
        <w:pStyle w:val="CaptionedFigure"/>
      </w:pPr>
      <w:r>
        <w:drawing>
          <wp:inline>
            <wp:extent cx="5334000" cy="3975680"/>
            <wp:effectExtent b="0" l="0" r="0" t="0"/>
            <wp:docPr descr="Figure 3.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8" name="Picture"/>
            <a:graphic>
              <a:graphicData uri="http://schemas.openxmlformats.org/drawingml/2006/picture">
                <pic:pic>
                  <pic:nvPicPr>
                    <pic:cNvPr descr="figures/fig_cox_bias_hr_vs_theta.png" id="79" name="Picture"/>
                    <pic:cNvPicPr>
                      <a:picLocks noChangeArrowheads="1" noChangeAspect="1"/>
                    </pic:cNvPicPr>
                  </pic:nvPicPr>
                  <pic:blipFill>
                    <a:blip r:embed="rId77"/>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80"/>
    <w:bookmarkStart w:id="84" w:name="fig:cox_bias_kcor"/>
    <w:p>
      <w:pPr>
        <w:pStyle w:val="CaptionedFigure"/>
      </w:pPr>
      <w:r>
        <w:drawing>
          <wp:inline>
            <wp:extent cx="5334000" cy="3975680"/>
            <wp:effectExtent b="0" l="0" r="0" t="0"/>
            <wp:docPr descr="Figure 4. KCOR(t) remains null under a synthetic null across increasing frailty heterogeneity. KCOR(t) asymptotes remain near 1 across \theta in the same simulations, consistent with correct null behavior after depletion normalization." title="" id="82" name="Picture"/>
            <a:graphic>
              <a:graphicData uri="http://schemas.openxmlformats.org/drawingml/2006/picture">
                <pic:pic>
                  <pic:nvPicPr>
                    <pic:cNvPr descr="figures/fig_cox_bias_kcor_vs_theta.png" id="83" name="Picture"/>
                    <pic:cNvPicPr>
                      <a:picLocks noChangeArrowheads="1" noChangeAspect="1"/>
                    </pic:cNvPicPr>
                  </pic:nvPicPr>
                  <pic:blipFill>
                    <a:blip r:embed="rId81"/>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4. KCOR(t) remains null under a synthetic null across increasing frailty heterogeneity. KCOR(t) asymptotes remain near 1 across</w:t>
      </w:r>
      <w:r>
        <w:t xml:space="preserve"> </w:t>
      </w:r>
      <m:oMath>
        <m:r>
          <m:t>θ</m:t>
        </m:r>
      </m:oMath>
      <w:r>
        <w:t xml:space="preserve"> </w:t>
      </w:r>
      <w:r>
        <w:t xml:space="preserve">in the same simulations, consistent with correct null behavior after depletion normalization.</w:t>
      </w:r>
    </w:p>
    <w:bookmarkEnd w:id="84"/>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with KCOR(t) 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motivating cumulative-hazard–based normalization when selection-induced curvature is present.</w:t>
      </w:r>
    </w:p>
    <w:bookmarkEnd w:id="85"/>
    <w:bookmarkStart w:id="86"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86"/>
    <w:bookmarkEnd w:id="87"/>
    <w:bookmarkStart w:id="88"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 KCOR(t) construction, accompanied by diagnostic plots assessing post-normalization linearity and parameter stability.</w:t>
      </w:r>
    </w:p>
    <w:bookmarkEnd w:id="88"/>
    <w:bookmarkStart w:id="89"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9"/>
    <w:bookmarkEnd w:id="90"/>
    <w:bookmarkStart w:id="144"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0"/>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0"/>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bookmarkStart w:id="91" w:name="tbl:frailty_diagnostics"/>
    <w:p>
      <w:pPr>
        <w:pStyle w:val="TableCaption"/>
      </w:pPr>
      <w:r>
        <w:t xml:space="preserve">Table 7.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7.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91"/>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8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for Dose 2 cohorts. Frailty variance is largest at younger ages, where low baseline mortality amplifies the impact of heterogeneity on cumulative hazard curvature, and declines at older ages where mortality is compressed and survivors are more homogeneous. Because Table 7 demonstrates selection-induced heterogeneity, unadjusted cumulative outcome contrasts are expected to conflate depletion effects with any true treatment differences; Table 8 therefore reports raw cumulative hazards solely as a pre-normalization diagnostic. KCOR normalization removes the depletion component, enabling interpretable comparison of the remaining differences.</w:t>
      </w:r>
    </w:p>
    <w:bookmarkStart w:id="92" w:name="tbl:raw_cumulative_outcomes"/>
    <w:p>
      <w:pPr>
        <w:pStyle w:val="TableCaption"/>
      </w:pPr>
      <w:r>
        <w:t xml:space="preserve">Table 8.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8.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92"/>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Start w:id="93" w:name="X9ac3801cf2efec47c3f62c9e1f18b5d55fb3142"/>
    <w:p>
      <w:pPr>
        <w:pStyle w:val="Heading4"/>
      </w:pPr>
      <w:r>
        <w:t xml:space="preserve">3.0.1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used in Tables 2 and 3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93"/>
    <w:bookmarkStart w:id="94"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94"/>
    <w:bookmarkStart w:id="111" w:name="X250d2743dd947cd04209f9dc9cf02b545517230"/>
    <w:p>
      <w:pPr>
        <w:pStyle w:val="Heading3"/>
      </w:pPr>
      <w:r>
        <w:t xml:space="preserve">3.1 Negative controls: null under selection-induced curvature</w:t>
      </w:r>
    </w:p>
    <w:bookmarkStart w:id="100"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1"/>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1"/>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1"/>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99"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2"/>
        </w:numPr>
      </w:pPr>
      <w:r>
        <w:t xml:space="preserve">Time unit: weeks.</w:t>
      </w:r>
    </w:p>
    <w:p>
      <w:pPr>
        <w:pStyle w:val="Compact"/>
        <w:numPr>
          <w:ilvl w:val="0"/>
          <w:numId w:val="1022"/>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2"/>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2"/>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5 shows this construction.</w:t>
      </w:r>
    </w:p>
    <w:bookmarkStart w:id="98" w:name="fig:neg_control_synthetic"/>
    <w:p>
      <w:pPr>
        <w:pStyle w:val="CaptionedFigure"/>
      </w:pPr>
      <w:r>
        <w:drawing>
          <wp:inline>
            <wp:extent cx="5334000" cy="3852333"/>
            <wp:effectExtent b="0" l="0" r="0" t="0"/>
            <wp:docPr descr="Figure 5. Synthetic negative control under strong selection (different curvature) but no effect: KCOR(t) remains flat at 1. Top panel shows cohort hazards with different frailty-mixture weights inducing different curvature. Bottom panel shows KCOR(t) remaining near 1.0 after normalization, demonstrating successful depletion-neutralization under the null." title="" id="96" name="Picture"/>
            <a:graphic>
              <a:graphicData uri="http://schemas.openxmlformats.org/drawingml/2006/picture">
                <pic:pic>
                  <pic:nvPicPr>
                    <pic:cNvPr descr="figures/fig_neg_control_synthetic.png" id="97" name="Picture"/>
                    <pic:cNvPicPr>
                      <a:picLocks noChangeArrowheads="1" noChangeAspect="1"/>
                    </pic:cNvPicPr>
                  </pic:nvPicPr>
                  <pic:blipFill>
                    <a:blip r:embed="rId95"/>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5. Synthetic negative control under strong selection (different curvature) but no effect: KCOR(t) remains flat at 1. Top panel shows cohort hazards with different frailty-mixture weights inducing different curvature. Bottom panel shows KCOR(t) remaining near 1.0 after normalization, demonstrating successful depletion-neutralization under the null.</w:t>
      </w:r>
    </w:p>
    <w:bookmarkEnd w:id="98"/>
    <w:bookmarkEnd w:id="99"/>
    <w:bookmarkEnd w:id="100"/>
    <w:bookmarkStart w:id="110"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KCOR(t) trajectories are consistent with the estimator normalizing selection-induced depletion curvature without introducing spurious time trends or cumulative drift.</w:t>
      </w:r>
    </w:p>
    <w:p>
      <w:pPr>
        <w:pStyle w:val="BodyText"/>
      </w:pPr>
      <w:r>
        <w:t xml:space="preserve">For the empirical age-shift negative control (Figures 6 and 7),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104" w:name="fig:neg_control_10yr"/>
    <w:p>
      <w:pPr>
        <w:pStyle w:val="CaptionedFigure"/>
      </w:pPr>
      <w:r>
        <w:drawing>
          <wp:inline>
            <wp:extent cx="5334000" cy="2773680"/>
            <wp:effectExtent b="0" l="0" r="0" t="0"/>
            <wp:docPr descr="Figure 6. Empirical negative control with approximately 10-year age difference between cohorts. Despite large baseline mortality differences, KCOR(t) remains near-flat at 1 over follow-up, consistent with a true null effect. Data source: Czech Republic mortality and vaccination dataset processed into KCOR_CMR aggregated format (negative-control construction; see Appendix B.2).12" title="" id="102" name="Picture"/>
            <a:graphic>
              <a:graphicData uri="http://schemas.openxmlformats.org/drawingml/2006/picture">
                <pic:pic>
                  <pic:nvPicPr>
                    <pic:cNvPr descr="figures/fig2_neg_control_10yr_age_diff.png" id="103" name="Picture"/>
                    <pic:cNvPicPr>
                      <a:picLocks noChangeArrowheads="1" noChangeAspect="1"/>
                    </pic:cNvPicPr>
                  </pic:nvPicPr>
                  <pic:blipFill>
                    <a:blip r:embed="rId101"/>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6. Empirical negative control with approximately 10-year age difference between cohorts. Despite large baseline mortality differences, KCOR(t)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12</w:t>
      </w:r>
    </w:p>
    <w:bookmarkEnd w:id="104"/>
    <w:bookmarkStart w:id="108" w:name="fig:neg_control_20yr"/>
    <w:p>
      <w:pPr>
        <w:pStyle w:val="CaptionedFigure"/>
      </w:pPr>
      <w:r>
        <w:drawing>
          <wp:inline>
            <wp:extent cx="5334000" cy="2810466"/>
            <wp:effectExtent b="0" l="0" r="0" t="0"/>
            <wp:docPr descr="Figure 7. Empirical negative control with approximately 20-year age difference between cohorts. Even under extreme composition differences, KCOR(t) exhibits no systematic drift, demonstrating robustness to selection-induced curvature. Data source: Czech Republic mortality and vaccination dataset processed into KCOR_CMR aggregated format (negative-control construction; see Appendix B.2)." title="" id="106" name="Picture"/>
            <a:graphic>
              <a:graphicData uri="http://schemas.openxmlformats.org/drawingml/2006/picture">
                <pic:pic>
                  <pic:nvPicPr>
                    <pic:cNvPr descr="figures/fig3_neg_control_20yr_age_diff.png" id="107" name="Picture"/>
                    <pic:cNvPicPr>
                      <a:picLocks noChangeArrowheads="1" noChangeAspect="1"/>
                    </pic:cNvPicPr>
                  </pic:nvPicPr>
                  <pic:blipFill>
                    <a:blip r:embed="rId105"/>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7. Empirical negative control with approximately 20-year age difference between cohorts. Even under extreme composition differences, KCOR(t) exhibits no systematic drift, demonstrating robustness to selection-induced curvature. Data source: Czech Republic mortality and vaccination dataset processed into KCOR_CMR aggregated format (negative-control construction; see Appendix B.2).</w:t>
      </w:r>
    </w:p>
    <w:bookmarkEnd w:id="108"/>
    <w:p>
      <w:pPr>
        <w:pStyle w:val="BodyText"/>
      </w:pPr>
      <w:r>
        <w:t xml:space="preserve">Table 9 provides numeric summaries.</w:t>
      </w:r>
    </w:p>
    <w:bookmarkStart w:id="109" w:name="tbl:neg_control_summary"/>
    <w:p>
      <w:pPr>
        <w:pStyle w:val="TableCaption"/>
      </w:pPr>
      <w:r>
        <w:t xml:space="preserve">Table 9. Example end-of-window KCOR(t)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9. Example end-of-window 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9"/>
    <w:bookmarkEnd w:id="110"/>
    <w:bookmarkEnd w:id="111"/>
    <w:bookmarkStart w:id="118"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12"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15</m:t>
        </m:r>
        <m:r>
          <m:rPr>
            <m:sty m:val="p"/>
          </m:rPr>
          <m:t>)</m:t>
        </m:r>
      </m:oMath>
    </w:p>
    <w:bookmarkEnd w:id="112"/>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8 and Table 10 confirm this behavior.</w:t>
      </w:r>
    </w:p>
    <w:bookmarkStart w:id="116" w:name="fig:pos_control_injected"/>
    <w:p>
      <w:pPr>
        <w:pStyle w:val="CaptionedFigure"/>
      </w:pPr>
      <w:r>
        <w:drawing>
          <wp:inline>
            <wp:extent cx="5334000" cy="4253184"/>
            <wp:effectExtent b="0" l="0" r="0" t="0"/>
            <wp:docPr descr="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114" name="Picture"/>
            <a:graphic>
              <a:graphicData uri="http://schemas.openxmlformats.org/drawingml/2006/picture">
                <pic:pic>
                  <pic:nvPicPr>
                    <pic:cNvPr descr="figures/fig_pos_control_injected.png" id="115" name="Picture"/>
                    <pic:cNvPicPr>
                      <a:picLocks noChangeArrowheads="1" noChangeAspect="1"/>
                    </pic:cNvPicPr>
                  </pic:nvPicPr>
                  <pic:blipFill>
                    <a:blip r:embed="rId113"/>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116"/>
    <w:bookmarkStart w:id="117" w:name="tbl:pos_control_summary"/>
    <w:p>
      <w:pPr>
        <w:pStyle w:val="TableCaption"/>
      </w:pPr>
      <w:r>
        <w:t xml:space="preserve">Table 10.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10.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17"/>
    <w:bookmarkEnd w:id="118"/>
    <w:bookmarkStart w:id="123"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3"/>
        </w:numPr>
      </w:pPr>
      <w:r>
        <w:t xml:space="preserve">Quiet-window selection (calendar ISO-week bounds)</w:t>
      </w:r>
    </w:p>
    <w:p>
      <w:pPr>
        <w:pStyle w:val="Compact"/>
        <w:numPr>
          <w:ilvl w:val="0"/>
          <w:numId w:val="1023"/>
        </w:numPr>
      </w:pPr>
      <w:r>
        <w:t xml:space="preserve">Stabilization skip (early-bin handling)</w:t>
      </w:r>
    </w:p>
    <w:p>
      <w:pPr>
        <w:pStyle w:val="Compact"/>
        <w:numPr>
          <w:ilvl w:val="0"/>
          <w:numId w:val="1023"/>
        </w:numPr>
      </w:pPr>
      <w:r>
        <w:t xml:space="preserve">Time-binning resolution</w:t>
      </w:r>
    </w:p>
    <w:p>
      <w:pPr>
        <w:pStyle w:val="Compact"/>
        <w:numPr>
          <w:ilvl w:val="0"/>
          <w:numId w:val="1023"/>
        </w:numPr>
      </w:pPr>
      <w:r>
        <w:t xml:space="preserve">Age stratification and/or stratified analyses where appropriate</w:t>
      </w:r>
    </w:p>
    <w:p>
      <w:pPr>
        <w:pStyle w:val="Compact"/>
        <w:numPr>
          <w:ilvl w:val="0"/>
          <w:numId w:val="1023"/>
        </w:numPr>
      </w:pPr>
      <w:r>
        <w:t xml:space="preserve">Baseline shape choice (default constant baseline over the fit window; alternatives can be assessed as sensitivity)</w:t>
      </w:r>
    </w:p>
    <w:p>
      <w:pPr>
        <w:pStyle w:val="FirstParagraph"/>
      </w:pPr>
      <w:r>
        <w:t xml:space="preserve">Figure 9 summarizes KCOR stability across the parameter grid.</w:t>
      </w:r>
    </w:p>
    <w:bookmarkStart w:id="122" w:name="fig:sensitivity_overview"/>
    <w:p>
      <w:pPr>
        <w:pStyle w:val="CaptionedFigure"/>
      </w:pPr>
      <w:r>
        <w:drawing>
          <wp:inline>
            <wp:extent cx="5334000" cy="1571483"/>
            <wp:effectExtent b="0" l="0" r="0" t="0"/>
            <wp:docPr descr="Figure 9. Sensitivity analysis summary showing KCOR(t) values across parameter grid. Heatmaps display KCOR(t) estimates for different combinations of baseline weeks (rows) and quiet-window start offsets (columns). Color scale centered at 1.0 shows stability of estimates across parameter choices, with values remaining close to 1.0 across the grid." title="" id="120" name="Picture"/>
            <a:graphic>
              <a:graphicData uri="http://schemas.openxmlformats.org/drawingml/2006/picture">
                <pic:pic>
                  <pic:nvPicPr>
                    <pic:cNvPr descr="figures/fig_sensitivity_overview.png" id="121" name="Picture"/>
                    <pic:cNvPicPr>
                      <a:picLocks noChangeArrowheads="1" noChangeAspect="1"/>
                    </pic:cNvPicPr>
                  </pic:nvPicPr>
                  <pic:blipFill>
                    <a:blip r:embed="rId119"/>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9. Sensitivity analysis summary showing KCOR(t) values across parameter grid. Heatmaps display KCOR(t) estimates for different combinations of baseline weeks (rows) and quiet-window start offsets (columns). Color scale centered at 1.0 shows stability of estimates across parameter choices, with values remaining close to 1.0 across the grid.</w:t>
      </w:r>
    </w:p>
    <w:bookmarkEnd w:id="122"/>
    <w:p>
      <w:pPr>
        <w:pStyle w:val="BodyText"/>
      </w:pPr>
      <w:r>
        <w:t xml:space="preserve">Across all tested parameter ranges, KCOR(t) values remained within approximately ±5% of unity, indicating stability under reasonable variations in fitting choices.</w:t>
      </w:r>
    </w:p>
    <w:bookmarkEnd w:id="123"/>
    <w:bookmarkStart w:id="141"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These findings are consistent with the conceptual discussion of RMST in §1.3.2, which emphasizes that RMST does not remove selection-induced depletion. See Figures 10 and 11 below.</w:t>
      </w:r>
    </w:p>
    <w:p>
      <w:pPr>
        <w:pStyle w:val="BodyText"/>
      </w:pPr>
      <w:r>
        <w:rPr>
          <w:b/>
          <w:bCs/>
        </w:rPr>
        <w:t xml:space="preserve">Joint frailty and treatment-effect simulation (S7).</w:t>
      </w:r>
      <w:r>
        <w:br/>
      </w:r>
      <w:r>
        <w:t xml:space="preserve">Figure 12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KCOR(t) trajectories no longer stabilize during the nominal quiet period, and fit diagnostics degrade (Figure 13), including increased cumulative-hazard fit error and reduced post-normalization linearity. In these cases, KCOR(t)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7" w:name="fig:sim_grid_overview"/>
    <w:p>
      <w:pPr>
        <w:pStyle w:val="CaptionedFigure"/>
      </w:pPr>
      <w:r>
        <w:drawing>
          <wp:inline>
            <wp:extent cx="5334000" cy="4247078"/>
            <wp:effectExtent b="0" l="0" r="0" t="0"/>
            <wp:docPr descr="Figure 10. Simulation grid overview: KCOR(t) trajectories across prespecified scenarios, including gamma-frailty null with strong selection, injected hazard increase and decrease, non-gamma frailty, quiet-window contamination, and sparse-event regimes. Under true null, KCOR(t) remains near-flat at 1; injected effects are detected in the expected direction; adverse regimes are accompanied by degraded diagnostics and reduced interpretability." title="" id="125" name="Picture"/>
            <a:graphic>
              <a:graphicData uri="http://schemas.openxmlformats.org/drawingml/2006/picture">
                <pic:pic>
                  <pic:nvPicPr>
                    <pic:cNvPr descr="figures/fig_sim_grid_overview.png" id="126" name="Picture"/>
                    <pic:cNvPicPr>
                      <a:picLocks noChangeArrowheads="1" noChangeAspect="1"/>
                    </pic:cNvPicPr>
                  </pic:nvPicPr>
                  <pic:blipFill>
                    <a:blip r:embed="rId124"/>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10. Simulation grid overview: KCOR(t) trajectories across prespecified scenarios, including gamma-frailty null with strong selection, injected hazard increase and decrease, non-gamma frailty, quiet-window contamination, and sparse-event regimes. Under true null, KCOR(t) remains near-flat at 1; injected effects are detected in the expected direction; adverse regimes are accompanied by degraded diagnostics and reduced interpretability.</w:t>
      </w:r>
    </w:p>
    <w:bookmarkEnd w:id="127"/>
    <w:bookmarkStart w:id="131" w:name="fig:sim_grid_diagnostics"/>
    <w:p>
      <w:pPr>
        <w:pStyle w:val="CaptionedFigure"/>
      </w:pPr>
      <w:r>
        <w:drawing>
          <wp:inline>
            <wp:extent cx="5334000" cy="2490038"/>
            <wp:effectExtent b="0" l="0" r="0" t="0"/>
            <wp:docPr descr="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129" name="Picture"/>
            <a:graphic>
              <a:graphicData uri="http://schemas.openxmlformats.org/drawingml/2006/picture">
                <pic:pic>
                  <pic:nvPicPr>
                    <pic:cNvPr descr="figures/fig_sim_grid_diagnostics.png" id="130" name="Picture"/>
                    <pic:cNvPicPr>
                      <a:picLocks noChangeArrowheads="1" noChangeAspect="1"/>
                    </pic:cNvPicPr>
                  </pic:nvPicPr>
                  <pic:blipFill>
                    <a:blip r:embed="rId128"/>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31"/>
    <w:bookmarkStart w:id="135" w:name="fig:s7_overview"/>
    <w:p>
      <w:pPr>
        <w:pStyle w:val="CaptionedFigure"/>
      </w:pPr>
      <w:r>
        <w:drawing>
          <wp:inline>
            <wp:extent cx="5334000" cy="1391685"/>
            <wp:effectExtent b="0" l="0" r="0" t="0"/>
            <wp:docPr descr="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title="" id="133" name="Picture"/>
            <a:graphic>
              <a:graphicData uri="http://schemas.openxmlformats.org/drawingml/2006/picture">
                <pic:pic>
                  <pic:nvPicPr>
                    <pic:cNvPr descr="figures/fig_s7_overview.png" id="134" name="Picture"/>
                    <pic:cNvPicPr>
                      <a:picLocks noChangeArrowheads="1" noChangeAspect="1"/>
                    </pic:cNvPicPr>
                  </pic:nvPicPr>
                  <pic:blipFill>
                    <a:blip r:embed="rId132"/>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w:t>
      </w:r>
    </w:p>
    <w:bookmarkEnd w:id="135"/>
    <w:bookmarkStart w:id="139" w:name="fig:s7_diagnostics"/>
    <w:p>
      <w:pPr>
        <w:pStyle w:val="CaptionedFigure"/>
      </w:pPr>
      <w:r>
        <w:drawing>
          <wp:inline>
            <wp:extent cx="5334000" cy="4431300"/>
            <wp:effectExtent b="0" l="0" r="0" t="0"/>
            <wp:docPr descr="Figure 13. S7 simulation diagnostics: Fitted frailty variance parameters (\theta_0, \theta_1), fit quality (RMSE), and convergence status across S7 scenarios. The overlap variant shows degraded fit quality, correctly signaling violation of temporal separability assumptions." title="" id="137" name="Picture"/>
            <a:graphic>
              <a:graphicData uri="http://schemas.openxmlformats.org/drawingml/2006/picture">
                <pic:pic>
                  <pic:nvPicPr>
                    <pic:cNvPr descr="figures/fig_s7_diagnostics.png" id="138" name="Picture"/>
                    <pic:cNvPicPr>
                      <a:picLocks noChangeArrowheads="1" noChangeAspect="1"/>
                    </pic:cNvPicPr>
                  </pic:nvPicPr>
                  <pic:blipFill>
                    <a:blip r:embed="rId136"/>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13. 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w:t>
      </w:r>
    </w:p>
    <w:bookmarkEnd w:id="139"/>
    <w:p>
      <w:pPr>
        <w:pStyle w:val="BodyText"/>
      </w:pPr>
      <w:r>
        <w:rPr>
          <w:b/>
          <w:bCs/>
        </w:rPr>
        <w:t xml:space="preserve">Comparison with alternative estimands.</w:t>
      </w:r>
      <w:r>
        <w:br/>
      </w:r>
      <w:r>
        <w:t xml:space="preserve">We compare KCOR with restricted mean survival time (RMST) and time-varying Cox regression on the same simulation outputs (Table 11). RMST summarizes survival experience up to a prespecified horizon but inherits depletion-induced bias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11).</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11). Across selection-only scenarios, KCOR was the only estimand whose median deviation from the null remained approximately zero across the full frailty grid, whereas RMST and time-varying Cox produced systematic non-null contrasts that increased with frailty strength (Table 11).</w:t>
      </w:r>
    </w:p>
    <w:bookmarkStart w:id="140" w:name="tbl:comparison_estimands"/>
    <w:p>
      <w:pPr>
        <w:pStyle w:val="TableCaption"/>
      </w:pPr>
      <w:r>
        <w:t xml:space="preserve">Table 11.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11.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Inherits depletion bias from survival curves; does not normalize selection geometry</w:t>
            </w:r>
          </w:p>
        </w:tc>
      </w:tr>
      <w:tr>
        <w:tc>
          <w:tcPr/>
          <w:p>
            <w:pPr>
              <w:pStyle w:val="Compact"/>
            </w:pPr>
            <w:r>
              <w:rPr>
                <w:b/>
                <w:bCs/>
              </w:rPr>
              <w:t xml:space="preserve">Cox (time-varying)</w:t>
            </w:r>
            <w:r>
              <w:t xml:space="preserve"> </w:t>
            </w:r>
            <w:r>
              <w:t xml:space="preserve">(diagnostic comparator)</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40"/>
    <w:bookmarkEnd w:id="141"/>
    <w:bookmarkStart w:id="142"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KCOR(t) trajectories in later windows behave as expected under negative and positive controls.</w:t>
      </w:r>
    </w:p>
    <w:bookmarkEnd w:id="142"/>
    <w:bookmarkStart w:id="143"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bookmarkEnd w:id="143"/>
    <w:bookmarkEnd w:id="144"/>
    <w:bookmarkStart w:id="149" w:name="discussion"/>
    <w:p>
      <w:pPr>
        <w:pStyle w:val="Heading2"/>
      </w:pPr>
      <w:r>
        <w:t xml:space="preserve">4. Discussion</w:t>
      </w:r>
    </w:p>
    <w:p>
      <w:pPr>
        <w:pStyle w:val="FirstParagraph"/>
      </w:pPr>
      <w:r>
        <w:rPr>
          <w:b/>
          <w:bCs/>
        </w:rPr>
        <w:t xml:space="preserve">Scope statement (to avoid over-interpretation).</w:t>
      </w:r>
      <w:r>
        <w:t xml:space="preserve"> </w:t>
      </w:r>
      <w:r>
        <w:t xml:space="preserve">KCOR is a normalization-and-comparison framework designed to remove selection-induced depletion curvature in cumulative-hazard space and then report a cumulative cohort contrast (KCOR). It does not claim to identify a treatment-specific causal effect under arbitrary baseline and time-varying confounding, and it should be interpreted in conjunction with prespecified controls, diagnostics, and sensitivity analyses.</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45"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 KCOR(t) 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 Accordingly, KCOR should not be interpreted as a standalone estimator of vaccine efficacy; it is a cumulative normalization-and-comparison framework whose causal interpretation depends on additional design assumptions, controls, and diagnostics. Whereas Cox regression infers treatment effects through fitted model coefficients, KCOR uses modeling only to normalize selection effects, allowing causal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4"/>
        </w:numPr>
      </w:pPr>
      <w:r>
        <w:t xml:space="preserve">selection-induced depletion dynamics can be estimated during quiet periods using a gamma-frailty mixture model, and</w:t>
      </w:r>
    </w:p>
    <w:p>
      <w:pPr>
        <w:pStyle w:val="Compact"/>
        <w:numPr>
          <w:ilvl w:val="0"/>
          <w:numId w:val="1024"/>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insisting on point-identification of a causal effect can be less reliable than explicitly normalizing a dominant bias geometry and transparently reporting when identifiability is not supported.</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45"/>
    <w:bookmarkStart w:id="146"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46"/>
    <w:bookmarkStart w:id="147"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5"/>
        </w:numPr>
      </w:pPr>
      <w:r>
        <w:t xml:space="preserve">Enrollment definition and justification</w:t>
      </w:r>
    </w:p>
    <w:p>
      <w:pPr>
        <w:pStyle w:val="Compact"/>
        <w:numPr>
          <w:ilvl w:val="0"/>
          <w:numId w:val="1025"/>
        </w:numPr>
      </w:pPr>
      <w:r>
        <w:t xml:space="preserve">Risk set definitions and event-time binning</w:t>
      </w:r>
    </w:p>
    <w:p>
      <w:pPr>
        <w:pStyle w:val="Compact"/>
        <w:numPr>
          <w:ilvl w:val="0"/>
          <w:numId w:val="1025"/>
        </w:numPr>
      </w:pPr>
      <w:r>
        <w:t xml:space="preserve">Quiet-window definition and justification</w:t>
      </w:r>
    </w:p>
    <w:p>
      <w:pPr>
        <w:pStyle w:val="Compact"/>
        <w:numPr>
          <w:ilvl w:val="0"/>
          <w:numId w:val="1025"/>
        </w:numPr>
      </w:pPr>
      <w:r>
        <w:t xml:space="preserve">Baseline-shape choice (default constant baseline over the fit window) and fit diagnostics</w:t>
      </w:r>
    </w:p>
    <w:p>
      <w:pPr>
        <w:pStyle w:val="Compact"/>
        <w:numPr>
          <w:ilvl w:val="0"/>
          <w:numId w:val="1025"/>
        </w:numPr>
      </w:pPr>
      <w:r>
        <w:t xml:space="preserve">Skip/stabilization rule and robustness to nearby values</w:t>
      </w:r>
    </w:p>
    <w:p>
      <w:pPr>
        <w:pStyle w:val="Compact"/>
        <w:numPr>
          <w:ilvl w:val="0"/>
          <w:numId w:val="1025"/>
        </w:numPr>
      </w:pPr>
      <w:r>
        <w:t xml:space="preserve">Predefined negative/positive controls used for validation</w:t>
      </w:r>
    </w:p>
    <w:p>
      <w:pPr>
        <w:pStyle w:val="Compact"/>
        <w:numPr>
          <w:ilvl w:val="0"/>
          <w:numId w:val="1025"/>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47"/>
    <w:bookmarkStart w:id="148"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8"/>
    <w:bookmarkEnd w:id="149"/>
    <w:bookmarkStart w:id="153" w:name="limitations"/>
    <w:p>
      <w:pPr>
        <w:pStyle w:val="Heading2"/>
      </w:pPr>
      <w:r>
        <w:t xml:space="preserve">5. Limitations</w:t>
      </w:r>
    </w:p>
    <w:p>
      <w:pPr>
        <w:pStyle w:val="Compact"/>
        <w:numPr>
          <w:ilvl w:val="0"/>
          <w:numId w:val="1026"/>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6"/>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6"/>
        </w:numPr>
      </w:pPr>
      <w:r>
        <w:rPr>
          <w:b/>
          <w:bCs/>
        </w:rPr>
        <w:t xml:space="preserve">θ estimation is data-driven</w:t>
      </w:r>
      <w:r>
        <w:t xml:space="preserve">: KCOR does not impose θ = 0 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6"/>
        </w:numPr>
      </w:pPr>
      <w:r>
        <w:rPr>
          <w:b/>
          <w:bCs/>
        </w:rPr>
        <w:t xml:space="preserve">Sparse events</w:t>
      </w:r>
      <w:r>
        <w:t xml:space="preserve">: When event counts are small, hazard estimation and parameter fitting can be unstable.</w:t>
      </w:r>
    </w:p>
    <w:p>
      <w:pPr>
        <w:pStyle w:val="Compact"/>
        <w:numPr>
          <w:ilvl w:val="0"/>
          <w:numId w:val="1026"/>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6"/>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6"/>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50"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7"/>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27"/>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7"/>
        </w:numPr>
      </w:pPr>
      <w:r>
        <w:rPr>
          <w:b/>
          <w:bCs/>
        </w:rPr>
        <w:t xml:space="preserve">Extremely sparse cohorts</w:t>
      </w:r>
      <w:r>
        <w:t xml:space="preserve">: When events are rare, observed cumulative hazards become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27"/>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8"/>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8"/>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28"/>
        </w:numPr>
      </w:pPr>
      <w:r>
        <w:rPr>
          <w:b/>
          <w:bCs/>
        </w:rPr>
        <w:t xml:space="preserve">Sensitivity analyses</w:t>
      </w:r>
      <w:r>
        <w:t xml:space="preserve"> </w:t>
      </w:r>
      <w:r>
        <w:t xml:space="preserve">over plausible quiet windows and skip-weeks values.</w:t>
      </w:r>
    </w:p>
    <w:p>
      <w:pPr>
        <w:pStyle w:val="Compact"/>
        <w:numPr>
          <w:ilvl w:val="0"/>
          <w:numId w:val="1028"/>
        </w:numPr>
      </w:pPr>
      <w:r>
        <w:rPr>
          <w:b/>
          <w:bCs/>
        </w:rPr>
        <w:t xml:space="preserve">Prespecified negative controls</w:t>
      </w:r>
      <w:r>
        <w:t xml:space="preserve">: KCOR(t)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50"/>
    <w:bookmarkStart w:id="151"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51"/>
    <w:bookmarkStart w:id="152"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52"/>
    <w:bookmarkEnd w:id="153"/>
    <w:bookmarkStart w:id="154"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54"/>
    <w:bookmarkStart w:id="165" w:name="declarations"/>
    <w:p>
      <w:pPr>
        <w:pStyle w:val="Heading2"/>
      </w:pPr>
      <w:r>
        <w:t xml:space="preserve">Declarations</w:t>
      </w:r>
    </w:p>
    <w:bookmarkStart w:id="155"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6 and 7) use aggregated cohort summaries derived from Czech Republic administrative data; no record-level data are shared in this manuscript.</w:t>
      </w:r>
      <w:r>
        <w:rPr>
          <w:vertAlign w:val="superscript"/>
        </w:rPr>
        <w:t xml:space="preserve">12</w:t>
      </w:r>
    </w:p>
    <w:bookmarkEnd w:id="155"/>
    <w:bookmarkStart w:id="156" w:name="consent-for-publication"/>
    <w:p>
      <w:pPr>
        <w:pStyle w:val="Heading3"/>
      </w:pPr>
      <w:r>
        <w:t xml:space="preserve">Consent for publication</w:t>
      </w:r>
    </w:p>
    <w:p>
      <w:pPr>
        <w:pStyle w:val="FirstParagraph"/>
      </w:pPr>
      <w:r>
        <w:t xml:space="preserve">Not applicable.</w:t>
      </w:r>
    </w:p>
    <w:bookmarkEnd w:id="156"/>
    <w:bookmarkStart w:id="157" w:name="data-availability"/>
    <w:p>
      <w:pPr>
        <w:pStyle w:val="Heading3"/>
      </w:pPr>
      <w:r>
        <w:t xml:space="preserve">Data availability</w:t>
      </w:r>
    </w:p>
    <w:p>
      <w:pPr>
        <w:pStyle w:val="Compact"/>
        <w:numPr>
          <w:ilvl w:val="0"/>
          <w:numId w:val="1029"/>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9"/>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9"/>
        </w:numPr>
      </w:pPr>
      <w:r>
        <w:t xml:space="preserve">The reference implementation includes example datasets in KCOR_CMR format for reproducibility.</w:t>
      </w:r>
    </w:p>
    <w:p>
      <w:pPr>
        <w:pStyle w:val="Compact"/>
        <w:numPr>
          <w:ilvl w:val="0"/>
          <w:numId w:val="1029"/>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57"/>
    <w:bookmarkStart w:id="160" w:name="code-availability"/>
    <w:p>
      <w:pPr>
        <w:pStyle w:val="Heading3"/>
      </w:pPr>
      <w:r>
        <w:t xml:space="preserve">Code availability</w:t>
      </w:r>
    </w:p>
    <w:p>
      <w:pPr>
        <w:pStyle w:val="Compact"/>
        <w:numPr>
          <w:ilvl w:val="0"/>
          <w:numId w:val="1030"/>
        </w:numPr>
      </w:pPr>
      <w:r>
        <w:t xml:space="preserve">The KCOR reference implementation and complete validation suite are available in the project repository.</w:t>
      </w:r>
    </w:p>
    <w:p>
      <w:pPr>
        <w:pStyle w:val="Compact"/>
        <w:numPr>
          <w:ilvl w:val="0"/>
          <w:numId w:val="1030"/>
        </w:numPr>
      </w:pPr>
      <w:r>
        <w:t xml:space="preserve">Repository URL:</w:t>
      </w:r>
      <w:r>
        <w:t xml:space="preserve"> </w:t>
      </w:r>
      <w:hyperlink r:id="rId158">
        <w:r>
          <w:rPr>
            <w:rStyle w:val="Hyperlink"/>
          </w:rPr>
          <w:t xml:space="preserve">https://github.com/skirsch/KCOR</w:t>
        </w:r>
      </w:hyperlink>
    </w:p>
    <w:p>
      <w:pPr>
        <w:pStyle w:val="Compact"/>
        <w:numPr>
          <w:ilvl w:val="0"/>
          <w:numId w:val="1030"/>
        </w:numPr>
      </w:pPr>
      <w:r>
        <w:t xml:space="preserve">Zenodo DOI:</w:t>
      </w:r>
      <w:r>
        <w:t xml:space="preserve"> </w:t>
      </w:r>
      <w:hyperlink r:id="rId159">
        <w:r>
          <w:rPr>
            <w:rStyle w:val="Hyperlink"/>
          </w:rPr>
          <w:t xml:space="preserve">10.5281/zenodo.18050329</w:t>
        </w:r>
      </w:hyperlink>
    </w:p>
    <w:p>
      <w:pPr>
        <w:pStyle w:val="Compact"/>
        <w:numPr>
          <w:ilvl w:val="0"/>
          <w:numId w:val="1030"/>
        </w:numPr>
      </w:pPr>
      <w:r>
        <w:t xml:space="preserve">RMST computation and comparison table generation are implemented in</w:t>
      </w:r>
      <w:r>
        <w:t xml:space="preserve"> </w:t>
      </w:r>
      <w:r>
        <w:rPr>
          <w:rStyle w:val="VerbatimChar"/>
        </w:rPr>
        <w:t xml:space="preserve">test/sim_grid/code/generate_sim_grid.py</w:t>
      </w:r>
      <w:r>
        <w:t xml:space="preserve"> </w:t>
      </w:r>
      <w:r>
        <w:t xml:space="preserve">(functions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RMST and time-varying Cox comparators run on the same simulation outputs as KCOR evaluation, requiring no additional random seeds or data generation.</w:t>
      </w:r>
    </w:p>
    <w:bookmarkEnd w:id="160"/>
    <w:bookmarkStart w:id="161" w:name="competing-interests"/>
    <w:p>
      <w:pPr>
        <w:pStyle w:val="Heading3"/>
      </w:pPr>
      <w:r>
        <w:t xml:space="preserve">Competing interests</w:t>
      </w:r>
    </w:p>
    <w:p>
      <w:pPr>
        <w:pStyle w:val="FirstParagraph"/>
      </w:pPr>
      <w:r>
        <w:t xml:space="preserve">The author is a board member of the Vaccine Safety Research Foundation.</w:t>
      </w:r>
    </w:p>
    <w:bookmarkEnd w:id="161"/>
    <w:bookmarkStart w:id="162" w:name="funding"/>
    <w:p>
      <w:pPr>
        <w:pStyle w:val="Heading3"/>
      </w:pPr>
      <w:r>
        <w:t xml:space="preserve">Funding</w:t>
      </w:r>
    </w:p>
    <w:p>
      <w:pPr>
        <w:pStyle w:val="FirstParagraph"/>
      </w:pPr>
      <w:r>
        <w:t xml:space="preserve">This research received no external funding.</w:t>
      </w:r>
    </w:p>
    <w:bookmarkEnd w:id="162"/>
    <w:bookmarkStart w:id="163"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63"/>
    <w:bookmarkStart w:id="164" w:name="acknowledgements"/>
    <w:p>
      <w:pPr>
        <w:pStyle w:val="Heading3"/>
      </w:pPr>
      <w:r>
        <w:t xml:space="preserve">Acknowledgements</w:t>
      </w:r>
    </w:p>
    <w:p>
      <w:pPr>
        <w:pStyle w:val="FirstParagraph"/>
      </w:pPr>
      <w:r>
        <w:t xml:space="preserve">The author thanks James Lyons-Weiler and Dr. Clare Craig for helpful discussions and methodological feedback during the development of this work. All errors remain the author’s responsibility.</w:t>
      </w:r>
    </w:p>
    <w:bookmarkEnd w:id="164"/>
    <w:bookmarkEnd w:id="165"/>
    <w:bookmarkStart w:id="190" w:name="references"/>
    <w:p>
      <w:pPr>
        <w:pStyle w:val="Heading2"/>
      </w:pPr>
      <w:r>
        <w:t xml:space="preserve">References</w:t>
      </w:r>
    </w:p>
    <w:bookmarkStart w:id="189" w:name="refs"/>
    <w:bookmarkStart w:id="167"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66">
        <w:r>
          <w:rPr>
            <w:rStyle w:val="Hyperlink"/>
          </w:rPr>
          <w:t xml:space="preserve">10.2307/2061224</w:t>
        </w:r>
      </w:hyperlink>
    </w:p>
    <w:bookmarkEnd w:id="167"/>
    <w:bookmarkStart w:id="169"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8">
        <w:r>
          <w:rPr>
            <w:rStyle w:val="Hyperlink"/>
          </w:rPr>
          <w:t xml:space="preserve">10.2147/CLEP.S468572</w:t>
        </w:r>
      </w:hyperlink>
    </w:p>
    <w:bookmarkEnd w:id="169"/>
    <w:bookmarkStart w:id="171"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70">
        <w:r>
          <w:rPr>
            <w:rStyle w:val="Hyperlink"/>
          </w:rPr>
          <w:t xml:space="preserve">10.7554/eLife.103690</w:t>
        </w:r>
      </w:hyperlink>
    </w:p>
    <w:bookmarkEnd w:id="171"/>
    <w:bookmarkStart w:id="173"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72">
        <w:r>
          <w:rPr>
            <w:rStyle w:val="Hyperlink"/>
          </w:rPr>
          <w:t xml:space="preserve">10.1093/biomet/81.3.515</w:t>
        </w:r>
      </w:hyperlink>
    </w:p>
    <w:bookmarkEnd w:id="173"/>
    <w:bookmarkStart w:id="175"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74">
        <w:r>
          <w:rPr>
            <w:rStyle w:val="Hyperlink"/>
          </w:rPr>
          <w:t xml:space="preserve">10.1214/aos/1176345976</w:t>
        </w:r>
      </w:hyperlink>
    </w:p>
    <w:bookmarkEnd w:id="175"/>
    <w:bookmarkStart w:id="177"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76">
        <w:r>
          <w:rPr>
            <w:rStyle w:val="Hyperlink"/>
          </w:rPr>
          <w:t xml:space="preserve">10.1002/sim.1203</w:t>
        </w:r>
      </w:hyperlink>
    </w:p>
    <w:bookmarkEnd w:id="177"/>
    <w:bookmarkStart w:id="179"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78">
        <w:r>
          <w:rPr>
            <w:rStyle w:val="Hyperlink"/>
          </w:rPr>
          <w:t xml:space="preserve">10.1002/sim.4780080803</w:t>
        </w:r>
      </w:hyperlink>
    </w:p>
    <w:bookmarkEnd w:id="179"/>
    <w:bookmarkStart w:id="181"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80">
        <w:r>
          <w:rPr>
            <w:rStyle w:val="Hyperlink"/>
          </w:rPr>
          <w:t xml:space="preserve">10.1093/biomet/81.1.61</w:t>
        </w:r>
      </w:hyperlink>
    </w:p>
    <w:bookmarkEnd w:id="181"/>
    <w:bookmarkStart w:id="183"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82">
        <w:r>
          <w:rPr>
            <w:rStyle w:val="Hyperlink"/>
          </w:rPr>
          <w:t xml:space="preserve">10.1111/j.1467-9469.2006.00529.x</w:t>
        </w:r>
      </w:hyperlink>
    </w:p>
    <w:bookmarkEnd w:id="183"/>
    <w:bookmarkStart w:id="185"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84">
        <w:r>
          <w:rPr>
            <w:rStyle w:val="Hyperlink"/>
          </w:rPr>
          <w:t xml:space="preserve">10.1097/00001648-200009000-00011</w:t>
        </w:r>
      </w:hyperlink>
    </w:p>
    <w:bookmarkEnd w:id="185"/>
    <w:bookmarkStart w:id="187"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86">
        <w:r>
          <w:rPr>
            <w:rStyle w:val="Hyperlink"/>
          </w:rPr>
          <w:t xml:space="preserve">10.1093/aje/kwn164</w:t>
        </w:r>
      </w:hyperlink>
    </w:p>
    <w:bookmarkEnd w:id="187"/>
    <w:bookmarkStart w:id="188"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88"/>
    <w:bookmarkEnd w:id="189"/>
    <w:bookmarkEnd w:id="190"/>
    <w:bookmarkStart w:id="224"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96" w:name="appendix-a.-mathematical-derivations"/>
    <w:p>
      <w:pPr>
        <w:pStyle w:val="Heading3"/>
      </w:pPr>
      <w:r>
        <w:t xml:space="preserve">Appendix A. Mathematical derivations</w:t>
      </w:r>
    </w:p>
    <w:bookmarkStart w:id="191"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where individual</w:t>
      </w:r>
      <w:r>
        <w:t xml:space="preserve"> </w:t>
      </w:r>
      <m:oMath>
        <m:r>
          <m:t>i</m:t>
        </m:r>
      </m:oMath>
      <w:r>
        <w:t xml:space="preserve"> </w:t>
      </w:r>
      <w:r>
        <w:t xml:space="preserve">has hazard</w:t>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rPr>
            <m:sty m:val="p"/>
          </m:rPr>
          <m:t>⋅</m:t>
        </m:r>
        <m:sSub>
          <m:e>
            <m:r>
              <m:t>h</m:t>
            </m:r>
          </m:e>
          <m:sub>
            <m:r>
              <m:t>0</m:t>
            </m:r>
            <m:r>
              <m:rPr>
                <m:sty m:val="p"/>
              </m:rPr>
              <m:t>,</m:t>
            </m:r>
            <m:r>
              <m:t>d</m:t>
            </m:r>
          </m:sub>
        </m:sSub>
        <m:r>
          <m:rPr>
            <m:sty m:val="p"/>
          </m:rPr>
          <m:t>(</m:t>
        </m:r>
        <m:r>
          <m:t>t</m:t>
        </m:r>
        <m:r>
          <m:rPr>
            <m:sty m:val="p"/>
          </m:rPr>
          <m:t>)</m:t>
        </m:r>
      </m:oMath>
      <w:r>
        <w:t xml:space="preserve">, with frailty</w:t>
      </w:r>
      <w:r>
        <w:t xml:space="preserve"> </w:t>
      </w:r>
      <m:oMath>
        <m:sSub>
          <m:e>
            <m:r>
              <m:t>z</m:t>
            </m:r>
          </m:e>
          <m:sub>
            <m:r>
              <m:t>i</m:t>
            </m:r>
            <m:r>
              <m:rPr>
                <m:sty m:val="p"/>
              </m:rPr>
              <m:t>,</m:t>
            </m:r>
            <m:r>
              <m:t>d</m:t>
            </m:r>
          </m:sub>
        </m:sSub>
      </m:oMath>
      <w:r>
        <w:t xml:space="preserve"> </w:t>
      </w:r>
      <w:r>
        <w:t xml:space="preserve">drawn from a distribution with mean 1 and variance</w:t>
      </w:r>
      <w:r>
        <w:t xml:space="preserve"> </w:t>
      </w:r>
      <m:oMath>
        <m:sSub>
          <m:e>
            <m:r>
              <m:t>θ</m:t>
            </m:r>
          </m:e>
          <m:sub>
            <m:r>
              <m:t>d</m:t>
            </m:r>
          </m:sub>
        </m:sSub>
        <m:r>
          <m:rPr>
            <m:sty m:val="p"/>
          </m:rPr>
          <m:t>&gt;</m:t>
        </m:r>
        <m:r>
          <m:t>0</m:t>
        </m:r>
      </m:oMath>
      <w:r>
        <w:t xml:space="preserve">. Let</w:t>
      </w:r>
      <w:r>
        <w:t xml:space="preserve"> </w:t>
      </w: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w:r>
        <w:t xml:space="preserve"> </w:t>
      </w:r>
      <w:r>
        <w:t xml:space="preserve">be the individual survival function, where</w:t>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b>
            <m:e>
              <m:r>
                <m:t>E</m:t>
              </m:r>
            </m:e>
            <m:sub>
              <m:r>
                <m:t>z</m:t>
              </m:r>
            </m:sub>
          </m:sSub>
          <m:r>
            <m:rPr>
              <m:sty m:val="p"/>
            </m:rPr>
            <m:t>[</m:t>
          </m:r>
          <m:sSub>
            <m:e>
              <m:r>
                <m:t>S</m:t>
              </m:r>
            </m:e>
            <m:sub>
              <m:r>
                <m:t>i</m:t>
              </m:r>
              <m:r>
                <m:rPr>
                  <m:sty m:val="p"/>
                </m:rPr>
                <m:t>,</m:t>
              </m:r>
              <m:r>
                <m:t>d</m:t>
              </m:r>
            </m:sub>
          </m:sSub>
          <m:r>
            <m:rPr>
              <m:sty m:val="p"/>
            </m:rPr>
            <m:t>(</m:t>
          </m:r>
          <m:r>
            <m:t>t</m:t>
          </m:r>
          <m:r>
            <m:rPr>
              <m:sty m:val="p"/>
            </m:rPr>
            <m:t>)</m:t>
          </m:r>
          <m:r>
            <m:rPr>
              <m:sty m:val="p"/>
            </m:rPr>
            <m:t>]</m:t>
          </m:r>
          <m:r>
            <m:rPr>
              <m:sty m:val="p"/>
            </m:rPr>
            <m:t>=</m:t>
          </m:r>
          <m:sSub>
            <m:e>
              <m:r>
                <m:t>E</m:t>
              </m:r>
            </m:e>
            <m:sub>
              <m:r>
                <m:t>z</m:t>
              </m:r>
            </m:sub>
          </m:sSub>
          <m:r>
            <m:t>​</m:t>
          </m:r>
          <m:d>
            <m:dPr>
              <m:begChr m:val="["/>
              <m:sepChr m:val=""/>
              <m:endChr m:val="]"/>
              <m:grow/>
            </m:dPr>
            <m:e>
              <m:r>
                <m:rPr>
                  <m:sty m:val="p"/>
                </m:rPr>
                <m:t>exp</m:t>
              </m:r>
              <m:r>
                <m:t>​</m:t>
              </m:r>
              <m:d>
                <m:dPr>
                  <m:begChr m:val="("/>
                  <m:sepChr m:val=""/>
                  <m:endChr m:val=")"/>
                  <m:grow/>
                </m:dPr>
                <m:e>
                  <m:r>
                    <m:rPr>
                      <m:sty m:val="p"/>
                    </m:rPr>
                    <m:t>−</m:t>
                  </m:r>
                  <m:r>
                    <m:t>z</m:t>
                  </m:r>
                  <m:sSub>
                    <m:e>
                      <m:r>
                        <m:t>H</m:t>
                      </m:r>
                    </m:e>
                    <m:sub>
                      <m:r>
                        <m:t>0</m:t>
                      </m:r>
                      <m:r>
                        <m:rPr>
                          <m:sty m:val="p"/>
                        </m:rPr>
                        <m:t>,</m:t>
                      </m:r>
                      <m:r>
                        <m:t>d</m:t>
                      </m:r>
                    </m:sub>
                  </m:sSub>
                  <m:r>
                    <m:rPr>
                      <m:sty m:val="p"/>
                    </m:rPr>
                    <m:t>(</m:t>
                  </m:r>
                  <m:r>
                    <m:t>t</m:t>
                  </m:r>
                  <m:r>
                    <m:rPr>
                      <m:sty m:val="p"/>
                    </m:rPr>
                    <m:t>)</m:t>
                  </m:r>
                </m:e>
              </m:d>
            </m:e>
          </m:d>
          <m:r>
            <m:rPr>
              <m:sty m:val="p"/>
            </m:rPr>
            <m:t>=</m:t>
          </m:r>
          <m:sSub>
            <m:e>
              <m:r>
                <m:rPr>
                  <m:scr m:val="script"/>
                  <m:sty m:val="p"/>
                </m:rPr>
                <m:t>L</m:t>
              </m:r>
            </m:e>
            <m:sub>
              <m:r>
                <m:t>z</m:t>
              </m:r>
            </m:sub>
          </m:sSub>
          <m:r>
            <m:t>​</m:t>
          </m:r>
          <m:d>
            <m:dPr>
              <m:begChr m:val="("/>
              <m:sepChr m:val=""/>
              <m:endChr m:val=")"/>
              <m:grow/>
            </m:dPr>
            <m:e>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rPr>
              <m:sty m:val="p"/>
            </m:rPr>
            <m:t>−</m:t>
          </m:r>
          <m:f>
            <m:fPr>
              <m:type m:val="bar"/>
            </m:fPr>
            <m:num>
              <m:r>
                <m:t>d</m:t>
              </m:r>
            </m:num>
            <m:den>
              <m:r>
                <m:t>d</m:t>
              </m:r>
              <m:r>
                <m:t>t</m:t>
              </m:r>
            </m:den>
          </m:f>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91"/>
    <w:bookmarkStart w:id="192"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This is the gamma-frailty identity (see Equation (5) in the main text).</w:t>
      </w:r>
    </w:p>
    <w:bookmarkEnd w:id="192"/>
    <w:bookmarkStart w:id="193"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93"/>
    <w:bookmarkStart w:id="194"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94"/>
    <w:bookmarkStart w:id="195"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95"/>
    <w:bookmarkEnd w:id="196"/>
    <w:bookmarkStart w:id="209" w:name="appendix-b.-control-test-specifications"/>
    <w:p>
      <w:pPr>
        <w:pStyle w:val="Heading3"/>
      </w:pPr>
      <w:r>
        <w:t xml:space="preserve">Appendix B. Control-test specifications</w:t>
      </w:r>
    </w:p>
    <w:bookmarkStart w:id="197" w:name="X2180becb792c7366d1a2d9abe674c7e8eb8a3b6"/>
    <w:p>
      <w:pPr>
        <w:pStyle w:val="Heading4"/>
      </w:pPr>
      <w:r>
        <w:t xml:space="preserve">B.1 Negative control: synthetic gamma-frailty null</w:t>
      </w:r>
    </w:p>
    <w:p>
      <w:pPr>
        <w:pStyle w:val="FirstParagraph"/>
      </w:pPr>
      <w:r>
        <w:t xml:space="preserve">The synthetic negative control (Figure 5) is generated using:</w:t>
      </w:r>
    </w:p>
    <w:p>
      <w:pPr>
        <w:pStyle w:val="Compact"/>
        <w:numPr>
          <w:ilvl w:val="0"/>
          <w:numId w:val="1031"/>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31"/>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31"/>
        </w:numPr>
      </w:pPr>
      <w:r>
        <w:rPr>
          <w:b/>
          <w:bCs/>
        </w:rPr>
        <w:t xml:space="preserve">Cohort A weights</w:t>
      </w:r>
      <w:r>
        <w:t xml:space="preserve">: Equal weights across 5 frailty groups (0.2 each)</w:t>
      </w:r>
    </w:p>
    <w:p>
      <w:pPr>
        <w:pStyle w:val="Compact"/>
        <w:numPr>
          <w:ilvl w:val="0"/>
          <w:numId w:val="1031"/>
        </w:numPr>
      </w:pPr>
      <w:r>
        <w:rPr>
          <w:b/>
          <w:bCs/>
        </w:rPr>
        <w:t xml:space="preserve">Cohort B weights</w:t>
      </w:r>
      <w:r>
        <w:t xml:space="preserve">: Shifted weights [0.30, 0.20, 0.20, 0.20, 0.10]</w:t>
      </w:r>
    </w:p>
    <w:p>
      <w:pPr>
        <w:pStyle w:val="Compact"/>
        <w:numPr>
          <w:ilvl w:val="0"/>
          <w:numId w:val="1031"/>
        </w:numPr>
      </w:pPr>
      <w:r>
        <w:rPr>
          <w:b/>
          <w:bCs/>
        </w:rPr>
        <w:t xml:space="preserve">Frailty values</w:t>
      </w:r>
      <w:r>
        <w:t xml:space="preserve">: [1, 2, 4, 6, 10] (relative frailty multipliers)</w:t>
      </w:r>
    </w:p>
    <w:p>
      <w:pPr>
        <w:pStyle w:val="Compact"/>
        <w:numPr>
          <w:ilvl w:val="0"/>
          <w:numId w:val="1031"/>
        </w:numPr>
      </w:pPr>
      <w:r>
        <w:rPr>
          <w:b/>
          <w:bCs/>
        </w:rPr>
        <w:t xml:space="preserve">Base weekly probability</w:t>
      </w:r>
      <w:r>
        <w:t xml:space="preserve">: 0.01</w:t>
      </w:r>
    </w:p>
    <w:p>
      <w:pPr>
        <w:pStyle w:val="Compact"/>
        <w:numPr>
          <w:ilvl w:val="0"/>
          <w:numId w:val="1031"/>
        </w:numPr>
      </w:pPr>
      <w:r>
        <w:rPr>
          <w:b/>
          <w:bCs/>
        </w:rPr>
        <w:t xml:space="preserve">Weekly log-slope</w:t>
      </w:r>
      <w:r>
        <w:t xml:space="preserve">: 0.0 (constant baseline during quiet periods)</w:t>
      </w:r>
    </w:p>
    <w:p>
      <w:pPr>
        <w:pStyle w:val="Compact"/>
        <w:numPr>
          <w:ilvl w:val="0"/>
          <w:numId w:val="1031"/>
        </w:numPr>
      </w:pPr>
      <w:r>
        <w:rPr>
          <w:b/>
          <w:bCs/>
        </w:rPr>
        <w:t xml:space="preserve">Skip weeks</w:t>
      </w:r>
      <w:r>
        <w:t xml:space="preserve">: 2</w:t>
      </w:r>
    </w:p>
    <w:p>
      <w:pPr>
        <w:pStyle w:val="Compact"/>
        <w:numPr>
          <w:ilvl w:val="0"/>
          <w:numId w:val="1031"/>
        </w:numPr>
      </w:pPr>
      <w:r>
        <w:rPr>
          <w:b/>
          <w:bCs/>
        </w:rPr>
        <w:t xml:space="preserve">Normalization weeks</w:t>
      </w:r>
      <w:r>
        <w:t xml:space="preserve">: 4</w:t>
      </w:r>
    </w:p>
    <w:p>
      <w:pPr>
        <w:pStyle w:val="Compact"/>
        <w:numPr>
          <w:ilvl w:val="0"/>
          <w:numId w:val="1031"/>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97"/>
    <w:bookmarkStart w:id="198" w:name="X6ca5a97e85e9ee460a15280db933ceb5c1ed112"/>
    <w:p>
      <w:pPr>
        <w:pStyle w:val="Heading4"/>
      </w:pPr>
      <w:r>
        <w:t xml:space="preserve">B.2 Negative control: empirical age-shift construction</w:t>
      </w:r>
    </w:p>
    <w:p>
      <w:pPr>
        <w:pStyle w:val="FirstParagraph"/>
      </w:pPr>
      <w:r>
        <w:t xml:space="preserve">The empirical negative control (Figures 6 and 7) is generated using:</w:t>
      </w:r>
    </w:p>
    <w:p>
      <w:pPr>
        <w:pStyle w:val="Compact"/>
        <w:numPr>
          <w:ilvl w:val="0"/>
          <w:numId w:val="1032"/>
        </w:numPr>
      </w:pPr>
      <w:r>
        <w:rPr>
          <w:b/>
          <w:bCs/>
        </w:rPr>
        <w:t xml:space="preserve">Data source</w:t>
      </w:r>
      <w:r>
        <w:t xml:space="preserve">: Czech Republic administrative mortality and vaccination data, aggregated into KCOR_CMR format</w:t>
      </w:r>
    </w:p>
    <w:p>
      <w:pPr>
        <w:pStyle w:val="Compact"/>
        <w:numPr>
          <w:ilvl w:val="0"/>
          <w:numId w:val="1032"/>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32"/>
        </w:numPr>
      </w:pPr>
      <w:r>
        <w:rPr>
          <w:b/>
          <w:bCs/>
        </w:rPr>
        <w:t xml:space="preserve">Construction</w:t>
      </w:r>
      <w:r>
        <w:t xml:space="preserve">: Age strata remapped to pseudo-doses within same vaccination category</w:t>
      </w:r>
    </w:p>
    <w:p>
      <w:pPr>
        <w:pStyle w:val="Compact"/>
        <w:numPr>
          <w:ilvl w:val="0"/>
          <w:numId w:val="1032"/>
        </w:numPr>
      </w:pPr>
      <w:r>
        <w:rPr>
          <w:b/>
          <w:bCs/>
        </w:rPr>
        <w:t xml:space="preserve">Age mapping</w:t>
      </w:r>
      <w:r>
        <w:t xml:space="preserve">:</w:t>
      </w:r>
    </w:p>
    <w:p>
      <w:pPr>
        <w:pStyle w:val="Compact"/>
        <w:numPr>
          <w:ilvl w:val="1"/>
          <w:numId w:val="1033"/>
        </w:numPr>
      </w:pPr>
      <w:r>
        <w:t xml:space="preserve">Dose 0 → YoB {1930, 1935}</w:t>
      </w:r>
    </w:p>
    <w:p>
      <w:pPr>
        <w:pStyle w:val="Compact"/>
        <w:numPr>
          <w:ilvl w:val="1"/>
          <w:numId w:val="1033"/>
        </w:numPr>
      </w:pPr>
      <w:r>
        <w:t xml:space="preserve">Dose 1 → YoB {1940, 1945}</w:t>
      </w:r>
    </w:p>
    <w:p>
      <w:pPr>
        <w:pStyle w:val="Compact"/>
        <w:numPr>
          <w:ilvl w:val="1"/>
          <w:numId w:val="1033"/>
        </w:numPr>
      </w:pPr>
      <w:r>
        <w:t xml:space="preserve">Dose 2 → YoB {1950, 1955}</w:t>
      </w:r>
    </w:p>
    <w:p>
      <w:pPr>
        <w:pStyle w:val="Compact"/>
        <w:numPr>
          <w:ilvl w:val="0"/>
          <w:numId w:val="1032"/>
        </w:numPr>
      </w:pPr>
      <w:r>
        <w:rPr>
          <w:b/>
          <w:bCs/>
        </w:rPr>
        <w:t xml:space="preserve">Output YoB</w:t>
      </w:r>
      <w:r>
        <w:t xml:space="preserve">: Fixed at 1950 (unvax cohort) or 1940 (vax cohort)</w:t>
      </w:r>
    </w:p>
    <w:p>
      <w:pPr>
        <w:pStyle w:val="Compact"/>
        <w:numPr>
          <w:ilvl w:val="0"/>
          <w:numId w:val="1032"/>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98"/>
    <w:bookmarkStart w:id="199" w:name="b.3-positive-control-injected-effect"/>
    <w:p>
      <w:pPr>
        <w:pStyle w:val="Heading4"/>
      </w:pPr>
      <w:r>
        <w:t xml:space="preserve">B.3 Positive control: injected effect</w:t>
      </w:r>
    </w:p>
    <w:p>
      <w:pPr>
        <w:pStyle w:val="FirstParagraph"/>
      </w:pPr>
      <w:r>
        <w:t xml:space="preserve">The positive control (Figure 8 and Table 10) is generated using:</w:t>
      </w:r>
    </w:p>
    <w:p>
      <w:pPr>
        <w:pStyle w:val="Compact"/>
        <w:numPr>
          <w:ilvl w:val="0"/>
          <w:numId w:val="1034"/>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4"/>
        </w:numPr>
      </w:pPr>
      <w:r>
        <w:rPr>
          <w:b/>
          <w:bCs/>
        </w:rPr>
        <w:t xml:space="preserve">Initial cohort size</w:t>
      </w:r>
      <w:r>
        <w:t xml:space="preserve">: 100,000 per cohort</w:t>
      </w:r>
    </w:p>
    <w:p>
      <w:pPr>
        <w:pStyle w:val="Compact"/>
        <w:numPr>
          <w:ilvl w:val="0"/>
          <w:numId w:val="1034"/>
        </w:numPr>
      </w:pPr>
      <w:r>
        <w:rPr>
          <w:b/>
          <w:bCs/>
        </w:rPr>
        <w:t xml:space="preserve">Baseline hazard</w:t>
      </w:r>
      <w:r>
        <w:t xml:space="preserve">: 0.002 per week</w:t>
      </w:r>
    </w:p>
    <w:p>
      <w:pPr>
        <w:pStyle w:val="Compact"/>
        <w:numPr>
          <w:ilvl w:val="0"/>
          <w:numId w:val="1034"/>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4"/>
        </w:numPr>
      </w:pPr>
      <w:r>
        <w:rPr>
          <w:b/>
          <w:bCs/>
        </w:rPr>
        <w:t xml:space="preserve">Effect window</w:t>
      </w:r>
      <w:r>
        <w:t xml:space="preserve">: weeks 20–80</w:t>
      </w:r>
    </w:p>
    <w:p>
      <w:pPr>
        <w:pStyle w:val="Compact"/>
        <w:numPr>
          <w:ilvl w:val="0"/>
          <w:numId w:val="1034"/>
        </w:numPr>
      </w:pPr>
      <w:r>
        <w:rPr>
          <w:b/>
          <w:bCs/>
        </w:rPr>
        <w:t xml:space="preserve">Hazard multipliers</w:t>
      </w:r>
      <w:r>
        <w:t xml:space="preserve">:</w:t>
      </w:r>
    </w:p>
    <w:p>
      <w:pPr>
        <w:pStyle w:val="Compact"/>
        <w:numPr>
          <w:ilvl w:val="1"/>
          <w:numId w:val="1035"/>
        </w:numPr>
      </w:pPr>
      <w:r>
        <w:t xml:space="preserve">Harm scenario:</w:t>
      </w:r>
      <w:r>
        <w:t xml:space="preserve"> </w:t>
      </w:r>
      <m:oMath>
        <m:r>
          <m:t>r</m:t>
        </m:r>
        <m:r>
          <m:rPr>
            <m:sty m:val="p"/>
          </m:rPr>
          <m:t>=</m:t>
        </m:r>
        <m:r>
          <m:t>1.2</m:t>
        </m:r>
      </m:oMath>
    </w:p>
    <w:p>
      <w:pPr>
        <w:pStyle w:val="Compact"/>
        <w:numPr>
          <w:ilvl w:val="1"/>
          <w:numId w:val="1035"/>
        </w:numPr>
      </w:pPr>
      <w:r>
        <w:t xml:space="preserve">Benefit scenario:</w:t>
      </w:r>
      <w:r>
        <w:t xml:space="preserve"> </w:t>
      </w:r>
      <m:oMath>
        <m:r>
          <m:t>r</m:t>
        </m:r>
        <m:r>
          <m:rPr>
            <m:sty m:val="p"/>
          </m:rPr>
          <m:t>=</m:t>
        </m:r>
        <m:r>
          <m:t>0.8</m:t>
        </m:r>
      </m:oMath>
    </w:p>
    <w:p>
      <w:pPr>
        <w:pStyle w:val="Compact"/>
        <w:numPr>
          <w:ilvl w:val="0"/>
          <w:numId w:val="1034"/>
        </w:numPr>
      </w:pPr>
      <w:r>
        <w:rPr>
          <w:b/>
          <w:bCs/>
        </w:rPr>
        <w:t xml:space="preserve">Random seed</w:t>
      </w:r>
      <w:r>
        <w:t xml:space="preserve">: 42</w:t>
      </w:r>
    </w:p>
    <w:p>
      <w:pPr>
        <w:pStyle w:val="Compact"/>
        <w:numPr>
          <w:ilvl w:val="0"/>
          <w:numId w:val="1034"/>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99"/>
    <w:bookmarkStart w:id="200" w:name="b.4-sensitivity-analysis-parameters"/>
    <w:p>
      <w:pPr>
        <w:pStyle w:val="Heading4"/>
      </w:pPr>
      <w:r>
        <w:t xml:space="preserve">B.4 Sensitivity analysis parameters</w:t>
      </w:r>
    </w:p>
    <w:p>
      <w:pPr>
        <w:pStyle w:val="FirstParagraph"/>
      </w:pPr>
      <w:r>
        <w:t xml:space="preserve">The sensitivity analysis (Figure 9) varies:</w:t>
      </w:r>
    </w:p>
    <w:p>
      <w:pPr>
        <w:pStyle w:val="Compact"/>
        <w:numPr>
          <w:ilvl w:val="0"/>
          <w:numId w:val="1036"/>
        </w:numPr>
      </w:pPr>
      <w:r>
        <w:rPr>
          <w:b/>
          <w:bCs/>
        </w:rPr>
        <w:t xml:space="preserve">Baseline weeks</w:t>
      </w:r>
      <w:r>
        <w:t xml:space="preserve">: [2, 3, 4, 5, 6, 7, 8]</w:t>
      </w:r>
    </w:p>
    <w:p>
      <w:pPr>
        <w:pStyle w:val="Compact"/>
        <w:numPr>
          <w:ilvl w:val="0"/>
          <w:numId w:val="1036"/>
        </w:numPr>
      </w:pPr>
      <w:r>
        <w:rPr>
          <w:b/>
          <w:bCs/>
        </w:rPr>
        <w:t xml:space="preserve">Quiet-start offsets</w:t>
      </w:r>
      <w:r>
        <w:t xml:space="preserve">: [-12, -8, -4, 0, +4, +8, +12] weeks from 2022-24</w:t>
      </w:r>
    </w:p>
    <w:p>
      <w:pPr>
        <w:pStyle w:val="Compact"/>
        <w:numPr>
          <w:ilvl w:val="0"/>
          <w:numId w:val="1036"/>
        </w:numPr>
      </w:pPr>
      <w:r>
        <w:rPr>
          <w:b/>
          <w:bCs/>
        </w:rPr>
        <w:t xml:space="preserve">Quiet-window end</w:t>
      </w:r>
      <w:r>
        <w:t xml:space="preserve">: Fixed at 2024-16</w:t>
      </w:r>
    </w:p>
    <w:p>
      <w:pPr>
        <w:pStyle w:val="Compact"/>
        <w:numPr>
          <w:ilvl w:val="0"/>
          <w:numId w:val="1036"/>
        </w:numPr>
      </w:pPr>
      <w:r>
        <w:rPr>
          <w:b/>
          <w:bCs/>
        </w:rPr>
        <w:t xml:space="preserve">Dose pairs</w:t>
      </w:r>
      <w:r>
        <w:t xml:space="preserve">: 1 vs 0, 2 vs 0, 2 vs 1</w:t>
      </w:r>
    </w:p>
    <w:p>
      <w:pPr>
        <w:pStyle w:val="Compact"/>
        <w:numPr>
          <w:ilvl w:val="0"/>
          <w:numId w:val="1036"/>
        </w:numPr>
      </w:pPr>
      <w:r>
        <w:rPr>
          <w:b/>
          <w:bCs/>
        </w:rPr>
        <w:t xml:space="preserve">Cohorts</w:t>
      </w:r>
      <w:r>
        <w:t xml:space="preserve">: 2021_24</w:t>
      </w:r>
    </w:p>
    <w:p>
      <w:pPr>
        <w:pStyle w:val="FirstParagraph"/>
      </w:pPr>
      <w:r>
        <w:t xml:space="preserve">Output grids show KCOR(t) values for each parameter combination.</w:t>
      </w:r>
    </w:p>
    <w:bookmarkEnd w:id="200"/>
    <w:bookmarkStart w:id="201"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7"/>
        </w:numPr>
      </w:pPr>
      <w:r>
        <w:rPr>
          <w:b/>
          <w:bCs/>
        </w:rPr>
        <w:t xml:space="preserve">Mid-sampled cohort</w:t>
      </w:r>
      <w:r>
        <w:t xml:space="preserve">: frailty restricted to central quantiles (e.g., 25th–75th percentile) and renormalized to mean 1.</w:t>
      </w:r>
    </w:p>
    <w:p>
      <w:pPr>
        <w:pStyle w:val="Compact"/>
        <w:numPr>
          <w:ilvl w:val="0"/>
          <w:numId w:val="1037"/>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8"/>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8"/>
        </w:numPr>
      </w:pPr>
      <w:r>
        <w:rPr>
          <w:b/>
          <w:bCs/>
        </w:rPr>
        <w:t xml:space="preserve">Base frailty distribution</w:t>
      </w:r>
      <w:r>
        <w:t xml:space="preserve">: Log-normal with mean 1, variance 0.5</w:t>
      </w:r>
    </w:p>
    <w:p>
      <w:pPr>
        <w:pStyle w:val="Compact"/>
        <w:numPr>
          <w:ilvl w:val="0"/>
          <w:numId w:val="1038"/>
        </w:numPr>
      </w:pPr>
      <w:r>
        <w:rPr>
          <w:b/>
          <w:bCs/>
        </w:rPr>
        <w:t xml:space="preserve">Mid-quantile cohort</w:t>
      </w:r>
      <w:r>
        <w:t xml:space="preserve">: 25th–75th percentile</w:t>
      </w:r>
    </w:p>
    <w:p>
      <w:pPr>
        <w:pStyle w:val="Compact"/>
        <w:numPr>
          <w:ilvl w:val="0"/>
          <w:numId w:val="1038"/>
        </w:numPr>
      </w:pPr>
      <w:r>
        <w:rPr>
          <w:b/>
          <w:bCs/>
        </w:rPr>
        <w:t xml:space="preserve">Tail-mixture cohort</w:t>
      </w:r>
      <w:r>
        <w:t xml:space="preserve">: [0–15th] + [85th–100th] percentiles, equal weights</w:t>
      </w:r>
    </w:p>
    <w:p>
      <w:pPr>
        <w:pStyle w:val="Compact"/>
        <w:numPr>
          <w:ilvl w:val="0"/>
          <w:numId w:val="1038"/>
        </w:numPr>
      </w:pPr>
      <w:r>
        <w:rPr>
          <w:b/>
          <w:bCs/>
        </w:rPr>
        <w:t xml:space="preserve">Baseline hazard</w:t>
      </w:r>
      <w:r>
        <w:t xml:space="preserve">: 0.002 per week (constant)</w:t>
      </w:r>
    </w:p>
    <w:p>
      <w:pPr>
        <w:pStyle w:val="Compact"/>
        <w:numPr>
          <w:ilvl w:val="0"/>
          <w:numId w:val="1038"/>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8"/>
        </w:numPr>
      </w:pPr>
      <w:r>
        <w:rPr>
          <w:b/>
          <w:bCs/>
        </w:rPr>
        <w:t xml:space="preserve">Effect window</w:t>
      </w:r>
      <w:r>
        <w:t xml:space="preserve">: weeks 20–80</w:t>
      </w:r>
    </w:p>
    <w:p>
      <w:pPr>
        <w:pStyle w:val="Compact"/>
        <w:numPr>
          <w:ilvl w:val="0"/>
          <w:numId w:val="1038"/>
        </w:numPr>
      </w:pPr>
      <w:r>
        <w:rPr>
          <w:b/>
          <w:bCs/>
        </w:rPr>
        <w:t xml:space="preserve">Random seed</w:t>
      </w:r>
      <w:r>
        <w:t xml:space="preserve">: 42</w:t>
      </w:r>
    </w:p>
    <w:bookmarkEnd w:id="201"/>
    <w:bookmarkStart w:id="208"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02"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02"/>
    <w:bookmarkStart w:id="203" w:name="frailty-structure"/>
    <w:p>
      <w:pPr>
        <w:pStyle w:val="Heading5"/>
      </w:pPr>
      <w:r>
        <w:t xml:space="preserve">Frailty structure</w:t>
      </w:r>
    </w:p>
    <w:p>
      <w:pPr>
        <w:pStyle w:val="Compact"/>
        <w:numPr>
          <w:ilvl w:val="0"/>
          <w:numId w:val="1039"/>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39"/>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03"/>
    <w:bookmarkStart w:id="204"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40"/>
        </w:numPr>
      </w:pPr>
      <w:r>
        <w:t xml:space="preserve">Step change (constant multiplicative factor),</w:t>
      </w:r>
    </w:p>
    <w:p>
      <w:pPr>
        <w:pStyle w:val="Compact"/>
        <w:numPr>
          <w:ilvl w:val="0"/>
          <w:numId w:val="1040"/>
        </w:numPr>
      </w:pPr>
      <w:r>
        <w:t xml:space="preserve">Linear ramp,</w:t>
      </w:r>
    </w:p>
    <w:p>
      <w:pPr>
        <w:pStyle w:val="Compact"/>
        <w:numPr>
          <w:ilvl w:val="0"/>
          <w:numId w:val="1040"/>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04"/>
    <w:bookmarkStart w:id="205"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05"/>
    <w:bookmarkStart w:id="206"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41"/>
        </w:numPr>
      </w:pPr>
      <w:r>
        <w:t xml:space="preserve">KCOR(t) remains approximately flat and near unity during the quiet window,</w:t>
      </w:r>
    </w:p>
    <w:p>
      <w:pPr>
        <w:pStyle w:val="Compact"/>
        <w:numPr>
          <w:ilvl w:val="0"/>
          <w:numId w:val="1041"/>
        </w:numPr>
      </w:pPr>
      <w:r>
        <w:t xml:space="preserve">KCOR(t) deviates in the correct direction and magnitude during the treatment window,</w:t>
      </w:r>
    </w:p>
    <w:p>
      <w:pPr>
        <w:pStyle w:val="Compact"/>
        <w:numPr>
          <w:ilvl w:val="0"/>
          <w:numId w:val="1041"/>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06"/>
    <w:bookmarkStart w:id="207"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07"/>
    <w:bookmarkEnd w:id="208"/>
    <w:bookmarkEnd w:id="209"/>
    <w:bookmarkStart w:id="214" w:name="X3fb27f9d14d988b0afc4c757bd6d2a45d2ae0b5"/>
    <w:p>
      <w:pPr>
        <w:pStyle w:val="Heading3"/>
      </w:pPr>
      <w:r>
        <w:t xml:space="preserve">Appendix C. Additional figures and diagnostics</w:t>
      </w:r>
    </w:p>
    <w:bookmarkStart w:id="210"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42"/>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42"/>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42"/>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10"/>
    <w:bookmarkStart w:id="211"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Compact"/>
        <w:numPr>
          <w:ilvl w:val="0"/>
          <w:numId w:val="1043"/>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43"/>
        </w:numPr>
      </w:pPr>
      <w:r>
        <w:rPr>
          <w:b/>
          <w:bCs/>
        </w:rPr>
        <w:t xml:space="preserve">Outliers</w:t>
      </w:r>
      <w:r>
        <w:t xml:space="preserve">: Individual weeks with large residuals may indicate data quality issues or external shocks.</w:t>
      </w:r>
    </w:p>
    <w:p>
      <w:pPr>
        <w:pStyle w:val="Compact"/>
        <w:numPr>
          <w:ilvl w:val="0"/>
          <w:numId w:val="1043"/>
        </w:numPr>
      </w:pPr>
      <w:r>
        <w:rPr>
          <w:b/>
          <w:bCs/>
        </w:rPr>
        <w:t xml:space="preserve">Autocorrelation</w:t>
      </w:r>
      <w:r>
        <w:t xml:space="preserve">: Strong autocorrelation in residuals suggests the model is missing time-varying structure.</w:t>
      </w:r>
    </w:p>
    <w:bookmarkEnd w:id="211"/>
    <w:bookmarkStart w:id="212"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44"/>
        </w:numPr>
      </w:pPr>
      <w:r>
        <w:rPr>
          <w:b/>
          <w:bCs/>
        </w:rPr>
        <w:t xml:space="preserve">Quiet-window perturbation</w:t>
      </w:r>
      <w:r>
        <w:t xml:space="preserve">: Shift the quiet-window start/end by ±4 weeks and re-fit. Stable parameters should vary by &lt; 10%.</w:t>
      </w:r>
    </w:p>
    <w:p>
      <w:pPr>
        <w:pStyle w:val="Compact"/>
        <w:numPr>
          <w:ilvl w:val="0"/>
          <w:numId w:val="1044"/>
        </w:numPr>
      </w:pPr>
      <w:r>
        <w:rPr>
          <w:b/>
          <w:bCs/>
        </w:rPr>
        <w:t xml:space="preserve">Skip-weeks sensitivity</w:t>
      </w:r>
      <w:r>
        <w:t xml:space="preserve">: Vary SKIP_WEEKS from 0 to 8 and verify KCOR(t) trajectories remain qualitatively similar.</w:t>
      </w:r>
    </w:p>
    <w:p>
      <w:pPr>
        <w:pStyle w:val="Compact"/>
        <w:numPr>
          <w:ilvl w:val="0"/>
          <w:numId w:val="1044"/>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9) provides a systematic assessment of parameter stability.</w:t>
      </w:r>
    </w:p>
    <w:bookmarkEnd w:id="212"/>
    <w:bookmarkStart w:id="213"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5"/>
        </w:numPr>
      </w:pPr>
      <w:r>
        <w:t xml:space="preserve">Avoid major epidemic waves or external mortality shocks</w:t>
      </w:r>
    </w:p>
    <w:p>
      <w:pPr>
        <w:pStyle w:val="Compact"/>
        <w:numPr>
          <w:ilvl w:val="0"/>
          <w:numId w:val="1045"/>
        </w:numPr>
      </w:pPr>
      <w:r>
        <w:t xml:space="preserve">Contain sufficient event counts for stable estimation</w:t>
      </w:r>
    </w:p>
    <w:p>
      <w:pPr>
        <w:pStyle w:val="Compact"/>
        <w:numPr>
          <w:ilvl w:val="0"/>
          <w:numId w:val="1045"/>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213"/>
    <w:bookmarkEnd w:id="214"/>
    <w:bookmarkStart w:id="223"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215"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6"/>
        </w:numPr>
      </w:pPr>
      <w:r>
        <w:t xml:space="preserve">Inconsistencies in cohort risk sets (e.g., unexplained increases in at-risk counts).</w:t>
      </w:r>
    </w:p>
    <w:p>
      <w:pPr>
        <w:pStyle w:val="Compact"/>
        <w:numPr>
          <w:ilvl w:val="0"/>
          <w:numId w:val="1046"/>
        </w:numPr>
      </w:pPr>
      <w:r>
        <w:t xml:space="preserve">Early-time hazard suppression or inflation inconsistent with selection or depletion geometry.</w:t>
      </w:r>
    </w:p>
    <w:p>
      <w:pPr>
        <w:pStyle w:val="Compact"/>
        <w:numPr>
          <w:ilvl w:val="0"/>
          <w:numId w:val="1046"/>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215"/>
    <w:bookmarkStart w:id="216"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7"/>
        </w:numPr>
      </w:pPr>
      <w:r>
        <w:t xml:space="preserve">Calendar-time hazard spikes or drops that appear in only one cohort.</w:t>
      </w:r>
    </w:p>
    <w:p>
      <w:pPr>
        <w:pStyle w:val="Compact"/>
        <w:numPr>
          <w:ilvl w:val="0"/>
          <w:numId w:val="1047"/>
        </w:numPr>
      </w:pPr>
      <w:r>
        <w:t xml:space="preserve">Misalignment of major mortality shocks (e.g., epidemic waves) across cohorts.</w:t>
      </w:r>
    </w:p>
    <w:p>
      <w:pPr>
        <w:pStyle w:val="Compact"/>
        <w:numPr>
          <w:ilvl w:val="0"/>
          <w:numId w:val="1047"/>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216"/>
    <w:bookmarkStart w:id="217"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48"/>
        </w:numPr>
      </w:pPr>
      <w:r>
        <w:t xml:space="preserve">Strongly structured residuals in cumulative-hazard space inconsistent with depletion.</w:t>
      </w:r>
    </w:p>
    <w:p>
      <w:pPr>
        <w:pStyle w:val="Compact"/>
        <w:numPr>
          <w:ilvl w:val="0"/>
          <w:numId w:val="1048"/>
        </w:numPr>
      </w:pPr>
      <w:r>
        <w:t xml:space="preserve">Instability of fitted frailty parameters not attributable to window placement.</w:t>
      </w:r>
    </w:p>
    <w:p>
      <w:pPr>
        <w:pStyle w:val="Compact"/>
        <w:numPr>
          <w:ilvl w:val="0"/>
          <w:numId w:val="1048"/>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217"/>
    <w:bookmarkStart w:id="218"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49"/>
        </w:numPr>
      </w:pPr>
      <w:r>
        <w:t xml:space="preserve">Poor fit of the gamma-frailty cumulative-hazard model during the quiet window.</w:t>
      </w:r>
    </w:p>
    <w:p>
      <w:pPr>
        <w:pStyle w:val="Compact"/>
        <w:numPr>
          <w:ilvl w:val="0"/>
          <w:numId w:val="1049"/>
        </w:numPr>
      </w:pPr>
      <w:r>
        <w:t xml:space="preserve">Systematic residual curvature after frailty normalization.</w:t>
      </w:r>
    </w:p>
    <w:p>
      <w:pPr>
        <w:pStyle w:val="Compact"/>
        <w:numPr>
          <w:ilvl w:val="0"/>
          <w:numId w:val="1049"/>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218"/>
    <w:bookmarkStart w:id="219"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50"/>
        </w:numPr>
      </w:pPr>
      <w:r>
        <w:t xml:space="preserve">Failure of KCOR(t) trajectories to stabilize or asymptote following frailty normalization.</w:t>
      </w:r>
    </w:p>
    <w:p>
      <w:pPr>
        <w:pStyle w:val="Compact"/>
        <w:numPr>
          <w:ilvl w:val="0"/>
          <w:numId w:val="1050"/>
        </w:numPr>
      </w:pPr>
      <w:r>
        <w:t xml:space="preserve">Persistent nonzero slope in KCOR(t), indicating residual curvature after normalization.</w:t>
      </w:r>
    </w:p>
    <w:p>
      <w:pPr>
        <w:pStyle w:val="Compact"/>
        <w:numPr>
          <w:ilvl w:val="0"/>
          <w:numId w:val="1050"/>
        </w:numPr>
      </w:pPr>
      <w:r>
        <w:t xml:space="preserve">Instability of fitted frailty parameters (θ) under small perturbations of quiet-window boundaries.</w:t>
      </w:r>
    </w:p>
    <w:p>
      <w:pPr>
        <w:pStyle w:val="Compact"/>
        <w:numPr>
          <w:ilvl w:val="0"/>
          <w:numId w:val="1050"/>
        </w:numPr>
      </w:pPr>
      <w:r>
        <w:t xml:space="preserve">Failure of depletion-neutralized cumulative hazards to become approximately linear during the quiet window.</w:t>
      </w:r>
    </w:p>
    <w:p>
      <w:pPr>
        <w:pStyle w:val="Compact"/>
        <w:numPr>
          <w:ilvl w:val="0"/>
          <w:numId w:val="1050"/>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frailty-normalized cumulative hazards are expected to be approximately linear and KCOR(t) trajectories to stabilize rather than drift. Persistent KCOR slope or θ instability indicates contamination of the quiet window by external shocks or time-varying effects and signals loss of identifiability rather than evidence of cohort differences.</w:t>
      </w:r>
    </w:p>
    <w:bookmarkEnd w:id="219"/>
    <w:bookmarkStart w:id="220"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220"/>
    <w:bookmarkStart w:id="221"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Importantly, 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221"/>
    <w:bookmarkStart w:id="222"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222"/>
    <w:bookmarkEnd w:id="223"/>
    <w:bookmarkEnd w:id="224"/>
    <w:bookmarkEnd w:id="2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71" Target="media/rId71.png" /><Relationship Type="http://schemas.openxmlformats.org/officeDocument/2006/relationships/image" Id="rId95" Target="media/rId95.png" /><Relationship Type="http://schemas.openxmlformats.org/officeDocument/2006/relationships/image" Id="rId113" Target="media/rId113.png" /><Relationship Type="http://schemas.openxmlformats.org/officeDocument/2006/relationships/image" Id="rId136" Target="media/rId136.png" /><Relationship Type="http://schemas.openxmlformats.org/officeDocument/2006/relationships/image" Id="rId132" Target="media/rId132.png" /><Relationship Type="http://schemas.openxmlformats.org/officeDocument/2006/relationships/image" Id="rId119" Target="media/rId119.png" /><Relationship Type="http://schemas.openxmlformats.org/officeDocument/2006/relationships/image" Id="rId128" Target="media/rId128.png" /><Relationship Type="http://schemas.openxmlformats.org/officeDocument/2006/relationships/image" Id="rId124" Target="media/rId124.png" /><Relationship Type="http://schemas.openxmlformats.org/officeDocument/2006/relationships/hyperlink" Id="rId176" Target="https://doi.org/10.1002/sim.1203" TargetMode="External" /><Relationship Type="http://schemas.openxmlformats.org/officeDocument/2006/relationships/hyperlink" Id="rId178" Target="https://doi.org/10.1002/sim.4780080803" TargetMode="External" /><Relationship Type="http://schemas.openxmlformats.org/officeDocument/2006/relationships/hyperlink" Id="rId186" Target="https://doi.org/10.1093/aje/kwn164" TargetMode="External" /><Relationship Type="http://schemas.openxmlformats.org/officeDocument/2006/relationships/hyperlink" Id="rId180" Target="https://doi.org/10.1093/biomet/81.1.61" TargetMode="External" /><Relationship Type="http://schemas.openxmlformats.org/officeDocument/2006/relationships/hyperlink" Id="rId172" Target="https://doi.org/10.1093/biomet/81.3.515" TargetMode="External" /><Relationship Type="http://schemas.openxmlformats.org/officeDocument/2006/relationships/hyperlink" Id="rId184" Target="https://doi.org/10.1097/00001648-200009000-00011" TargetMode="External" /><Relationship Type="http://schemas.openxmlformats.org/officeDocument/2006/relationships/hyperlink" Id="rId182" Target="https://doi.org/10.1111/j.1467-9469.2006.00529.x" TargetMode="External" /><Relationship Type="http://schemas.openxmlformats.org/officeDocument/2006/relationships/hyperlink" Id="rId174" Target="https://doi.org/10.1214/aos/1176345976" TargetMode="External" /><Relationship Type="http://schemas.openxmlformats.org/officeDocument/2006/relationships/hyperlink" Id="rId168" Target="https://doi.org/10.2147/CLEP.S468572" TargetMode="External" /><Relationship Type="http://schemas.openxmlformats.org/officeDocument/2006/relationships/hyperlink" Id="rId166" Target="https://doi.org/10.2307/2061224" TargetMode="External" /><Relationship Type="http://schemas.openxmlformats.org/officeDocument/2006/relationships/hyperlink" Id="rId159" Target="https://doi.org/10.5281/zenodo.18050329" TargetMode="External" /><Relationship Type="http://schemas.openxmlformats.org/officeDocument/2006/relationships/hyperlink" Id="rId170" Target="https://doi.org/10.7554/eLife.103690" TargetMode="External" /><Relationship Type="http://schemas.openxmlformats.org/officeDocument/2006/relationships/hyperlink" Id="rId158"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76" Target="https://doi.org/10.1002/sim.1203" TargetMode="External" /><Relationship Type="http://schemas.openxmlformats.org/officeDocument/2006/relationships/hyperlink" Id="rId178" Target="https://doi.org/10.1002/sim.4780080803" TargetMode="External" /><Relationship Type="http://schemas.openxmlformats.org/officeDocument/2006/relationships/hyperlink" Id="rId186" Target="https://doi.org/10.1093/aje/kwn164" TargetMode="External" /><Relationship Type="http://schemas.openxmlformats.org/officeDocument/2006/relationships/hyperlink" Id="rId180" Target="https://doi.org/10.1093/biomet/81.1.61" TargetMode="External" /><Relationship Type="http://schemas.openxmlformats.org/officeDocument/2006/relationships/hyperlink" Id="rId172" Target="https://doi.org/10.1093/biomet/81.3.515" TargetMode="External" /><Relationship Type="http://schemas.openxmlformats.org/officeDocument/2006/relationships/hyperlink" Id="rId184" Target="https://doi.org/10.1097/00001648-200009000-00011" TargetMode="External" /><Relationship Type="http://schemas.openxmlformats.org/officeDocument/2006/relationships/hyperlink" Id="rId182" Target="https://doi.org/10.1111/j.1467-9469.2006.00529.x" TargetMode="External" /><Relationship Type="http://schemas.openxmlformats.org/officeDocument/2006/relationships/hyperlink" Id="rId174" Target="https://doi.org/10.1214/aos/1176345976" TargetMode="External" /><Relationship Type="http://schemas.openxmlformats.org/officeDocument/2006/relationships/hyperlink" Id="rId168" Target="https://doi.org/10.2147/CLEP.S468572" TargetMode="External" /><Relationship Type="http://schemas.openxmlformats.org/officeDocument/2006/relationships/hyperlink" Id="rId166" Target="https://doi.org/10.2307/2061224" TargetMode="External" /><Relationship Type="http://schemas.openxmlformats.org/officeDocument/2006/relationships/hyperlink" Id="rId159" Target="https://doi.org/10.5281/zenodo.18050329" TargetMode="External" /><Relationship Type="http://schemas.openxmlformats.org/officeDocument/2006/relationships/hyperlink" Id="rId170" Target="https://doi.org/10.7554/eLife.103690" TargetMode="External" /><Relationship Type="http://schemas.openxmlformats.org/officeDocument/2006/relationships/hyperlink" Id="rId158"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2026-01-03T23:22:23Z</dcterms:created>
  <dcterms:modified xsi:type="dcterms:W3CDTF">2026-01-03T23:22:23Z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