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97.png" ContentType="image/png"/>
  <Override PartName="/word/media/rId72.png" ContentType="image/png"/>
  <Override PartName="/word/media/rId76.png" ContentType="image/png"/>
  <Override PartName="/word/media/rId66.png" ContentType="image/png"/>
  <Override PartName="/word/media/rId87.png" ContentType="image/png"/>
  <Override PartName="/word/media/rId105.png" ContentType="image/png"/>
  <Override PartName="/word/media/rId129.png" ContentType="image/png"/>
  <Override PartName="/word/media/rId125.png" ContentType="image/png"/>
  <Override PartName="/word/media/rId111.png" ContentType="image/png"/>
  <Override PartName="/word/media/rId121.png" ContentType="image/png"/>
  <Override PartName="/word/media/rId117.png" ContentType="image/png"/>
  <Override PartName="/word/media/rId133.png" ContentType="image/png"/>
  <Override PartName="/word/media/rId233.png" ContentType="image/png"/>
  <Override PartName="/word/media/rId214.png" ContentType="image/png"/>
  <Override PartName="/word/media/rId218.png" ContentType="image/png"/>
  <Override PartName="/word/media/rId2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9" w:name="X87404fd0c70b5b6a5b8bf836f021ef75f69b977"/>
    <w:p>
      <w:pPr>
        <w:pStyle w:val="Heading1"/>
      </w:pPr>
      <w:r>
        <w:t xml:space="preserve">KCOR: A Depletion-Neutralized Cohort Comparison Framework Using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produce non-proportional hazards that invalidate standard survival estimands. We introduce the Kirsch Cumulative Outcomes Ratio (KCOR), a cumulative-hazard normalization and comparison framework designed for retrospective cohorts using minimal registry data (e.g., dates of birth, intervention, and event). KCOR operates by estimating cohort-specific frailty during epidemiologically quiet periods, transforming observed cumulative hazards into a depletion-neutralized space, and defining a cumulative hazard ratio as the target estimand.</w:t>
      </w:r>
    </w:p>
    <w:p>
      <w:pPr>
        <w:pStyle w:val="BodyText"/>
      </w:pPr>
      <w:r>
        <w:t xml:space="preserve">Using simulation studies structured to vary frailty heterogeneity and selection strength, we evaluate KCOR alongside commonly used alternative estimands under both null and non-null conditions. Under selection-only scenarios, KCOR remains centered near the null with stable trajectories, whereas survival-based and hazard-based estimands exhibit systematic non-null behavior driven by residual depletion effects. KCOR defines a cumulative hazard ratio after explicit normalization of selection-induced depletion; it is presented as a diagnostic and normalization framework rather than a causal estimator, with interpretation contingent on stated assumptions and validated through prespecified simulations and control tests.</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bookmarkEnd w:id="11"/>
    <w:bookmarkStart w:id="29"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8"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4"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bookmarkEnd w:id="14"/>
    <w:bookmarkStart w:id="15"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5"/>
    <w:bookmarkStart w:id="16"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6"/>
    <w:bookmarkStart w:id="17"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7"/>
    <w:bookmarkEnd w:id="18"/>
    <w:bookmarkStart w:id="22"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19"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9"/>
    <w:bookmarkStart w:id="21"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20"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20"/>
    <w:bookmarkEnd w:id="21"/>
    <w:bookmarkEnd w:id="22"/>
    <w:bookmarkStart w:id="25"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bookmarkStart w:id="23"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23"/>
    <w:p/>
    <w:bookmarkStart w:id="24"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24"/>
    <w:p>
      <w:pPr>
        <w:pStyle w:val="BodyText"/>
      </w:pPr>
      <w:r>
        <w:rPr>
          <w:i/>
          <w:iCs/>
        </w:rPr>
        <w:t xml:space="preserve">Most existing methods improve descriptive fit to non-proportional hazards but do not neutralize selection-induced depletion. KCOR explicitly estimates and removes depletion geometry before defining a cumulative comparison.</w:t>
      </w:r>
    </w:p>
    <w:p>
      <w:pPr>
        <w:pStyle w:val="BodyText"/>
      </w:pPr>
      <w:r>
        <w:t xml:space="preserve">Most retrospective approaches either compare cohorts under proportional-hazards assumptions, balance measured confounding, or diagnose bias without removing it. KCOR occupies a distinct role: it neutralizes selection-induced depletion dynamics via gamma-frailty inversion and then extracts the cohort contrast using a cumulative hazard ratio (KCOR), which is the estimand reported.</w:t>
      </w:r>
    </w:p>
    <w:bookmarkEnd w:id="25"/>
    <w:bookmarkStart w:id="26"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6"/>
    <w:bookmarkStart w:id="27"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7"/>
    <w:bookmarkStart w:id="28"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4"/>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4"/>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6"/>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7"/>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8"/>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8"/>
    <w:bookmarkEnd w:id="29"/>
    <w:bookmarkStart w:id="31"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bookmarkStart w:id="30"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Para>
              <m:oMathParaPr>
                <m:jc m:val="center"/>
              </m:oMathParaPr>
              <m:oMath>
                <m:r>
                  <m:t>d</m:t>
                </m:r>
              </m:oMath>
            </m:oMathPara>
          </w:p>
        </w:tc>
        <w:tc>
          <w:tcPr/>
          <w:p>
            <w:pPr>
              <w:pStyle w:val="Compact"/>
            </w:pPr>
            <w:r>
              <w:t xml:space="preserve">Cohort index</w:t>
            </w:r>
          </w:p>
        </w:tc>
      </w:tr>
      <w:tr>
        <w:tc>
          <w:tcPr/>
          <w:p>
            <w:pPr>
              <w:pStyle w:val="Compact"/>
            </w:pPr>
            <m:oMathPara>
              <m:oMathParaPr>
                <m:jc m:val="center"/>
              </m:oMathParaPr>
              <m:oMath>
                <m:r>
                  <m:t>A</m:t>
                </m:r>
                <m:r>
                  <m:rPr>
                    <m:sty m:val="p"/>
                  </m:rPr>
                  <m:t>,</m:t>
                </m:r>
                <m:r>
                  <m:t>B</m:t>
                </m:r>
              </m:oMath>
            </m:oMathPara>
          </w:p>
        </w:tc>
        <w:tc>
          <w:tcPr/>
          <w:p>
            <w:pPr>
              <w:pStyle w:val="Compact"/>
            </w:pPr>
            <w:r>
              <w:t xml:space="preserve">Indices of the two cohorts compared in a KCOR contrast</w:t>
            </w:r>
          </w:p>
        </w:tc>
      </w:tr>
      <w:tr>
        <w:tc>
          <w:tcPr/>
          <w:p>
            <w:pPr>
              <w:pStyle w:val="Compact"/>
            </w:pPr>
            <m:oMathPara>
              <m:oMathParaPr>
                <m:jc m:val="center"/>
              </m:oMathParaPr>
              <m:oMath>
                <m:r>
                  <m:t>t</m:t>
                </m:r>
              </m:oMath>
            </m:oMathPara>
          </w:p>
        </w:tc>
        <w:tc>
          <w:tcPr/>
          <w:p>
            <w:pPr>
              <w:pStyle w:val="Compact"/>
            </w:pPr>
            <w:r>
              <w:t xml:space="preserve">Event time since enrollment (discrete bins, e.g., weeks)</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cumulative hazard (after skip/stabilization)</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acc>
                      <m:accPr>
                        <m:chr m:val="̃"/>
                      </m:accPr>
                      <m:e>
                        <m:r>
                          <m:t>H</m:t>
                        </m:r>
                      </m:e>
                    </m:acc>
                  </m:e>
                  <m:sub>
                    <m:r>
                      <m:t>0</m:t>
                    </m:r>
                    <m:r>
                      <m:rPr>
                        <m:sty m:val="p"/>
                      </m:rPr>
                      <m:t>,</m:t>
                    </m:r>
                    <m:r>
                      <m:t>d</m:t>
                    </m:r>
                  </m:sub>
                </m:sSub>
                <m:r>
                  <m:rPr>
                    <m:sty m:val="p"/>
                  </m:rPr>
                  <m:t>(</m:t>
                </m:r>
                <m:r>
                  <m:t>t</m:t>
                </m:r>
                <m:r>
                  <m:rPr>
                    <m:sty m:val="p"/>
                  </m:rPr>
                  <m:t>)</m:t>
                </m:r>
              </m:oMath>
            </m:oMathPara>
          </w:p>
        </w:tc>
        <w:tc>
          <w:tcPr/>
          <w:p>
            <w:pPr>
              <w:pStyle w:val="Compact"/>
            </w:pPr>
            <w:r>
              <w:t xml:space="preserve">Depletion-neutralized baseline cumulative hazard</w:t>
            </w:r>
          </w:p>
        </w:tc>
      </w:tr>
      <w:tr>
        <w:tc>
          <w:tcPr/>
          <w:p>
            <w:pPr>
              <w:pStyle w:val="Compact"/>
            </w:pPr>
            <m:oMathPara>
              <m:oMathParaPr>
                <m:jc m:val="center"/>
              </m:oMathParaPr>
              <m:oMath>
                <m:sSub>
                  <m:e>
                    <m:r>
                      <m:t>θ</m:t>
                    </m:r>
                  </m:e>
                  <m:sub>
                    <m:r>
                      <m:t>d</m:t>
                    </m:r>
                  </m:sub>
                </m:sSub>
              </m:oMath>
            </m:oMathPara>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Para>
              <m:oMathParaPr>
                <m:jc m:val="center"/>
              </m:oMathParaPr>
              <m:oMath>
                <m:sSub>
                  <m:e>
                    <m:acc>
                      <m:accPr>
                        <m:chr m:val="̂"/>
                      </m:accPr>
                      <m:e>
                        <m:r>
                          <m:t>θ</m:t>
                        </m:r>
                      </m:e>
                    </m:acc>
                  </m:e>
                  <m:sub>
                    <m:r>
                      <m:t>d</m:t>
                    </m:r>
                  </m:sub>
                </m:sSub>
              </m:oMath>
            </m:oMathPara>
          </w:p>
        </w:tc>
        <w:tc>
          <w:tcPr/>
          <w:p>
            <w:pPr>
              <w:pStyle w:val="Compact"/>
            </w:pPr>
            <w:r>
              <w:t xml:space="preserve">Estimated frailty variance from quiet-window fitting</w:t>
            </w:r>
          </w:p>
        </w:tc>
      </w:tr>
      <w:tr>
        <w:tc>
          <w:tcPr/>
          <w:p>
            <w:pPr>
              <w:pStyle w:val="Compact"/>
            </w:pPr>
            <m:oMathPara>
              <m:oMathParaPr>
                <m:jc m:val="center"/>
              </m:oMathParaPr>
              <m:oMath>
                <m:sSub>
                  <m:e>
                    <m:r>
                      <m:t>k</m:t>
                    </m:r>
                  </m:e>
                  <m:sub>
                    <m:r>
                      <m:t>d</m:t>
                    </m:r>
                  </m:sub>
                </m:sSub>
              </m:oMath>
            </m:oMathPara>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Para>
              <m:oMathParaPr>
                <m:jc m:val="center"/>
              </m:oMathParaPr>
              <m:oMath>
                <m:sSub>
                  <m:e>
                    <m:acc>
                      <m:accPr>
                        <m:chr m:val="̂"/>
                      </m:accPr>
                      <m:e>
                        <m:r>
                          <m:t>k</m:t>
                        </m:r>
                      </m:e>
                    </m:acc>
                  </m:e>
                  <m:sub>
                    <m:r>
                      <m:t>d</m:t>
                    </m:r>
                  </m:sub>
                </m:sSub>
              </m:oMath>
            </m:oMathPara>
          </w:p>
        </w:tc>
        <w:tc>
          <w:tcPr/>
          <w:p>
            <w:pPr>
              <w:pStyle w:val="Compact"/>
            </w:pPr>
            <w:r>
              <w:t xml:space="preserve">Estimated baseline hazard level from quiet-window fitting</w:t>
            </w:r>
          </w:p>
        </w:tc>
      </w:tr>
    </w:tbl>
    <w:bookmarkEnd w:id="30"/>
    <w:p>
      <w:pPr>
        <w:pStyle w:val="BodyText"/>
      </w:pPr>
      <w:r>
        <w:t xml:space="preserve">For COVID-19 vaccination analyses, intervention count corresponds to the number of vaccine doses received; more generally, this can index any discrete exposure level.</w:t>
      </w:r>
    </w:p>
    <w:bookmarkEnd w:id="31"/>
    <w:bookmarkStart w:id="35"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09"/>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09"/>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0"/>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0"/>
        </w:numPr>
      </w:pPr>
      <w:r>
        <w:rPr>
          <w:b/>
          <w:bCs/>
        </w:rPr>
        <w:t xml:space="preserve">Map observed cumulative hazards into a depletion-neutralized space</w:t>
      </w:r>
      <w:r>
        <w:t xml:space="preserve"> </w:t>
      </w:r>
      <w:r>
        <w:t xml:space="preserve">by inverting that geometry.</w:t>
      </w:r>
    </w:p>
    <w:p>
      <w:pPr>
        <w:pStyle w:val="Compact"/>
        <w:numPr>
          <w:ilvl w:val="0"/>
          <w:numId w:val="1010"/>
        </w:numPr>
      </w:pPr>
      <w:r>
        <w:rPr>
          <w:b/>
          <w:bCs/>
        </w:rPr>
        <w:t xml:space="preserve">Compare cohorts only after normalization</w:t>
      </w:r>
      <w:r>
        <w:t xml:space="preserve">, using a cumulative-hazard ratio defined on the depletion-neutralized scale.</w:t>
      </w:r>
    </w:p>
    <w:bookmarkStart w:id="33" w:name="target-estimand"/>
    <w:p>
      <w:pPr>
        <w:pStyle w:val="Heading3"/>
      </w:pPr>
      <w:r>
        <w:t xml:space="preserve">2.1.1 Target estimand</w:t>
      </w:r>
    </w:p>
    <w:p>
      <w:pPr>
        <w:pStyle w:val="FirstParagraph"/>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32"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32"/>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3"/>
    <w:bookmarkStart w:id="34"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1"/>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1"/>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1"/>
        </w:numPr>
      </w:pPr>
      <w:r>
        <w:t xml:space="preserve">absence of systematic residual structure in cumulative-hazard space.</w:t>
      </w:r>
    </w:p>
    <w:p>
      <w:r>
        <w:pict>
          <v:rect style="width:0;height:1.5pt" o:hralign="center" o:hrstd="t" o:hr="t"/>
        </w:pict>
      </w:r>
    </w:p>
    <w:bookmarkEnd w:id="34"/>
    <w:bookmarkEnd w:id="35"/>
    <w:bookmarkStart w:id="36"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2"/>
        </w:numPr>
      </w:pPr>
      <w:r>
        <w:rPr>
          <w:b/>
          <w:bCs/>
        </w:rPr>
        <w:t xml:space="preserve">No post-enrollment switching</w:t>
      </w:r>
      <w:r>
        <w:t xml:space="preserve"> </w:t>
      </w:r>
      <w:r>
        <w:t xml:space="preserve">is allowed (individuals remain in their enrollment cohort),</w:t>
      </w:r>
    </w:p>
    <w:p>
      <w:pPr>
        <w:pStyle w:val="Compact"/>
        <w:numPr>
          <w:ilvl w:val="0"/>
          <w:numId w:val="1012"/>
        </w:numPr>
      </w:pPr>
      <w:r>
        <w:rPr>
          <w:b/>
          <w:bCs/>
        </w:rPr>
        <w:t xml:space="preserve">No censoring</w:t>
      </w:r>
      <w:r>
        <w:t xml:space="preserve"> </w:t>
      </w:r>
      <w:r>
        <w:t xml:space="preserve">is applied (other than administrative end of follow-up),</w:t>
      </w:r>
    </w:p>
    <w:p>
      <w:pPr>
        <w:pStyle w:val="Compact"/>
        <w:numPr>
          <w:ilvl w:val="0"/>
          <w:numId w:val="1012"/>
        </w:numPr>
      </w:pPr>
      <w:r>
        <w:t xml:space="preserve">analyses are performed on the resulting fixed risk sets.</w:t>
      </w:r>
    </w:p>
    <w:p>
      <w:pPr>
        <w:pStyle w:val="FirstParagraph"/>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6"/>
    <w:bookmarkStart w:id="39"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37"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7"/>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t xml:space="preserve">Observed cumulative hazards are accumulated over event time after an optional stabilization skip (§2.7):</w:t>
      </w:r>
    </w:p>
    <w:bookmarkStart w:id="38"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8"/>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39"/>
    <w:bookmarkStart w:id="86" w:name="Xac986e115b315a486d7d296f1ed82bc5da7c6c5"/>
    <w:p>
      <w:pPr>
        <w:pStyle w:val="Heading2"/>
      </w:pPr>
      <w:r>
        <w:t xml:space="preserve">2.4 Selection model: gamma frailty and depletion normalization</w:t>
      </w:r>
    </w:p>
    <w:bookmarkStart w:id="41"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40"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40"/>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41"/>
    <w:bookmarkStart w:id="45" w:name="gamma-frailty-identity-and-inversion"/>
    <w:p>
      <w:pPr>
        <w:pStyle w:val="Heading3"/>
      </w:pPr>
      <w:r>
        <w:t xml:space="preserve">2.4.2 Gamma-frailty identity and inversion</w:t>
      </w:r>
    </w:p>
    <w:p>
      <w:pPr>
        <w:pStyle w:val="FirstParagraph"/>
      </w:pPr>
      <w:r>
        <w:t xml:space="preserve">Let</w:t>
      </w:r>
    </w:p>
    <w:bookmarkStart w:id="42"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42"/>
    <w:p>
      <w:pPr>
        <w:pStyle w:val="BodyText"/>
      </w:pPr>
      <w:r>
        <w:t xml:space="preserve">denote the baseline cumulative hazard. Integrating over gamma frailty yields the gamma-frailty identity</w:t>
      </w:r>
    </w:p>
    <w:bookmarkStart w:id="43"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3"/>
    <w:p>
      <w:pPr>
        <w:pStyle w:val="BodyText"/>
      </w:pPr>
      <w:r>
        <w:t xml:space="preserve">which can be inverted exactly as</w:t>
      </w:r>
    </w:p>
    <w:bookmarkStart w:id="44"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4"/>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5"/>
    <w:bookmarkStart w:id="47"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6"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6"/>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7"/>
    <w:bookmarkStart w:id="48"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p>
      <w:r>
        <w:pict>
          <v:rect style="width:0;height:1.5pt" o:hralign="center" o:hrstd="t" o:hr="t"/>
        </w:pict>
      </w:r>
    </w:p>
    <w:bookmarkEnd w:id="48"/>
    <w:bookmarkStart w:id="53"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49"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49"/>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0"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50"/>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2"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3"/>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3"/>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3"/>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1"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11</m:t>
        </m:r>
        <m:r>
          <m:rPr>
            <m:sty m:val="p"/>
          </m:rPr>
          <m:t>)</m:t>
        </m:r>
      </m:oMath>
    </w:p>
    <w:bookmarkEnd w:id="51"/>
    <w:p>
      <w:pPr>
        <w:pStyle w:val="BodyText"/>
      </w:pPr>
      <w:r>
        <w:t xml:space="preserve">Equation {#eq:hazard-from-mr-improved} is a second-order accurate midpoint approximation to the integrated hazard over a discrete interval under a piecewise-constant hazard assumption.</w:t>
      </w:r>
      <w:r>
        <w:t xml:space="preserve"> </w:t>
      </w:r>
      <w:r>
        <w:t xml:space="preserve">For small</w:t>
      </w:r>
      <w:r>
        <w:t xml:space="preserve"> </w:t>
      </w:r>
      <m:oMath>
        <m:sSub>
          <m:e>
            <m:r>
              <m:rPr>
                <m:sty m:val="p"/>
              </m:rPr>
              <m:t>M</m:t>
            </m:r>
            <m:r>
              <m:rPr>
                <m:sty m:val="p"/>
              </m:rPr>
              <m:t>R</m:t>
            </m:r>
          </m:e>
          <m:sub>
            <m:r>
              <m:t>d</m:t>
            </m:r>
            <m:r>
              <m:rPr>
                <m:sty m:val="p"/>
              </m:rPr>
              <m:t>,</m:t>
            </m:r>
            <m:r>
              <m:t>t</m:t>
            </m:r>
          </m:sub>
        </m:sSub>
      </m:oMath>
      <w:r>
        <w:t xml:space="preserve"> </w:t>
      </w:r>
      <w:r>
        <w:t xml:space="preserve">it reduces to the standard Nelson–Aalen increment</w:t>
      </w:r>
      <w:r>
        <w:t xml:space="preserve"> </w:t>
      </w:r>
      <m:oMath>
        <m:r>
          <m:rPr>
            <m:sty m:val="p"/>
          </m:rPr>
          <m:t>Δ</m:t>
        </m:r>
        <m:acc>
          <m:accPr>
            <m:chr m:val="̂"/>
          </m:accPr>
          <m:e>
            <m:r>
              <m:t>H</m:t>
            </m:r>
          </m:e>
        </m:acc>
        <m:r>
          <m:rPr>
            <m:sty m:val="p"/>
          </m:rPr>
          <m:t>(</m:t>
        </m:r>
        <m:r>
          <m:t>t</m:t>
        </m:r>
        <m:r>
          <m:rPr>
            <m:sty m:val="p"/>
          </m:rPr>
          <m:t>)</m:t>
        </m:r>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while exhibiting reduced discretization bias at weekly resolution.</w:t>
      </w:r>
      <w:r>
        <w:t xml:space="preserve"> </w:t>
      </w:r>
      <w:r>
        <w:t xml:space="preserve">All validation analyses were replicated using the Nelson–Aalen increment, yielding indistinguishable KCOR trajectories.</w:t>
      </w:r>
    </w:p>
    <w:p>
      <w:pPr>
        <w:pStyle w:val="Compact"/>
        <w:numPr>
          <w:ilvl w:val="0"/>
          <w:numId w:val="1014"/>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4"/>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2"/>
    <w:bookmarkEnd w:id="53"/>
    <w:bookmarkStart w:id="58"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4"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12</m:t>
        </m:r>
        <m:r>
          <m:rPr>
            <m:sty m:val="p"/>
          </m:rPr>
          <m:t>)</m:t>
        </m:r>
      </m:oMath>
    </w:p>
    <w:bookmarkEnd w:id="54"/>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5"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13</m:t>
        </m:r>
        <m:r>
          <m:rPr>
            <m:sty m:val="p"/>
          </m:rPr>
          <m:t>)</m:t>
        </m:r>
      </m:oMath>
    </w:p>
    <w:bookmarkEnd w:id="55"/>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6"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6"/>
    <w:bookmarkStart w:id="57"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5"/>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5"/>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6"/>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7"/>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7"/>
    <w:bookmarkEnd w:id="58"/>
    <w:bookmarkStart w:id="60"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59"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14</m:t>
        </m:r>
        <m:r>
          <m:rPr>
            <m:sty m:val="p"/>
          </m:rPr>
          <m:t>)</m:t>
        </m:r>
      </m:oMath>
    </w:p>
    <w:bookmarkEnd w:id="59"/>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0"/>
    <w:bookmarkStart w:id="62"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1"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15</m:t>
        </m:r>
        <m:r>
          <m:rPr>
            <m:sty m:val="p"/>
          </m:rPr>
          <m:t>)</m:t>
        </m:r>
      </m:oMath>
    </w:p>
    <w:bookmarkEnd w:id="61"/>
    <w:p>
      <w:pPr>
        <w:pStyle w:val="BodyText"/>
      </w:pPr>
      <w:r>
        <w:t xml:space="preserve">This is a cumulative comparison in hazard space after removing cohort-specific selection-induced depletion dynamics estimated during quiet periods.</w:t>
      </w:r>
    </w:p>
    <w:bookmarkEnd w:id="62"/>
    <w:bookmarkStart w:id="64"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bookmarkStart w:id="63"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18"/>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18"/>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18"/>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18"/>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18"/>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3"/>
    <w:bookmarkEnd w:id="64"/>
    <w:bookmarkStart w:id="70"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5"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5"/>
    <w:bookmarkStart w:id="69"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7" name="Picture"/>
            <a:graphic>
              <a:graphicData uri="http://schemas.openxmlformats.org/drawingml/2006/picture">
                <pic:pic>
                  <pic:nvPicPr>
                    <pic:cNvPr descr="figures/fig_kcor_workflow.png" id="68" name="Picture"/>
                    <pic:cNvPicPr>
                      <a:picLocks noChangeArrowheads="1" noChangeAspect="1"/>
                    </pic:cNvPicPr>
                  </pic:nvPicPr>
                  <pic:blipFill>
                    <a:blip r:embed="rId66"/>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69"/>
    <w:bookmarkEnd w:id="70"/>
    <w:bookmarkStart w:id="82"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Accordingly, Cox results are presented here only as a diagnostic demonstration of assumption failure,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80"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19"/>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19"/>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1"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1"/>
    <w:bookmarkStart w:id="75"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3" name="Picture"/>
            <a:graphic>
              <a:graphicData uri="http://schemas.openxmlformats.org/drawingml/2006/picture">
                <pic:pic>
                  <pic:nvPicPr>
                    <pic:cNvPr descr="figures/fig_cox_bias_hr_vs_theta.png" id="74" name="Picture"/>
                    <pic:cNvPicPr>
                      <a:picLocks noChangeArrowheads="1" noChangeAspect="1"/>
                    </pic:cNvPicPr>
                  </pic:nvPicPr>
                  <pic:blipFill>
                    <a:blip r:embed="rId72"/>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5"/>
    <w:bookmarkStart w:id="79"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77" name="Picture"/>
            <a:graphic>
              <a:graphicData uri="http://schemas.openxmlformats.org/drawingml/2006/picture">
                <pic:pic>
                  <pic:nvPicPr>
                    <pic:cNvPr descr="figures/fig_cox_bias_kcor_vs_theta.png" id="78" name="Picture"/>
                    <pic:cNvPicPr>
                      <a:picLocks noChangeArrowheads="1" noChangeAspect="1"/>
                    </pic:cNvPicPr>
                  </pic:nvPicPr>
                  <pic:blipFill>
                    <a:blip r:embed="rId76"/>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79"/>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motivating cumulative-hazard–based normalization when selection-induced curvature is present.</w:t>
      </w:r>
    </w:p>
    <w:bookmarkEnd w:id="80"/>
    <w:bookmarkStart w:id="81"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81"/>
    <w:bookmarkEnd w:id="82"/>
    <w:bookmarkStart w:id="83"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83"/>
    <w:bookmarkStart w:id="84"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4"/>
    <w:bookmarkStart w:id="85"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bookmarkEnd w:id="85"/>
    <w:bookmarkEnd w:id="86"/>
    <w:bookmarkStart w:id="142"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0"/>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0"/>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bookmarkStart w:id="103" w:name="X250d2743dd947cd04209f9dc9cf02b545517230"/>
    <w:p>
      <w:pPr>
        <w:pStyle w:val="Heading3"/>
      </w:pPr>
      <w:r>
        <w:t xml:space="preserve">3.1 Negative controls: null under selection-induced curvature</w:t>
      </w:r>
    </w:p>
    <w:bookmarkStart w:id="92"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1"/>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1"/>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1"/>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91"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2"/>
        </w:numPr>
      </w:pPr>
      <w:r>
        <w:t xml:space="preserve">Time unit: weeks.</w:t>
      </w:r>
    </w:p>
    <w:p>
      <w:pPr>
        <w:pStyle w:val="Compact"/>
        <w:numPr>
          <w:ilvl w:val="0"/>
          <w:numId w:val="1022"/>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2"/>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2"/>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90"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88" name="Picture"/>
            <a:graphic>
              <a:graphicData uri="http://schemas.openxmlformats.org/drawingml/2006/picture">
                <pic:pic>
                  <pic:nvPicPr>
                    <pic:cNvPr descr="figures/fig_neg_control_synthetic.png" id="89" name="Picture"/>
                    <pic:cNvPicPr>
                      <a:picLocks noChangeArrowheads="1" noChangeAspect="1"/>
                    </pic:cNvPicPr>
                  </pic:nvPicPr>
                  <pic:blipFill>
                    <a:blip r:embed="rId87"/>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90"/>
    <w:bookmarkEnd w:id="91"/>
    <w:bookmarkEnd w:id="92"/>
    <w:bookmarkStart w:id="102"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6"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Uncertainty bands (95% bootstrap intervals) are shown. Data source: Czech Republic mortality and vaccination dataset processed into KCOR_CMR aggregated format (negative-control construction; see Appendix B.2).12" title="" id="94" name="Picture"/>
            <a:graphic>
              <a:graphicData uri="http://schemas.openxmlformats.org/drawingml/2006/picture">
                <pic:pic>
                  <pic:nvPicPr>
                    <pic:cNvPr descr="figures/fig2_neg_control_10yr_age_diff.png" id="95" name="Picture"/>
                    <pic:cNvPicPr>
                      <a:picLocks noChangeArrowheads="1" noChangeAspect="1"/>
                    </pic:cNvPicPr>
                  </pic:nvPicPr>
                  <pic:blipFill>
                    <a:blip r:embed="rId93"/>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Uncertainty bands (95% bootstrap intervals) are shown. Data source: Czech Republic mortality and vaccination dataset processed into KCOR_CMR aggregated format (negative-control construction; see Appendix B.2).</w:t>
      </w:r>
      <w:r>
        <w:rPr>
          <w:vertAlign w:val="superscript"/>
        </w:rPr>
        <w:t xml:space="preserve">12</w:t>
      </w:r>
    </w:p>
    <w:bookmarkEnd w:id="96"/>
    <w:bookmarkStart w:id="100"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Uncertainty bands (95% bootstrap intervals) are shown. Data source: Czech Republic mortality and vaccination dataset processed into KCOR_CMR aggregated format (negative-control construction; see Appendix B.2)." title="" id="98" name="Picture"/>
            <a:graphic>
              <a:graphicData uri="http://schemas.openxmlformats.org/drawingml/2006/picture">
                <pic:pic>
                  <pic:nvPicPr>
                    <pic:cNvPr descr="figures/fig3_neg_control_20yr_age_diff.png" id="99" name="Picture"/>
                    <pic:cNvPicPr>
                      <a:picLocks noChangeArrowheads="1" noChangeAspect="1"/>
                    </pic:cNvPicPr>
                  </pic:nvPicPr>
                  <pic:blipFill>
                    <a:blip r:embed="rId97"/>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Uncertainty bands (95% bootstrap intervals) are shown. Data source: Czech Republic mortality and vaccination dataset processed into KCOR_CMR aggregated format (negative-control construction; see Appendix B.2).</w:t>
      </w:r>
    </w:p>
    <w:bookmarkEnd w:id="100"/>
    <w:p>
      <w:pPr>
        <w:pStyle w:val="BodyText"/>
      </w:pPr>
      <w:r>
        <w:t xml:space="preserve">Table 7 provides numeric summaries.</w:t>
      </w:r>
    </w:p>
    <w:bookmarkStart w:id="101"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1"/>
    <w:bookmarkEnd w:id="102"/>
    <w:bookmarkEnd w:id="103"/>
    <w:bookmarkStart w:id="110"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4"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16</m:t>
        </m:r>
        <m:r>
          <m:rPr>
            <m:sty m:val="p"/>
          </m:rPr>
          <m:t>)</m:t>
        </m:r>
      </m:oMath>
    </w:p>
    <w:bookmarkEnd w:id="104"/>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08"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06" name="Picture"/>
            <a:graphic>
              <a:graphicData uri="http://schemas.openxmlformats.org/drawingml/2006/picture">
                <pic:pic>
                  <pic:nvPicPr>
                    <pic:cNvPr descr="figures/fig_pos_control_injected.png" id="107" name="Picture"/>
                    <pic:cNvPicPr>
                      <a:picLocks noChangeArrowheads="1" noChangeAspect="1"/>
                    </pic:cNvPicPr>
                  </pic:nvPicPr>
                  <pic:blipFill>
                    <a:blip r:embed="rId105"/>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08"/>
    <w:bookmarkStart w:id="109"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09"/>
    <w:bookmarkEnd w:id="110"/>
    <w:bookmarkStart w:id="116"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3"/>
        </w:numPr>
      </w:pPr>
      <w:r>
        <w:t xml:space="preserve">Quiet-window selection (calendar ISO-week bounds)</w:t>
      </w:r>
    </w:p>
    <w:p>
      <w:pPr>
        <w:pStyle w:val="Compact"/>
        <w:numPr>
          <w:ilvl w:val="0"/>
          <w:numId w:val="1023"/>
        </w:numPr>
      </w:pPr>
      <w:r>
        <w:t xml:space="preserve">Stabilization skip (early-bin handling)</w:t>
      </w:r>
    </w:p>
    <w:p>
      <w:pPr>
        <w:pStyle w:val="Compact"/>
        <w:numPr>
          <w:ilvl w:val="0"/>
          <w:numId w:val="1023"/>
        </w:numPr>
      </w:pPr>
      <w:r>
        <w:t xml:space="preserve">Time-binning resolution</w:t>
      </w:r>
    </w:p>
    <w:p>
      <w:pPr>
        <w:pStyle w:val="Compact"/>
        <w:numPr>
          <w:ilvl w:val="0"/>
          <w:numId w:val="1023"/>
        </w:numPr>
      </w:pPr>
      <w:r>
        <w:t xml:space="preserve">Age stratification and/or stratified analyses where appropriate</w:t>
      </w:r>
    </w:p>
    <w:p>
      <w:pPr>
        <w:pStyle w:val="Compact"/>
        <w:numPr>
          <w:ilvl w:val="0"/>
          <w:numId w:val="1023"/>
        </w:numPr>
      </w:pPr>
      <w:r>
        <w:t xml:space="preserve">Baseline shape choice (default constant baseline over the fit window; alternatives can be assessed as sensitivity)</w:t>
      </w:r>
    </w:p>
    <w:p>
      <w:pPr>
        <w:pStyle w:val="FirstParagraph"/>
      </w:pPr>
      <w:r>
        <w:t xml:space="preserve">Figure 8 summarizes KCOR stability across the parameter grid.</w:t>
      </w:r>
    </w:p>
    <w:bookmarkStart w:id="114"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12" name="Picture"/>
            <a:graphic>
              <a:graphicData uri="http://schemas.openxmlformats.org/drawingml/2006/picture">
                <pic:pic>
                  <pic:nvPicPr>
                    <pic:cNvPr descr="figures/fig_sensitivity_overview.png" id="113" name="Picture"/>
                    <pic:cNvPicPr>
                      <a:picLocks noChangeArrowheads="1" noChangeAspect="1"/>
                    </pic:cNvPicPr>
                  </pic:nvPicPr>
                  <pic:blipFill>
                    <a:blip r:embed="rId111"/>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14"/>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15"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4"/>
        </w:numPr>
      </w:pPr>
      <w:r>
        <w:rPr>
          <w:b/>
          <w:bCs/>
        </w:rPr>
        <w:t xml:space="preserve">Gamma</w:t>
      </w:r>
      <w:r>
        <w:t xml:space="preserve"> </w:t>
      </w:r>
      <w:r>
        <w:t xml:space="preserve">(baseline reference)</w:t>
      </w:r>
    </w:p>
    <w:p>
      <w:pPr>
        <w:pStyle w:val="Compact"/>
        <w:numPr>
          <w:ilvl w:val="0"/>
          <w:numId w:val="1024"/>
        </w:numPr>
      </w:pPr>
      <w:r>
        <w:rPr>
          <w:b/>
          <w:bCs/>
        </w:rPr>
        <w:t xml:space="preserve">Lognormal</w:t>
      </w:r>
      <w:r>
        <w:t xml:space="preserve"> </w:t>
      </w:r>
      <w:r>
        <w:t xml:space="preserve">frailty</w:t>
      </w:r>
    </w:p>
    <w:p>
      <w:pPr>
        <w:pStyle w:val="Compact"/>
        <w:numPr>
          <w:ilvl w:val="0"/>
          <w:numId w:val="1024"/>
        </w:numPr>
      </w:pPr>
      <w:r>
        <w:rPr>
          <w:b/>
          <w:bCs/>
        </w:rPr>
        <w:t xml:space="preserve">Two-point mixture</w:t>
      </w:r>
      <w:r>
        <w:t xml:space="preserve"> </w:t>
      </w:r>
      <w:r>
        <w:t xml:space="preserve">(discrete frailty)</w:t>
      </w:r>
    </w:p>
    <w:p>
      <w:pPr>
        <w:pStyle w:val="Compact"/>
        <w:numPr>
          <w:ilvl w:val="0"/>
          <w:numId w:val="1024"/>
        </w:numPr>
      </w:pPr>
      <w:r>
        <w:rPr>
          <w:b/>
          <w:bCs/>
        </w:rPr>
        <w:t xml:space="preserve">Bimodal</w:t>
      </w:r>
      <w:r>
        <w:t xml:space="preserve"> </w:t>
      </w:r>
      <w:r>
        <w:t xml:space="preserve">frailty distributions</w:t>
      </w:r>
    </w:p>
    <w:p>
      <w:pPr>
        <w:pStyle w:val="Compact"/>
        <w:numPr>
          <w:ilvl w:val="0"/>
          <w:numId w:val="1024"/>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fails gracefully by attenuating toward unity or by failing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15"/>
    <w:bookmarkEnd w:id="116"/>
    <w:bookmarkStart w:id="139"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See Figures 9 and 10 below.</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0"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18" name="Picture"/>
            <a:graphic>
              <a:graphicData uri="http://schemas.openxmlformats.org/drawingml/2006/picture">
                <pic:pic>
                  <pic:nvPicPr>
                    <pic:cNvPr descr="figures/fig_sim_grid_overview.png" id="119" name="Picture"/>
                    <pic:cNvPicPr>
                      <a:picLocks noChangeArrowheads="1" noChangeAspect="1"/>
                    </pic:cNvPicPr>
                  </pic:nvPicPr>
                  <pic:blipFill>
                    <a:blip r:embed="rId117"/>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20"/>
    <w:bookmarkStart w:id="124"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22" name="Picture"/>
            <a:graphic>
              <a:graphicData uri="http://schemas.openxmlformats.org/drawingml/2006/picture">
                <pic:pic>
                  <pic:nvPicPr>
                    <pic:cNvPr descr="figures/fig_sim_grid_diagnostics.png" id="123" name="Picture"/>
                    <pic:cNvPicPr>
                      <a:picLocks noChangeArrowheads="1" noChangeAspect="1"/>
                    </pic:cNvPicPr>
                  </pic:nvPicPr>
                  <pic:blipFill>
                    <a:blip r:embed="rId121"/>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24"/>
    <w:bookmarkStart w:id="128"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26" name="Picture"/>
            <a:graphic>
              <a:graphicData uri="http://schemas.openxmlformats.org/drawingml/2006/picture">
                <pic:pic>
                  <pic:nvPicPr>
                    <pic:cNvPr descr="figures/fig_s7_overview.png" id="127" name="Picture"/>
                    <pic:cNvPicPr>
                      <a:picLocks noChangeArrowheads="1" noChangeAspect="1"/>
                    </pic:cNvPicPr>
                  </pic:nvPicPr>
                  <pic:blipFill>
                    <a:blip r:embed="rId125"/>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28"/>
    <w:bookmarkStart w:id="132"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30" name="Picture"/>
            <a:graphic>
              <a:graphicData uri="http://schemas.openxmlformats.org/drawingml/2006/picture">
                <pic:pic>
                  <pic:nvPicPr>
                    <pic:cNvPr descr="figures/fig_s7_diagnostics.png" id="131" name="Picture"/>
                    <pic:cNvPicPr>
                      <a:picLocks noChangeArrowheads="1" noChangeAspect="1"/>
                    </pic:cNvPicPr>
                  </pic:nvPicPr>
                  <pic:blipFill>
                    <a:blip r:embed="rId129"/>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32"/>
    <w:bookmarkStart w:id="136"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34" name="Picture"/>
            <a:graphic>
              <a:graphicData uri="http://schemas.openxmlformats.org/drawingml/2006/picture">
                <pic:pic>
                  <pic:nvPicPr>
                    <pic:cNvPr descr="figures/fig_skip_weeks_sensitivity.png" id="135" name="Picture"/>
                    <pic:cNvPicPr>
                      <a:picLocks noChangeArrowheads="1" noChangeAspect="1"/>
                    </pic:cNvPicPr>
                  </pic:nvPicPr>
                  <pic:blipFill>
                    <a:blip r:embed="rId133"/>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6"/>
    <w:p>
      <w:pPr>
        <w:pStyle w:val="BodyText"/>
      </w:pPr>
      <w:r>
        <w:rPr>
          <w:b/>
          <w:bCs/>
        </w:rPr>
        <w:t xml:space="preserve">Comparison with alternative estimands.</w:t>
      </w:r>
      <w:r>
        <w:br/>
      </w:r>
      <w:r>
        <w:t xml:space="preserve">Table 9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9,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9).</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9). Across selection-only scenarios, KCOR was the only estimand whose median deviation from the null remained approximately zero across the full frailty grid, whereas RMST and time-varying Cox produced systematic non-null contrasts that increased with frailty strength (Table 9).</w:t>
      </w:r>
    </w:p>
    <w:bookmarkStart w:id="137" w:name="tbl:comparison_estimands"/>
    <w:p>
      <w:pPr>
        <w:pStyle w:val="TableCaption"/>
      </w:pPr>
      <w:r>
        <w:t xml:space="preserve">Table 9.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9.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 (time-varying)</w:t>
            </w:r>
            <w:r>
              <w:t xml:space="preserve"> </w:t>
            </w:r>
            <w:r>
              <w:t xml:space="preserve">(diagnostic comparator)</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37"/>
    <w:p/>
    <w:bookmarkStart w:id="138" w:name="tbl:bootstrap_coverage"/>
    <w:p>
      <w:pPr>
        <w:pStyle w:val="TableCaption"/>
      </w:pPr>
      <w:r>
        <w:t xml:space="preserve">Table 10.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0.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38"/>
    <w:bookmarkEnd w:id="139"/>
    <w:bookmarkStart w:id="140"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40"/>
    <w:bookmarkStart w:id="141"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As a validation check, adequacy of the gamma-frailty normalization was assessed using quiet-window fit diagnostics, including the estimated frailty variance, residual dispersion, maximum deviation from linearity, and residual drift per year. For the all-ages cohort—which represents the most heterogeneous and challenging case—these diagnostics showed minimal residual curvature and negligible drift, indicating that gamma frailty adequately explains the observed hazard curvature during the quiet window. Full diagnostic outputs for all cohorts are reported in KCOR_summary.xlsx.</w:t>
      </w:r>
    </w:p>
    <w:bookmarkEnd w:id="141"/>
    <w:bookmarkEnd w:id="142"/>
    <w:bookmarkStart w:id="148" w:name="discussion"/>
    <w:p>
      <w:pPr>
        <w:pStyle w:val="Heading2"/>
      </w:pPr>
      <w:r>
        <w:t xml:space="preserve">4. Discussion</w:t>
      </w:r>
    </w:p>
    <w:p>
      <w:pPr>
        <w:pStyle w:val="FirstParagraph"/>
      </w:pPr>
      <w:r>
        <w:t xml:space="preserve">In this discussion, KCOR is understood as a normalization-and-comparison framework designed to remove selection-induced depletion curvature in cumulative-hazard space and then report a cumulative cohort contrast (KCOR). It does not claim to identify a treatment-specific causal effect under arbitrary baseline and time-varying confounding, and it should be interpreted in conjunction with prespecified controls, diagnostics, and sensitivity analyses.</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43"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43"/>
    <w:bookmarkStart w:id="144"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5"/>
        </w:numPr>
      </w:pPr>
      <w:r>
        <w:t xml:space="preserve">selection-induced depletion dynamics can be estimated during quiet periods using a gamma-frailty mixture model, and</w:t>
      </w:r>
    </w:p>
    <w:p>
      <w:pPr>
        <w:pStyle w:val="Compact"/>
        <w:numPr>
          <w:ilvl w:val="0"/>
          <w:numId w:val="1025"/>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44"/>
    <w:bookmarkStart w:id="14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45"/>
    <w:bookmarkStart w:id="14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6"/>
        </w:numPr>
      </w:pPr>
      <w:r>
        <w:t xml:space="preserve">Enrollment definition and justification</w:t>
      </w:r>
    </w:p>
    <w:p>
      <w:pPr>
        <w:pStyle w:val="Compact"/>
        <w:numPr>
          <w:ilvl w:val="0"/>
          <w:numId w:val="1026"/>
        </w:numPr>
      </w:pPr>
      <w:r>
        <w:t xml:space="preserve">Risk set definitions and event-time binning</w:t>
      </w:r>
    </w:p>
    <w:p>
      <w:pPr>
        <w:pStyle w:val="Compact"/>
        <w:numPr>
          <w:ilvl w:val="0"/>
          <w:numId w:val="1026"/>
        </w:numPr>
      </w:pPr>
      <w:r>
        <w:t xml:space="preserve">Quiet-window definition and justification</w:t>
      </w:r>
    </w:p>
    <w:p>
      <w:pPr>
        <w:pStyle w:val="Compact"/>
        <w:numPr>
          <w:ilvl w:val="0"/>
          <w:numId w:val="1026"/>
        </w:numPr>
      </w:pPr>
      <w:r>
        <w:t xml:space="preserve">Baseline-shape choice (default constant baseline over the fit window) and fit diagnostics</w:t>
      </w:r>
    </w:p>
    <w:p>
      <w:pPr>
        <w:pStyle w:val="Compact"/>
        <w:numPr>
          <w:ilvl w:val="0"/>
          <w:numId w:val="1026"/>
        </w:numPr>
      </w:pPr>
      <w:r>
        <w:t xml:space="preserve">Skip/stabilization rule and robustness to nearby values</w:t>
      </w:r>
    </w:p>
    <w:p>
      <w:pPr>
        <w:pStyle w:val="Compact"/>
        <w:numPr>
          <w:ilvl w:val="0"/>
          <w:numId w:val="1026"/>
        </w:numPr>
      </w:pPr>
      <w:r>
        <w:t xml:space="preserve">Predefined negative/positive controls used for validation</w:t>
      </w:r>
    </w:p>
    <w:p>
      <w:pPr>
        <w:pStyle w:val="Compact"/>
        <w:numPr>
          <w:ilvl w:val="0"/>
          <w:numId w:val="1026"/>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6"/>
    <w:bookmarkStart w:id="147"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7"/>
    <w:bookmarkEnd w:id="148"/>
    <w:bookmarkStart w:id="152" w:name="limitations"/>
    <w:p>
      <w:pPr>
        <w:pStyle w:val="Heading2"/>
      </w:pPr>
      <w:r>
        <w:t xml:space="preserve">5. Limitations</w:t>
      </w:r>
    </w:p>
    <w:p>
      <w:pPr>
        <w:pStyle w:val="Compact"/>
        <w:numPr>
          <w:ilvl w:val="0"/>
          <w:numId w:val="1027"/>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7"/>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7"/>
        </w:numPr>
      </w:pPr>
      <w:r>
        <w:rPr>
          <w:b/>
          <w:bCs/>
        </w:rPr>
        <w:t xml:space="preserve">θ estimation is data-driven</w:t>
      </w:r>
      <w:r>
        <w:t xml:space="preserve">: KCOR does not impose θ = 0 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7"/>
        </w:numPr>
      </w:pPr>
      <w:r>
        <w:rPr>
          <w:b/>
          <w:bCs/>
        </w:rPr>
        <w:t xml:space="preserve">Sparse events</w:t>
      </w:r>
      <w:r>
        <w:t xml:space="preserve">: When event counts are small, hazard estimation and parameter fitting can be unstable.</w:t>
      </w:r>
    </w:p>
    <w:p>
      <w:pPr>
        <w:pStyle w:val="Compact"/>
        <w:numPr>
          <w:ilvl w:val="0"/>
          <w:numId w:val="1027"/>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7"/>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7"/>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9"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8"/>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28"/>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8"/>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28"/>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9"/>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9"/>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29"/>
        </w:numPr>
      </w:pPr>
      <w:r>
        <w:rPr>
          <w:b/>
          <w:bCs/>
        </w:rPr>
        <w:t xml:space="preserve">Sensitivity analyses</w:t>
      </w:r>
      <w:r>
        <w:t xml:space="preserve"> </w:t>
      </w:r>
      <w:r>
        <w:t xml:space="preserve">over plausible quiet windows and skip-weeks values.</w:t>
      </w:r>
    </w:p>
    <w:p>
      <w:pPr>
        <w:pStyle w:val="Compact"/>
        <w:numPr>
          <w:ilvl w:val="0"/>
          <w:numId w:val="1029"/>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9"/>
    <w:bookmarkStart w:id="150"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50"/>
    <w:bookmarkStart w:id="151"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51"/>
    <w:bookmarkEnd w:id="152"/>
    <w:bookmarkStart w:id="153"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53"/>
    <w:bookmarkStart w:id="164" w:name="declarations"/>
    <w:p>
      <w:pPr>
        <w:pStyle w:val="Heading2"/>
      </w:pPr>
      <w:r>
        <w:t xml:space="preserve">Declarations</w:t>
      </w:r>
    </w:p>
    <w:bookmarkStart w:id="154"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54"/>
    <w:bookmarkStart w:id="155" w:name="consent-for-publication"/>
    <w:p>
      <w:pPr>
        <w:pStyle w:val="Heading3"/>
      </w:pPr>
      <w:r>
        <w:t xml:space="preserve">Consent for publication</w:t>
      </w:r>
    </w:p>
    <w:p>
      <w:pPr>
        <w:pStyle w:val="FirstParagraph"/>
      </w:pPr>
      <w:r>
        <w:t xml:space="preserve">Not applicable.</w:t>
      </w:r>
    </w:p>
    <w:bookmarkEnd w:id="155"/>
    <w:bookmarkStart w:id="156"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0"/>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0"/>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0"/>
        </w:numPr>
      </w:pPr>
      <w:r>
        <w:t xml:space="preserve">The reference implementation includes example datasets in KCOR_CMR format for reproducibility.</w:t>
      </w:r>
    </w:p>
    <w:p>
      <w:pPr>
        <w:pStyle w:val="Compact"/>
        <w:numPr>
          <w:ilvl w:val="0"/>
          <w:numId w:val="1030"/>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6"/>
    <w:bookmarkStart w:id="159" w:name="code-availability"/>
    <w:p>
      <w:pPr>
        <w:pStyle w:val="Heading3"/>
      </w:pPr>
      <w:r>
        <w:t xml:space="preserve">Code availability</w:t>
      </w:r>
    </w:p>
    <w:p>
      <w:pPr>
        <w:pStyle w:val="Compact"/>
        <w:numPr>
          <w:ilvl w:val="0"/>
          <w:numId w:val="1031"/>
        </w:numPr>
      </w:pPr>
      <w:r>
        <w:t xml:space="preserve">The KCOR reference implementation and complete validation suite are available in the project repository.</w:t>
      </w:r>
    </w:p>
    <w:p>
      <w:pPr>
        <w:pStyle w:val="Compact"/>
        <w:numPr>
          <w:ilvl w:val="0"/>
          <w:numId w:val="1031"/>
        </w:numPr>
      </w:pPr>
      <w:r>
        <w:t xml:space="preserve">Repository URL:</w:t>
      </w:r>
      <w:r>
        <w:t xml:space="preserve"> </w:t>
      </w:r>
      <w:hyperlink r:id="rId157">
        <w:r>
          <w:rPr>
            <w:rStyle w:val="Hyperlink"/>
          </w:rPr>
          <w:t xml:space="preserve">https://github.com/skirsch/KCOR</w:t>
        </w:r>
      </w:hyperlink>
    </w:p>
    <w:p>
      <w:pPr>
        <w:pStyle w:val="Compact"/>
        <w:numPr>
          <w:ilvl w:val="0"/>
          <w:numId w:val="1031"/>
        </w:numPr>
      </w:pPr>
      <w:r>
        <w:t xml:space="preserve">Zenodo DOI:</w:t>
      </w:r>
      <w:r>
        <w:t xml:space="preserve"> </w:t>
      </w:r>
      <w:hyperlink r:id="rId158">
        <w:r>
          <w:rPr>
            <w:rStyle w:val="Hyperlink"/>
          </w:rPr>
          <w:t xml:space="preserve">10.5281/zenodo.18050329</w:t>
        </w:r>
      </w:hyperlink>
    </w:p>
    <w:p>
      <w:pPr>
        <w:pStyle w:val="Compact"/>
        <w:numPr>
          <w:ilvl w:val="0"/>
          <w:numId w:val="1031"/>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59"/>
    <w:bookmarkStart w:id="160" w:name="competing-interests"/>
    <w:p>
      <w:pPr>
        <w:pStyle w:val="Heading3"/>
      </w:pPr>
      <w:r>
        <w:t xml:space="preserve">Competing interests</w:t>
      </w:r>
    </w:p>
    <w:p>
      <w:pPr>
        <w:pStyle w:val="FirstParagraph"/>
      </w:pPr>
      <w:r>
        <w:t xml:space="preserve">The author is a board member of the Vaccine Safety Research Foundation.</w:t>
      </w:r>
    </w:p>
    <w:bookmarkEnd w:id="160"/>
    <w:bookmarkStart w:id="161" w:name="funding"/>
    <w:p>
      <w:pPr>
        <w:pStyle w:val="Heading3"/>
      </w:pPr>
      <w:r>
        <w:t xml:space="preserve">Funding</w:t>
      </w:r>
    </w:p>
    <w:p>
      <w:pPr>
        <w:pStyle w:val="FirstParagraph"/>
      </w:pPr>
      <w:r>
        <w:t xml:space="preserve">This research received no external funding.</w:t>
      </w:r>
    </w:p>
    <w:bookmarkEnd w:id="161"/>
    <w:bookmarkStart w:id="162"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62"/>
    <w:bookmarkStart w:id="163" w:name="acknowledgements"/>
    <w:p>
      <w:pPr>
        <w:pStyle w:val="Heading3"/>
      </w:pPr>
      <w:r>
        <w:t xml:space="preserve">Acknowledgements</w:t>
      </w:r>
    </w:p>
    <w:p>
      <w:pPr>
        <w:pStyle w:val="FirstParagraph"/>
      </w:pPr>
      <w:r>
        <w:t xml:space="preserve">The author thanks James Lyons-Weiler and Dr. Clare Craig for helpful discussions and methodological feedback during the development of this work. All errors remain the author’s responsibility.</w:t>
      </w:r>
    </w:p>
    <w:bookmarkEnd w:id="163"/>
    <w:bookmarkEnd w:id="164"/>
    <w:bookmarkStart w:id="189" w:name="references"/>
    <w:p>
      <w:pPr>
        <w:pStyle w:val="Heading2"/>
      </w:pPr>
      <w:r>
        <w:t xml:space="preserve">References</w:t>
      </w:r>
    </w:p>
    <w:bookmarkStart w:id="188" w:name="refs"/>
    <w:bookmarkStart w:id="166"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5">
        <w:r>
          <w:rPr>
            <w:rStyle w:val="Hyperlink"/>
          </w:rPr>
          <w:t xml:space="preserve">10.2307/2061224</w:t>
        </w:r>
      </w:hyperlink>
    </w:p>
    <w:bookmarkEnd w:id="166"/>
    <w:bookmarkStart w:id="168"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7">
        <w:r>
          <w:rPr>
            <w:rStyle w:val="Hyperlink"/>
          </w:rPr>
          <w:t xml:space="preserve">10.2147/CLEP.S468572</w:t>
        </w:r>
      </w:hyperlink>
    </w:p>
    <w:bookmarkEnd w:id="168"/>
    <w:bookmarkStart w:id="170"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9">
        <w:r>
          <w:rPr>
            <w:rStyle w:val="Hyperlink"/>
          </w:rPr>
          <w:t xml:space="preserve">10.7554/eLife.103690</w:t>
        </w:r>
      </w:hyperlink>
    </w:p>
    <w:bookmarkEnd w:id="170"/>
    <w:bookmarkStart w:id="172"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71">
        <w:r>
          <w:rPr>
            <w:rStyle w:val="Hyperlink"/>
          </w:rPr>
          <w:t xml:space="preserve">10.1093/biomet/81.3.515</w:t>
        </w:r>
      </w:hyperlink>
    </w:p>
    <w:bookmarkEnd w:id="172"/>
    <w:bookmarkStart w:id="174"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73">
        <w:r>
          <w:rPr>
            <w:rStyle w:val="Hyperlink"/>
          </w:rPr>
          <w:t xml:space="preserve">10.1214/aos/1176345976</w:t>
        </w:r>
      </w:hyperlink>
    </w:p>
    <w:bookmarkEnd w:id="174"/>
    <w:bookmarkStart w:id="176"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75">
        <w:r>
          <w:rPr>
            <w:rStyle w:val="Hyperlink"/>
          </w:rPr>
          <w:t xml:space="preserve">10.1002/sim.1203</w:t>
        </w:r>
      </w:hyperlink>
    </w:p>
    <w:bookmarkEnd w:id="176"/>
    <w:bookmarkStart w:id="178"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77">
        <w:r>
          <w:rPr>
            <w:rStyle w:val="Hyperlink"/>
          </w:rPr>
          <w:t xml:space="preserve">10.1002/sim.4780080803</w:t>
        </w:r>
      </w:hyperlink>
    </w:p>
    <w:bookmarkEnd w:id="178"/>
    <w:bookmarkStart w:id="180"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79">
        <w:r>
          <w:rPr>
            <w:rStyle w:val="Hyperlink"/>
          </w:rPr>
          <w:t xml:space="preserve">10.1093/biomet/81.1.61</w:t>
        </w:r>
      </w:hyperlink>
    </w:p>
    <w:bookmarkEnd w:id="180"/>
    <w:bookmarkStart w:id="182"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81">
        <w:r>
          <w:rPr>
            <w:rStyle w:val="Hyperlink"/>
          </w:rPr>
          <w:t xml:space="preserve">10.1111/j.1467-9469.2006.00529.x</w:t>
        </w:r>
      </w:hyperlink>
    </w:p>
    <w:bookmarkEnd w:id="182"/>
    <w:bookmarkStart w:id="184"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83">
        <w:r>
          <w:rPr>
            <w:rStyle w:val="Hyperlink"/>
          </w:rPr>
          <w:t xml:space="preserve">10.1097/00001648-200009000-00011</w:t>
        </w:r>
      </w:hyperlink>
    </w:p>
    <w:bookmarkEnd w:id="184"/>
    <w:bookmarkStart w:id="186"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85">
        <w:r>
          <w:rPr>
            <w:rStyle w:val="Hyperlink"/>
          </w:rPr>
          <w:t xml:space="preserve">10.1093/aje/kwn164</w:t>
        </w:r>
      </w:hyperlink>
    </w:p>
    <w:bookmarkEnd w:id="186"/>
    <w:bookmarkStart w:id="187"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87"/>
    <w:bookmarkEnd w:id="188"/>
    <w:bookmarkEnd w:id="189"/>
    <w:bookmarkStart w:id="248"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96" w:name="appendix-a.-mathematical-derivations"/>
    <w:p>
      <w:pPr>
        <w:pStyle w:val="Heading3"/>
      </w:pPr>
      <w:r>
        <w:t xml:space="preserve">Appendix A. Mathematical derivations</w:t>
      </w:r>
    </w:p>
    <w:bookmarkStart w:id="190"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where individual</w:t>
      </w:r>
      <w:r>
        <w:t xml:space="preserve"> </w:t>
      </w:r>
      <m:oMath>
        <m:r>
          <m:t>i</m:t>
        </m:r>
      </m:oMath>
      <w:r>
        <w:t xml:space="preserve"> </w:t>
      </w:r>
      <w:r>
        <w:t xml:space="preserve">has hazard</w:t>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oMath>
      <w:r>
        <w:t xml:space="preserve">, with frailty</w:t>
      </w:r>
      <w:r>
        <w:t xml:space="preserve"> </w:t>
      </w:r>
      <m:oMath>
        <m:sSub>
          <m:e>
            <m:r>
              <m:t>z</m:t>
            </m:r>
          </m:e>
          <m:sub>
            <m:r>
              <m:t>i</m:t>
            </m:r>
            <m:r>
              <m:rPr>
                <m:sty m:val="p"/>
              </m:rPr>
              <m:t>,</m:t>
            </m:r>
            <m:r>
              <m:t>d</m:t>
            </m:r>
          </m:sub>
        </m:sSub>
      </m:oMath>
      <w:r>
        <w:t xml:space="preserve"> </w:t>
      </w:r>
      <w:r>
        <w:t xml:space="preserve">drawn from a distribution with mean 1 and variance</w:t>
      </w:r>
      <w:r>
        <w:t xml:space="preserve"> </w:t>
      </w:r>
      <m:oMath>
        <m:sSub>
          <m:e>
            <m:r>
              <m:t>θ</m:t>
            </m:r>
          </m:e>
          <m:sub>
            <m:r>
              <m:t>d</m:t>
            </m:r>
          </m:sub>
        </m:sSub>
        <m:r>
          <m:rPr>
            <m:sty m:val="p"/>
          </m:rPr>
          <m:t>&gt;</m:t>
        </m:r>
        <m:r>
          <m:t>0</m:t>
        </m:r>
      </m:oMath>
      <w:r>
        <w:t xml:space="preserve">. Let</w:t>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 xml:space="preserve">be the individual survival function, where</w:t>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b>
            <m:e>
              <m:r>
                <m:t>E</m:t>
              </m:r>
            </m:e>
            <m:sub>
              <m:r>
                <m:t>z</m:t>
              </m:r>
            </m:sub>
          </m:sSub>
          <m:r>
            <m:rPr>
              <m:sty m:val="p"/>
            </m:rPr>
            <m:t>[</m:t>
          </m:r>
          <m:sSub>
            <m:e>
              <m:r>
                <m:t>S</m:t>
              </m:r>
            </m:e>
            <m:sub>
              <m:r>
                <m:t>i</m:t>
              </m:r>
              <m:r>
                <m:rPr>
                  <m:sty m:val="p"/>
                </m:rPr>
                <m:t>,</m:t>
              </m:r>
              <m:r>
                <m:t>d</m:t>
              </m:r>
            </m:sub>
          </m:sSub>
          <m:r>
            <m:rPr>
              <m:sty m:val="p"/>
            </m:rPr>
            <m:t>(</m:t>
          </m:r>
          <m:r>
            <m:t>t</m:t>
          </m:r>
          <m:r>
            <m:rPr>
              <m:sty m:val="p"/>
            </m:rPr>
            <m:t>)</m:t>
          </m:r>
          <m:r>
            <m:rPr>
              <m:sty m:val="p"/>
            </m:rPr>
            <m:t>]</m:t>
          </m:r>
          <m:r>
            <m:rPr>
              <m:sty m:val="p"/>
            </m:rPr>
            <m:t>=</m:t>
          </m:r>
          <m:sSub>
            <m:e>
              <m:r>
                <m:t>E</m:t>
              </m:r>
            </m:e>
            <m:sub>
              <m:r>
                <m:t>z</m:t>
              </m:r>
            </m:sub>
          </m:sSub>
          <m:r>
            <m:t>​</m:t>
          </m:r>
          <m:d>
            <m:dPr>
              <m:begChr m:val="["/>
              <m:sepChr m:val=""/>
              <m:endChr m:val="]"/>
              <m:grow/>
            </m:dPr>
            <m:e>
              <m:r>
                <m:rPr>
                  <m:sty m:val="p"/>
                </m:rPr>
                <m:t>exp</m:t>
              </m:r>
              <m:r>
                <m:t>​</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r>
            <m:t>​</m:t>
          </m:r>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rPr>
              <m:sty m:val="p"/>
            </m:rPr>
            <m:t>−</m:t>
          </m:r>
          <m:f>
            <m:fPr>
              <m:type m:val="bar"/>
            </m:fPr>
            <m:num>
              <m:r>
                <m:t>d</m:t>
              </m:r>
            </m:num>
            <m:den>
              <m:r>
                <m:t>d</m:t>
              </m:r>
              <m:r>
                <m:t>t</m:t>
              </m:r>
            </m:den>
          </m:f>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90"/>
    <w:bookmarkStart w:id="191"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(6) in the main text).</w:t>
      </w:r>
    </w:p>
    <w:bookmarkEnd w:id="191"/>
    <w:bookmarkStart w:id="192"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92"/>
    <w:bookmarkStart w:id="193"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93"/>
    <w:bookmarkStart w:id="194" w:name="X7ebe8ed6385dea6a688674d73c5f34d655b11b3"/>
    <w:p>
      <w:pPr>
        <w:pStyle w:val="Heading4"/>
      </w:pPr>
      <w:r>
        <w:t xml:space="preserve">A.4 Derivation and properties of Eq. (11)</w:t>
      </w:r>
    </w:p>
    <w:p>
      <w:pPr>
        <w:pStyle w:val="FirstParagraph"/>
      </w:pPr>
      <w:r>
        <w:t xml:space="preserve">Let</w:t>
      </w:r>
      <w:r>
        <w:t xml:space="preserve"> </w:t>
      </w:r>
      <m:oMath>
        <m:sSub>
          <m:e>
            <m:r>
              <m:t>d</m:t>
            </m:r>
          </m:e>
          <m:sub>
            <m:r>
              <m:t>d</m:t>
            </m:r>
          </m:sub>
        </m:sSub>
        <m:r>
          <m:rPr>
            <m:sty m:val="p"/>
          </m:rPr>
          <m:t>(</m:t>
        </m:r>
        <m:r>
          <m:t>t</m:t>
        </m:r>
        <m:r>
          <m:rPr>
            <m:sty m:val="p"/>
          </m:rPr>
          <m:t>)</m:t>
        </m:r>
      </m:oMath>
      <w:r>
        <w:t xml:space="preserve"> </w:t>
      </w:r>
      <w:r>
        <w:t xml:space="preserve">denote the number of events occurring during discrete interval</w:t>
      </w:r>
      <w:r>
        <w:t xml:space="preserve"> </w:t>
      </w:r>
      <m:oMath>
        <m:r>
          <m:t>t</m:t>
        </m:r>
      </m:oMath>
      <w:r>
        <w:t xml:space="preserve"> </w:t>
      </w:r>
      <w:r>
        <w:t xml:space="preserve">in cohort</w:t>
      </w:r>
      <w:r>
        <w:t xml:space="preserve"> </w:t>
      </w:r>
      <m:oMath>
        <m:r>
          <m:t>d</m:t>
        </m:r>
      </m:oMath>
      <w:r>
        <w:t xml:space="preserve">, and let</w:t>
      </w:r>
      <w:r>
        <w:t xml:space="preserve"> </w:t>
      </w:r>
      <m:oMath>
        <m:sSub>
          <m:e>
            <m:r>
              <m:t>N</m:t>
            </m:r>
          </m:e>
          <m:sub>
            <m:r>
              <m:t>d</m:t>
            </m:r>
          </m:sub>
        </m:sSub>
        <m:r>
          <m:rPr>
            <m:sty m:val="p"/>
          </m:rPr>
          <m:t>(</m:t>
        </m:r>
        <m:r>
          <m:t>t</m:t>
        </m:r>
        <m:r>
          <m:rPr>
            <m:sty m:val="p"/>
          </m:rPr>
          <m:t>)</m:t>
        </m:r>
      </m:oMath>
      <w:r>
        <w:t xml:space="preserve"> </w:t>
      </w:r>
      <w:r>
        <w:t xml:space="preserve">denote the number at risk at the start of that interval. The observed interval event probability is</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Under a piecewise-constant hazard assumption within each interval, the integrated hazard over interval</w:t>
      </w:r>
      <w:r>
        <w:t xml:space="preserve"> </w:t>
      </w:r>
      <m:oMath>
        <m:r>
          <m:t>t</m:t>
        </m:r>
      </m:oMath>
      <w:r>
        <w:t xml:space="preserve"> </w:t>
      </w:r>
      <w:r>
        <w:t xml:space="preserve">is related to the interval survival probability by</w:t>
      </w:r>
    </w:p>
    <w:p>
      <w:pPr>
        <w:pStyle w:val="BodyText"/>
      </w:pPr>
      <m:oMathPara>
        <m:oMathParaPr>
          <m:jc m:val="center"/>
        </m:oMathParaP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oMath>
      </m:oMathPara>
    </w:p>
    <w:p>
      <w:pPr>
        <w:pStyle w:val="FirstParagraph"/>
      </w:pPr>
      <w:r>
        <w:t xml:space="preserve">This expression is exact when the hazard is constant over the interval and events are uniformly distributed.</w:t>
      </w:r>
    </w:p>
    <w:p>
      <w:pPr>
        <w:pStyle w:val="BodyText"/>
      </w:pPr>
      <w:r>
        <w:t xml:space="preserve">At weekly resolution, particularly in older cohorts where</w:t>
      </w:r>
      <w:r>
        <w:t xml:space="preserve"> </w:t>
      </w:r>
      <m:oMath>
        <m:sSub>
          <m:e>
            <m:r>
              <m:rPr>
                <m:sty m:val="p"/>
              </m:rPr>
              <m:t>M</m:t>
            </m:r>
            <m:r>
              <m:rPr>
                <m:sty m:val="p"/>
              </m:rPr>
              <m:t>R</m:t>
            </m:r>
          </m:e>
          <m:sub>
            <m:r>
              <m:t>d</m:t>
            </m:r>
            <m:r>
              <m:rPr>
                <m:sty m:val="p"/>
              </m:rPr>
              <m:t>,</m:t>
            </m:r>
            <m:r>
              <m:t>t</m:t>
            </m:r>
          </m:sub>
        </m:sSub>
      </m:oMath>
      <w:r>
        <w:t xml:space="preserve"> </w:t>
      </w:r>
      <w:r>
        <w:t xml:space="preserve">is non-negligible, first-order approximations such as the Nelson–Aalen increment</w:t>
      </w:r>
      <w:r>
        <w:t xml:space="preserve"> </w:t>
      </w:r>
      <m:oMath>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t>
      </w:r>
      <w:r>
        <w:t xml:space="preserve">can introduce systematic discretization bias that accumulates in cumulative-hazard space. To reduce this bias, we employ the midpoint-corrected transform given in Equation (11), which corresponds to a second-order accurate approximation to the integrated hazard over the interval.</w:t>
      </w:r>
    </w:p>
    <w:p>
      <w:pPr>
        <w:pStyle w:val="BodyText"/>
      </w:pPr>
      <w:r>
        <w:t xml:space="preserve">A Taylor expansion in</w:t>
      </w:r>
      <w:r>
        <w:t xml:space="preserve"> </w:t>
      </w:r>
      <m:oMath>
        <m:sSub>
          <m:e>
            <m:r>
              <m:rPr>
                <m:sty m:val="p"/>
              </m:rPr>
              <m:t>M</m:t>
            </m:r>
            <m:r>
              <m:rPr>
                <m:sty m:val="p"/>
              </m:rPr>
              <m:t>R</m:t>
            </m:r>
          </m:e>
          <m:sub>
            <m:r>
              <m:t>d</m:t>
            </m:r>
            <m:r>
              <m:rPr>
                <m:sty m:val="p"/>
              </m:rPr>
              <m:t>,</m:t>
            </m:r>
            <m:r>
              <m:t>t</m:t>
            </m:r>
          </m:sub>
        </m:sSub>
      </m:oMath>
      <w:r>
        <w:t xml:space="preserve"> </w:t>
      </w:r>
      <w:r>
        <w:t xml:space="preserve">yields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r>
            <m:t>O</m:t>
          </m:r>
          <m:r>
            <m:t>​</m:t>
          </m:r>
          <m:d>
            <m:dPr>
              <m:begChr m:val="("/>
              <m:sepChr m:val=""/>
              <m:endChr m:val=")"/>
              <m:grow/>
            </m:dPr>
            <m:e>
              <m:sSubSup>
                <m:e>
                  <m:r>
                    <m:rPr>
                      <m:sty m:val="p"/>
                    </m:rPr>
                    <m:t>M</m:t>
                  </m:r>
                  <m:r>
                    <m:rPr>
                      <m:sty m:val="p"/>
                    </m:rPr>
                    <m:t>R</m:t>
                  </m:r>
                </m:e>
                <m:sub>
                  <m:r>
                    <m:t>d</m:t>
                  </m:r>
                  <m:r>
                    <m:rPr>
                      <m:sty m:val="p"/>
                    </m:rPr>
                    <m:t>,</m:t>
                  </m:r>
                  <m:r>
                    <m:t>t</m:t>
                  </m:r>
                </m:sub>
                <m:sup>
                  <m:r>
                    <m:t>3</m:t>
                  </m:r>
                </m:sup>
              </m:sSubSup>
            </m:e>
          </m:d>
          <m:r>
            <m:rPr>
              <m:sty m:val="p"/>
            </m:rPr>
            <m:t>,</m:t>
          </m:r>
        </m:oMath>
      </m:oMathPara>
    </w:p>
    <w:p>
      <w:pPr>
        <w:pStyle w:val="FirstParagraph"/>
      </w:pPr>
      <w:r>
        <w:t xml:space="preserve">demonstrating that the transform reduces to the Nelson–Aalen increment in the small-event-probability limit while providing improved accuracy at finite</w:t>
      </w:r>
      <w:r>
        <w:t xml:space="preserve"> </w:t>
      </w:r>
      <m:oMath>
        <m:sSub>
          <m:e>
            <m:r>
              <m:rPr>
                <m:sty m:val="p"/>
              </m:rPr>
              <m:t>M</m:t>
            </m:r>
            <m:r>
              <m:rPr>
                <m:sty m:val="p"/>
              </m:rPr>
              <m:t>R</m:t>
            </m:r>
          </m:e>
          <m:sub>
            <m:r>
              <m:t>d</m:t>
            </m:r>
            <m:r>
              <m:rPr>
                <m:sty m:val="p"/>
              </m:rPr>
              <m:t>,</m:t>
            </m:r>
            <m:r>
              <m:t>t</m:t>
            </m:r>
          </m:sub>
        </m:sSub>
      </m:oMath>
      <w:r>
        <w:t xml:space="preserve">.</w:t>
      </w:r>
    </w:p>
    <w:p>
      <w:pPr>
        <w:pStyle w:val="BodyText"/>
      </w:pPr>
      <w:r>
        <w:t xml:space="preserve">This transform preserves the defining properties of an integrated hazard increment: it is nonnegative, monotone in</w:t>
      </w:r>
      <w:r>
        <w:t xml:space="preserve"> </w:t>
      </w:r>
      <m:oMath>
        <m:sSub>
          <m:e>
            <m:r>
              <m:rPr>
                <m:sty m:val="p"/>
              </m:rPr>
              <m:t>M</m:t>
            </m:r>
            <m:r>
              <m:rPr>
                <m:sty m:val="p"/>
              </m:rPr>
              <m:t>R</m:t>
            </m:r>
          </m:e>
          <m:sub>
            <m:r>
              <m:t>d</m:t>
            </m:r>
            <m:r>
              <m:rPr>
                <m:sty m:val="p"/>
              </m:rPr>
              <m:t>,</m:t>
            </m:r>
            <m:r>
              <m:t>t</m:t>
            </m:r>
          </m:sub>
        </m:sSub>
      </m:oMath>
      <w:r>
        <w:t xml:space="preserve">, additive in cumulative-hazard space, and converges to the continuous-time hazard integral as the interval width shrinks. In all empirical and simulation analyses, results obtained using this transform were indistinguishable from those obtained using the standard Nelson–Aalen estimator, indicating that its use improves numerical stability without altering the estimand.</w:t>
      </w:r>
    </w:p>
    <w:bookmarkEnd w:id="194"/>
    <w:bookmarkStart w:id="195" w:name="a.5-variance-propagation-sketch"/>
    <w:p>
      <w:pPr>
        <w:pStyle w:val="Heading4"/>
      </w:pPr>
      <w:r>
        <w:t xml:space="preserve">A.5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95"/>
    <w:bookmarkEnd w:id="196"/>
    <w:bookmarkStart w:id="209" w:name="appendix-b.-control-test-specifications"/>
    <w:p>
      <w:pPr>
        <w:pStyle w:val="Heading3"/>
      </w:pPr>
      <w:r>
        <w:t xml:space="preserve">Appendix B. Control-test specifications</w:t>
      </w:r>
    </w:p>
    <w:bookmarkStart w:id="197" w:name="X2180becb792c7366d1a2d9abe674c7e8eb8a3b6"/>
    <w:p>
      <w:pPr>
        <w:pStyle w:val="Heading4"/>
      </w:pPr>
      <w:r>
        <w:t xml:space="preserve">B.1 Negative control: synthetic gamma-frailty null</w:t>
      </w:r>
    </w:p>
    <w:p>
      <w:pPr>
        <w:pStyle w:val="FirstParagraph"/>
      </w:pPr>
      <w:r>
        <w:t xml:space="preserve">The synthetic negative control (Figure 4) is generated using:</w:t>
      </w:r>
    </w:p>
    <w:p>
      <w:pPr>
        <w:pStyle w:val="Compact"/>
        <w:numPr>
          <w:ilvl w:val="0"/>
          <w:numId w:val="1032"/>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2"/>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2"/>
        </w:numPr>
      </w:pPr>
      <w:r>
        <w:rPr>
          <w:b/>
          <w:bCs/>
        </w:rPr>
        <w:t xml:space="preserve">Cohort A weights</w:t>
      </w:r>
      <w:r>
        <w:t xml:space="preserve">: Equal weights across 5 frailty groups (0.2 each)</w:t>
      </w:r>
    </w:p>
    <w:p>
      <w:pPr>
        <w:pStyle w:val="Compact"/>
        <w:numPr>
          <w:ilvl w:val="0"/>
          <w:numId w:val="1032"/>
        </w:numPr>
      </w:pPr>
      <w:r>
        <w:rPr>
          <w:b/>
          <w:bCs/>
        </w:rPr>
        <w:t xml:space="preserve">Cohort B weights</w:t>
      </w:r>
      <w:r>
        <w:t xml:space="preserve">: Shifted weights [0.30, 0.20, 0.20, 0.20, 0.10]</w:t>
      </w:r>
    </w:p>
    <w:p>
      <w:pPr>
        <w:pStyle w:val="Compact"/>
        <w:numPr>
          <w:ilvl w:val="0"/>
          <w:numId w:val="1032"/>
        </w:numPr>
      </w:pPr>
      <w:r>
        <w:rPr>
          <w:b/>
          <w:bCs/>
        </w:rPr>
        <w:t xml:space="preserve">Frailty values</w:t>
      </w:r>
      <w:r>
        <w:t xml:space="preserve">: [1, 2, 4, 6, 10] (relative frailty multipliers)</w:t>
      </w:r>
    </w:p>
    <w:p>
      <w:pPr>
        <w:pStyle w:val="Compact"/>
        <w:numPr>
          <w:ilvl w:val="0"/>
          <w:numId w:val="1032"/>
        </w:numPr>
      </w:pPr>
      <w:r>
        <w:rPr>
          <w:b/>
          <w:bCs/>
        </w:rPr>
        <w:t xml:space="preserve">Base weekly probability</w:t>
      </w:r>
      <w:r>
        <w:t xml:space="preserve">: 0.01</w:t>
      </w:r>
    </w:p>
    <w:p>
      <w:pPr>
        <w:pStyle w:val="Compact"/>
        <w:numPr>
          <w:ilvl w:val="0"/>
          <w:numId w:val="1032"/>
        </w:numPr>
      </w:pPr>
      <w:r>
        <w:rPr>
          <w:b/>
          <w:bCs/>
        </w:rPr>
        <w:t xml:space="preserve">Weekly log-slope</w:t>
      </w:r>
      <w:r>
        <w:t xml:space="preserve">: 0.0 (constant baseline during quiet periods)</w:t>
      </w:r>
    </w:p>
    <w:p>
      <w:pPr>
        <w:pStyle w:val="Compact"/>
        <w:numPr>
          <w:ilvl w:val="0"/>
          <w:numId w:val="1032"/>
        </w:numPr>
      </w:pPr>
      <w:r>
        <w:rPr>
          <w:b/>
          <w:bCs/>
        </w:rPr>
        <w:t xml:space="preserve">Skip weeks</w:t>
      </w:r>
      <w:r>
        <w:t xml:space="preserve">: 2</w:t>
      </w:r>
    </w:p>
    <w:p>
      <w:pPr>
        <w:pStyle w:val="Compact"/>
        <w:numPr>
          <w:ilvl w:val="0"/>
          <w:numId w:val="1032"/>
        </w:numPr>
      </w:pPr>
      <w:r>
        <w:rPr>
          <w:b/>
          <w:bCs/>
        </w:rPr>
        <w:t xml:space="preserve">Normalization weeks</w:t>
      </w:r>
      <w:r>
        <w:t xml:space="preserve">: 4</w:t>
      </w:r>
    </w:p>
    <w:p>
      <w:pPr>
        <w:pStyle w:val="Compact"/>
        <w:numPr>
          <w:ilvl w:val="0"/>
          <w:numId w:val="1032"/>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97"/>
    <w:bookmarkStart w:id="198" w:name="X6ca5a97e85e9ee460a15280db933ceb5c1ed112"/>
    <w:p>
      <w:pPr>
        <w:pStyle w:val="Heading4"/>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33"/>
        </w:numPr>
      </w:pPr>
      <w:r>
        <w:rPr>
          <w:b/>
          <w:bCs/>
        </w:rPr>
        <w:t xml:space="preserve">Data source</w:t>
      </w:r>
      <w:r>
        <w:t xml:space="preserve">: Czech Republic administrative mortality and vaccination data, aggregated into KCOR_CMR format</w:t>
      </w:r>
    </w:p>
    <w:p>
      <w:pPr>
        <w:pStyle w:val="Compact"/>
        <w:numPr>
          <w:ilvl w:val="0"/>
          <w:numId w:val="1033"/>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3"/>
        </w:numPr>
      </w:pPr>
      <w:r>
        <w:rPr>
          <w:b/>
          <w:bCs/>
        </w:rPr>
        <w:t xml:space="preserve">Construction</w:t>
      </w:r>
      <w:r>
        <w:t xml:space="preserve">: Age strata remapped to pseudo-doses within same vaccination category</w:t>
      </w:r>
    </w:p>
    <w:p>
      <w:pPr>
        <w:pStyle w:val="Compact"/>
        <w:numPr>
          <w:ilvl w:val="0"/>
          <w:numId w:val="1033"/>
        </w:numPr>
      </w:pPr>
      <w:r>
        <w:rPr>
          <w:b/>
          <w:bCs/>
        </w:rPr>
        <w:t xml:space="preserve">Age mapping</w:t>
      </w:r>
      <w:r>
        <w:t xml:space="preserve">:</w:t>
      </w:r>
    </w:p>
    <w:p>
      <w:pPr>
        <w:pStyle w:val="Compact"/>
        <w:numPr>
          <w:ilvl w:val="1"/>
          <w:numId w:val="1034"/>
        </w:numPr>
      </w:pPr>
      <w:r>
        <w:t xml:space="preserve">Dose 0 → YoB {1930, 1935}</w:t>
      </w:r>
    </w:p>
    <w:p>
      <w:pPr>
        <w:pStyle w:val="Compact"/>
        <w:numPr>
          <w:ilvl w:val="1"/>
          <w:numId w:val="1034"/>
        </w:numPr>
      </w:pPr>
      <w:r>
        <w:t xml:space="preserve">Dose 1 → YoB {1940, 1945}</w:t>
      </w:r>
    </w:p>
    <w:p>
      <w:pPr>
        <w:pStyle w:val="Compact"/>
        <w:numPr>
          <w:ilvl w:val="1"/>
          <w:numId w:val="1034"/>
        </w:numPr>
      </w:pPr>
      <w:r>
        <w:t xml:space="preserve">Dose 2 → YoB {1950, 1955}</w:t>
      </w:r>
    </w:p>
    <w:p>
      <w:pPr>
        <w:pStyle w:val="Compact"/>
        <w:numPr>
          <w:ilvl w:val="0"/>
          <w:numId w:val="1033"/>
        </w:numPr>
      </w:pPr>
      <w:r>
        <w:rPr>
          <w:b/>
          <w:bCs/>
        </w:rPr>
        <w:t xml:space="preserve">Output YoB</w:t>
      </w:r>
      <w:r>
        <w:t xml:space="preserve">: Fixed at 1950 (unvax cohort) or 1940 (vax cohort)</w:t>
      </w:r>
    </w:p>
    <w:p>
      <w:pPr>
        <w:pStyle w:val="Compact"/>
        <w:numPr>
          <w:ilvl w:val="0"/>
          <w:numId w:val="1033"/>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98"/>
    <w:bookmarkStart w:id="199" w:name="b.3-positive-control-injected-effect"/>
    <w:p>
      <w:pPr>
        <w:pStyle w:val="Heading4"/>
      </w:pPr>
      <w:r>
        <w:t xml:space="preserve">B.3 Positive control: injected effect</w:t>
      </w:r>
    </w:p>
    <w:p>
      <w:pPr>
        <w:pStyle w:val="FirstParagraph"/>
      </w:pPr>
      <w:r>
        <w:t xml:space="preserve">The positive control (Figure 7 and Table 8) is generated using:</w:t>
      </w:r>
    </w:p>
    <w:p>
      <w:pPr>
        <w:pStyle w:val="Compact"/>
        <w:numPr>
          <w:ilvl w:val="0"/>
          <w:numId w:val="1035"/>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5"/>
        </w:numPr>
      </w:pPr>
      <w:r>
        <w:rPr>
          <w:b/>
          <w:bCs/>
        </w:rPr>
        <w:t xml:space="preserve">Initial cohort size</w:t>
      </w:r>
      <w:r>
        <w:t xml:space="preserve">: 100,000 per cohort</w:t>
      </w:r>
    </w:p>
    <w:p>
      <w:pPr>
        <w:pStyle w:val="Compact"/>
        <w:numPr>
          <w:ilvl w:val="0"/>
          <w:numId w:val="1035"/>
        </w:numPr>
      </w:pPr>
      <w:r>
        <w:rPr>
          <w:b/>
          <w:bCs/>
        </w:rPr>
        <w:t xml:space="preserve">Baseline hazard</w:t>
      </w:r>
      <w:r>
        <w:t xml:space="preserve">: 0.002 per week</w:t>
      </w:r>
    </w:p>
    <w:p>
      <w:pPr>
        <w:pStyle w:val="Compact"/>
        <w:numPr>
          <w:ilvl w:val="0"/>
          <w:numId w:val="1035"/>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5"/>
        </w:numPr>
      </w:pPr>
      <w:r>
        <w:rPr>
          <w:b/>
          <w:bCs/>
        </w:rPr>
        <w:t xml:space="preserve">Effect window</w:t>
      </w:r>
      <w:r>
        <w:t xml:space="preserve">: weeks 20–80</w:t>
      </w:r>
    </w:p>
    <w:p>
      <w:pPr>
        <w:pStyle w:val="Compact"/>
        <w:numPr>
          <w:ilvl w:val="0"/>
          <w:numId w:val="1035"/>
        </w:numPr>
      </w:pPr>
      <w:r>
        <w:rPr>
          <w:b/>
          <w:bCs/>
        </w:rPr>
        <w:t xml:space="preserve">Hazard multipliers</w:t>
      </w:r>
      <w:r>
        <w:t xml:space="preserve">:</w:t>
      </w:r>
    </w:p>
    <w:p>
      <w:pPr>
        <w:pStyle w:val="Compact"/>
        <w:numPr>
          <w:ilvl w:val="1"/>
          <w:numId w:val="1036"/>
        </w:numPr>
      </w:pPr>
      <w:r>
        <w:t xml:space="preserve">Harm scenario:</w:t>
      </w:r>
      <w:r>
        <w:t xml:space="preserve"> </w:t>
      </w:r>
      <m:oMath>
        <m:r>
          <m:t>r</m:t>
        </m:r>
        <m:r>
          <m:rPr>
            <m:sty m:val="p"/>
          </m:rPr>
          <m:t>=</m:t>
        </m:r>
        <m:r>
          <m:t>1.2</m:t>
        </m:r>
      </m:oMath>
    </w:p>
    <w:p>
      <w:pPr>
        <w:pStyle w:val="Compact"/>
        <w:numPr>
          <w:ilvl w:val="1"/>
          <w:numId w:val="1036"/>
        </w:numPr>
      </w:pPr>
      <w:r>
        <w:t xml:space="preserve">Benefit scenario:</w:t>
      </w:r>
      <w:r>
        <w:t xml:space="preserve"> </w:t>
      </w:r>
      <m:oMath>
        <m:r>
          <m:t>r</m:t>
        </m:r>
        <m:r>
          <m:rPr>
            <m:sty m:val="p"/>
          </m:rPr>
          <m:t>=</m:t>
        </m:r>
        <m:r>
          <m:t>0.8</m:t>
        </m:r>
      </m:oMath>
    </w:p>
    <w:p>
      <w:pPr>
        <w:pStyle w:val="Compact"/>
        <w:numPr>
          <w:ilvl w:val="0"/>
          <w:numId w:val="1035"/>
        </w:numPr>
      </w:pPr>
      <w:r>
        <w:rPr>
          <w:b/>
          <w:bCs/>
        </w:rPr>
        <w:t xml:space="preserve">Random seed</w:t>
      </w:r>
      <w:r>
        <w:t xml:space="preserve">: 42</w:t>
      </w:r>
    </w:p>
    <w:p>
      <w:pPr>
        <w:pStyle w:val="Compact"/>
        <w:numPr>
          <w:ilvl w:val="0"/>
          <w:numId w:val="1035"/>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99"/>
    <w:bookmarkStart w:id="200"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37"/>
        </w:numPr>
      </w:pPr>
      <w:r>
        <w:rPr>
          <w:b/>
          <w:bCs/>
        </w:rPr>
        <w:t xml:space="preserve">Baseline weeks</w:t>
      </w:r>
      <w:r>
        <w:t xml:space="preserve">: [2, 3, 4, 5, 6, 7, 8]</w:t>
      </w:r>
    </w:p>
    <w:p>
      <w:pPr>
        <w:pStyle w:val="Compact"/>
        <w:numPr>
          <w:ilvl w:val="0"/>
          <w:numId w:val="1037"/>
        </w:numPr>
      </w:pPr>
      <w:r>
        <w:rPr>
          <w:b/>
          <w:bCs/>
        </w:rPr>
        <w:t xml:space="preserve">Quiet-start offsets</w:t>
      </w:r>
      <w:r>
        <w:t xml:space="preserve">: [-12, -8, -4, 0, +4, +8, +12] weeks from 2022-24</w:t>
      </w:r>
    </w:p>
    <w:p>
      <w:pPr>
        <w:pStyle w:val="Compact"/>
        <w:numPr>
          <w:ilvl w:val="0"/>
          <w:numId w:val="1037"/>
        </w:numPr>
      </w:pPr>
      <w:r>
        <w:rPr>
          <w:b/>
          <w:bCs/>
        </w:rPr>
        <w:t xml:space="preserve">Quiet-window end</w:t>
      </w:r>
      <w:r>
        <w:t xml:space="preserve">: Fixed at 2024-16</w:t>
      </w:r>
    </w:p>
    <w:p>
      <w:pPr>
        <w:pStyle w:val="Compact"/>
        <w:numPr>
          <w:ilvl w:val="0"/>
          <w:numId w:val="1037"/>
        </w:numPr>
      </w:pPr>
      <w:r>
        <w:rPr>
          <w:b/>
          <w:bCs/>
        </w:rPr>
        <w:t xml:space="preserve">Dose pairs</w:t>
      </w:r>
      <w:r>
        <w:t xml:space="preserve">: 1 vs 0, 2 vs 0, 2 vs 1</w:t>
      </w:r>
    </w:p>
    <w:p>
      <w:pPr>
        <w:pStyle w:val="Compact"/>
        <w:numPr>
          <w:ilvl w:val="0"/>
          <w:numId w:val="1037"/>
        </w:numPr>
      </w:pPr>
      <w:r>
        <w:rPr>
          <w:b/>
          <w:bCs/>
        </w:rPr>
        <w:t xml:space="preserve">Cohorts</w:t>
      </w:r>
      <w:r>
        <w:t xml:space="preserve">: 2021_24</w:t>
      </w:r>
    </w:p>
    <w:p>
      <w:pPr>
        <w:pStyle w:val="FirstParagraph"/>
      </w:pPr>
      <w:r>
        <w:t xml:space="preserve">Output grids show KCOR(t) values for each parameter combination.</w:t>
      </w:r>
    </w:p>
    <w:bookmarkEnd w:id="200"/>
    <w:bookmarkStart w:id="201"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8"/>
        </w:numPr>
      </w:pPr>
      <w:r>
        <w:rPr>
          <w:b/>
          <w:bCs/>
        </w:rPr>
        <w:t xml:space="preserve">Mid-sampled cohort</w:t>
      </w:r>
      <w:r>
        <w:t xml:space="preserve">: frailty restricted to central quantiles (e.g., 25th–75th percentile) and renormalized to mean 1.</w:t>
      </w:r>
    </w:p>
    <w:p>
      <w:pPr>
        <w:pStyle w:val="Compact"/>
        <w:numPr>
          <w:ilvl w:val="0"/>
          <w:numId w:val="1038"/>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9"/>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9"/>
        </w:numPr>
      </w:pPr>
      <w:r>
        <w:rPr>
          <w:b/>
          <w:bCs/>
        </w:rPr>
        <w:t xml:space="preserve">Base frailty distribution</w:t>
      </w:r>
      <w:r>
        <w:t xml:space="preserve">: Log-normal with mean 1, variance 0.5</w:t>
      </w:r>
    </w:p>
    <w:p>
      <w:pPr>
        <w:pStyle w:val="Compact"/>
        <w:numPr>
          <w:ilvl w:val="0"/>
          <w:numId w:val="1039"/>
        </w:numPr>
      </w:pPr>
      <w:r>
        <w:rPr>
          <w:b/>
          <w:bCs/>
        </w:rPr>
        <w:t xml:space="preserve">Mid-quantile cohort</w:t>
      </w:r>
      <w:r>
        <w:t xml:space="preserve">: 25th–75th percentile</w:t>
      </w:r>
    </w:p>
    <w:p>
      <w:pPr>
        <w:pStyle w:val="Compact"/>
        <w:numPr>
          <w:ilvl w:val="0"/>
          <w:numId w:val="1039"/>
        </w:numPr>
      </w:pPr>
      <w:r>
        <w:rPr>
          <w:b/>
          <w:bCs/>
        </w:rPr>
        <w:t xml:space="preserve">Tail-mixture cohort</w:t>
      </w:r>
      <w:r>
        <w:t xml:space="preserve">: [0–15th] + [85th–100th] percentiles, equal weights</w:t>
      </w:r>
    </w:p>
    <w:p>
      <w:pPr>
        <w:pStyle w:val="Compact"/>
        <w:numPr>
          <w:ilvl w:val="0"/>
          <w:numId w:val="1039"/>
        </w:numPr>
      </w:pPr>
      <w:r>
        <w:rPr>
          <w:b/>
          <w:bCs/>
        </w:rPr>
        <w:t xml:space="preserve">Baseline hazard</w:t>
      </w:r>
      <w:r>
        <w:t xml:space="preserve">: 0.002 per week (constant)</w:t>
      </w:r>
    </w:p>
    <w:p>
      <w:pPr>
        <w:pStyle w:val="Compact"/>
        <w:numPr>
          <w:ilvl w:val="0"/>
          <w:numId w:val="1039"/>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9"/>
        </w:numPr>
      </w:pPr>
      <w:r>
        <w:rPr>
          <w:b/>
          <w:bCs/>
        </w:rPr>
        <w:t xml:space="preserve">Effect window</w:t>
      </w:r>
      <w:r>
        <w:t xml:space="preserve">: weeks 20–80</w:t>
      </w:r>
    </w:p>
    <w:p>
      <w:pPr>
        <w:pStyle w:val="Compact"/>
        <w:numPr>
          <w:ilvl w:val="0"/>
          <w:numId w:val="1039"/>
        </w:numPr>
      </w:pPr>
      <w:r>
        <w:rPr>
          <w:b/>
          <w:bCs/>
        </w:rPr>
        <w:t xml:space="preserve">Random seed</w:t>
      </w:r>
      <w:r>
        <w:t xml:space="preserve">: 42</w:t>
      </w:r>
    </w:p>
    <w:bookmarkEnd w:id="201"/>
    <w:bookmarkStart w:id="208"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2"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2"/>
    <w:bookmarkStart w:id="203" w:name="frailty-structure"/>
    <w:p>
      <w:pPr>
        <w:pStyle w:val="Heading5"/>
      </w:pPr>
      <w:r>
        <w:t xml:space="preserve">Frailty structure</w:t>
      </w:r>
    </w:p>
    <w:p>
      <w:pPr>
        <w:pStyle w:val="Compact"/>
        <w:numPr>
          <w:ilvl w:val="0"/>
          <w:numId w:val="1040"/>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40"/>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03"/>
    <w:bookmarkStart w:id="204"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1"/>
        </w:numPr>
      </w:pPr>
      <w:r>
        <w:t xml:space="preserve">Step change (constant multiplicative factor),</w:t>
      </w:r>
    </w:p>
    <w:p>
      <w:pPr>
        <w:pStyle w:val="Compact"/>
        <w:numPr>
          <w:ilvl w:val="0"/>
          <w:numId w:val="1041"/>
        </w:numPr>
      </w:pPr>
      <w:r>
        <w:t xml:space="preserve">Linear ramp,</w:t>
      </w:r>
    </w:p>
    <w:p>
      <w:pPr>
        <w:pStyle w:val="Compact"/>
        <w:numPr>
          <w:ilvl w:val="0"/>
          <w:numId w:val="1041"/>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04"/>
    <w:bookmarkStart w:id="205"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05"/>
    <w:bookmarkStart w:id="206"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42"/>
        </w:numPr>
      </w:pPr>
      <w:r>
        <w:t xml:space="preserve">KCOR(t) remains approximately flat and near unity during the quiet window,</w:t>
      </w:r>
    </w:p>
    <w:p>
      <w:pPr>
        <w:pStyle w:val="Compact"/>
        <w:numPr>
          <w:ilvl w:val="0"/>
          <w:numId w:val="1042"/>
        </w:numPr>
      </w:pPr>
      <w:r>
        <w:t xml:space="preserve">KCOR(t) deviates in the correct direction and magnitude during the treatment window,</w:t>
      </w:r>
    </w:p>
    <w:p>
      <w:pPr>
        <w:pStyle w:val="Compact"/>
        <w:numPr>
          <w:ilvl w:val="0"/>
          <w:numId w:val="1042"/>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06"/>
    <w:bookmarkStart w:id="207"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07"/>
    <w:bookmarkEnd w:id="208"/>
    <w:bookmarkEnd w:id="209"/>
    <w:bookmarkStart w:id="227" w:name="X3fb27f9d14d988b0afc4c757bd6d2a45d2ae0b5"/>
    <w:p>
      <w:pPr>
        <w:pStyle w:val="Heading3"/>
      </w:pPr>
      <w:r>
        <w:t xml:space="preserve">Appendix C. Additional figures and diagnostics</w:t>
      </w:r>
    </w:p>
    <w:bookmarkStart w:id="210"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3"/>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3"/>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3"/>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10"/>
    <w:bookmarkStart w:id="211"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44"/>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4"/>
        </w:numPr>
      </w:pPr>
      <w:r>
        <w:rPr>
          <w:b/>
          <w:bCs/>
        </w:rPr>
        <w:t xml:space="preserve">Outliers</w:t>
      </w:r>
      <w:r>
        <w:t xml:space="preserve">: Individual weeks with large residuals may indicate data quality issues or external shocks.</w:t>
      </w:r>
    </w:p>
    <w:p>
      <w:pPr>
        <w:pStyle w:val="Compact"/>
        <w:numPr>
          <w:ilvl w:val="0"/>
          <w:numId w:val="1044"/>
        </w:numPr>
      </w:pPr>
      <w:r>
        <w:rPr>
          <w:b/>
          <w:bCs/>
        </w:rPr>
        <w:t xml:space="preserve">Autocorrelation</w:t>
      </w:r>
      <w:r>
        <w:t xml:space="preserve">: Strong autocorrelation in residuals suggests the model is missing time-varying structure.</w:t>
      </w:r>
    </w:p>
    <w:bookmarkEnd w:id="211"/>
    <w:bookmarkStart w:id="212"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45"/>
        </w:numPr>
      </w:pPr>
      <w:r>
        <w:rPr>
          <w:b/>
          <w:bCs/>
        </w:rPr>
        <w:t xml:space="preserve">Quiet-window perturbation</w:t>
      </w:r>
      <w:r>
        <w:t xml:space="preserve">: Shift the quiet-window start/end by ±4 weeks and re-fit. Stable parameters should vary by &lt; 10%.</w:t>
      </w:r>
    </w:p>
    <w:p>
      <w:pPr>
        <w:pStyle w:val="Compact"/>
        <w:numPr>
          <w:ilvl w:val="0"/>
          <w:numId w:val="1045"/>
        </w:numPr>
      </w:pPr>
      <w:r>
        <w:rPr>
          <w:b/>
          <w:bCs/>
        </w:rPr>
        <w:t xml:space="preserve">Skip-weeks sensitivity</w:t>
      </w:r>
      <w:r>
        <w:t xml:space="preserve">: Vary SKIP_WEEKS from 0 to 8 and verify KCOR(t) trajectories remain qualitatively similar.</w:t>
      </w:r>
    </w:p>
    <w:p>
      <w:pPr>
        <w:pStyle w:val="Compact"/>
        <w:numPr>
          <w:ilvl w:val="0"/>
          <w:numId w:val="1045"/>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212"/>
    <w:bookmarkStart w:id="213"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6"/>
        </w:numPr>
      </w:pPr>
      <w:r>
        <w:t xml:space="preserve">Avoid major epidemic waves or external mortality shocks</w:t>
      </w:r>
    </w:p>
    <w:p>
      <w:pPr>
        <w:pStyle w:val="Compact"/>
        <w:numPr>
          <w:ilvl w:val="0"/>
          <w:numId w:val="1046"/>
        </w:numPr>
      </w:pPr>
      <w:r>
        <w:t xml:space="preserve">Contain sufficient event counts for stable estimation</w:t>
      </w:r>
    </w:p>
    <w:p>
      <w:pPr>
        <w:pStyle w:val="Compact"/>
        <w:numPr>
          <w:ilvl w:val="0"/>
          <w:numId w:val="1046"/>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213"/>
    <w:bookmarkStart w:id="226" w:name="c.5-robustness-to-age-stratification"/>
    <w:p>
      <w:pPr>
        <w:pStyle w:val="Heading4"/>
      </w:pPr>
      <w:r>
        <w:t xml:space="preserve">C.5 Robustness to age stratification</w:t>
      </w:r>
    </w:p>
    <w:bookmarkStart w:id="217" w:name="fig:kcor_realdata_yob1930"/>
    <w:p>
      <w:pPr>
        <w:pStyle w:val="CaptionedFigure"/>
      </w:pPr>
      <w:r>
        <w:drawing>
          <wp:inline>
            <wp:extent cx="5334000" cy="3078759"/>
            <wp:effectExtent b="0" l="0" r="0" t="0"/>
            <wp:docPr descr="Figure 14. Birth-year cohort 193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15" name="Picture"/>
            <a:graphic>
              <a:graphicData uri="http://schemas.openxmlformats.org/drawingml/2006/picture">
                <pic:pic>
                  <pic:nvPicPr>
                    <pic:cNvPr descr="figures/supplement/kcor_realdata_yob1930_enroll2022w26_eval2023.png" id="216" name="Picture"/>
                    <pic:cNvPicPr>
                      <a:picLocks noChangeArrowheads="1" noChangeAspect="1"/>
                    </pic:cNvPicPr>
                  </pic:nvPicPr>
                  <pic:blipFill>
                    <a:blip r:embed="rId214"/>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14. Birth-year cohort 1930: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17"/>
    <w:bookmarkStart w:id="221" w:name="fig:kcor_realdata_yob1940"/>
    <w:p>
      <w:pPr>
        <w:pStyle w:val="CaptionedFigure"/>
      </w:pPr>
      <w:r>
        <w:drawing>
          <wp:inline>
            <wp:extent cx="5334000" cy="3078759"/>
            <wp:effectExtent b="0" l="0" r="0" t="0"/>
            <wp:docPr descr="Figure 15. Birth-year cohort 194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19" name="Picture"/>
            <a:graphic>
              <a:graphicData uri="http://schemas.openxmlformats.org/drawingml/2006/picture">
                <pic:pic>
                  <pic:nvPicPr>
                    <pic:cNvPr descr="figures/supplement/kcor_realdata_yob1940_enroll2022w26_eval2023.png" id="220" name="Picture"/>
                    <pic:cNvPicPr>
                      <a:picLocks noChangeArrowheads="1" noChangeAspect="1"/>
                    </pic:cNvPicPr>
                  </pic:nvPicPr>
                  <pic:blipFill>
                    <a:blip r:embed="rId218"/>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15. Birth-year cohort 1940: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21"/>
    <w:bookmarkStart w:id="225" w:name="fig:kcor_realdata_yob1950"/>
    <w:p>
      <w:pPr>
        <w:pStyle w:val="CaptionedFigure"/>
      </w:pPr>
      <w:r>
        <w:drawing>
          <wp:inline>
            <wp:extent cx="5334000" cy="3078759"/>
            <wp:effectExtent b="0" l="0" r="0" t="0"/>
            <wp:docPr descr="Figure 16. Birth-year cohort 195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 title="" id="223" name="Picture"/>
            <a:graphic>
              <a:graphicData uri="http://schemas.openxmlformats.org/drawingml/2006/picture">
                <pic:pic>
                  <pic:nvPicPr>
                    <pic:cNvPr descr="figures/supplement/kcor_realdata_yob1950_enroll2022w26_eval2023.png" id="224" name="Picture"/>
                    <pic:cNvPicPr>
                      <a:picLocks noChangeArrowheads="1" noChangeAspect="1"/>
                    </pic:cNvPicPr>
                  </pic:nvPicPr>
                  <pic:blipFill>
                    <a:blip r:embed="rId222"/>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16. Birth-year cohort 1950: KCOR(t) trajectories comparing dose 2 and dose 3 to dose 0 for cohorts enrolled in ISO week 2022-26 and evaluated over calendar year 2023. This figure is presented as an illustrative application demonstrating estimator behavior on registry data and does not support causal inference.</w:t>
      </w:r>
    </w:p>
    <w:bookmarkEnd w:id="225"/>
    <w:bookmarkEnd w:id="226"/>
    <w:bookmarkEnd w:id="227"/>
    <w:bookmarkStart w:id="238" w:name="X71516bca36a67a7b252aa09e83ac6f66b78ee40"/>
    <w:p>
      <w:pPr>
        <w:pStyle w:val="Heading3"/>
      </w:pPr>
      <w:r>
        <w:t xml:space="preserve">Appendix C.1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w:t>
      </w:r>
    </w:p>
    <w:bookmarkStart w:id="228"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228"/>
    <w:bookmarkStart w:id="232"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Start w:id="229" w:name="tbl:frailty_diagnostics"/>
    <w:p>
      <w:pPr>
        <w:pStyle w:val="TableCaption"/>
      </w:pPr>
      <w:r>
        <w:t xml:space="preserve">Table 11.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11.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229"/>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13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bookmarkStart w:id="230" w:name="tbl:czech_diagnostic_gate"/>
    <w:p>
      <w:pPr>
        <w:pStyle w:val="TableCaption"/>
      </w:pPr>
      <w:r>
        <w:t xml:space="preserve">Table 12.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12.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bookmarkEnd w:id="230"/>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 θ 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11 demonstrates selection-induced heterogeneity, unadjusted cumulative outcome contrasts are expected to conflate depletion effects with any true treatment differences; Table 13 therefore reports raw cumulative hazards solely as a pre-normalization diagnostic. KCOR normalization removes the depletion component, enabling interpretable comparison of the remaining differences.</w:t>
      </w:r>
    </w:p>
    <w:bookmarkStart w:id="231" w:name="tbl:raw_cumulative_outcomes"/>
    <w:p>
      <w:pPr>
        <w:pStyle w:val="TableCaption"/>
      </w:pPr>
      <w:r>
        <w:t xml:space="preserve">Table 13.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13.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231"/>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End w:id="232"/>
    <w:bookmarkStart w:id="237"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17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14–16.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descriptively to illustrate estimator behavior; no hypothesis testing is performed.</w:t>
      </w:r>
    </w:p>
    <w:bookmarkStart w:id="236" w:name="fig:kcor_realdata_allages"/>
    <w:p>
      <w:pPr>
        <w:pStyle w:val="CaptionedFigure"/>
      </w:pPr>
      <w:r>
        <w:drawing>
          <wp:inline>
            <wp:extent cx="5334000" cy="3078759"/>
            <wp:effectExtent b="0" l="0" r="0" t="0"/>
            <wp:docPr descr="Figure 17. All-ages stress test: \mathrm{KCOR}(t) trajectories comparing dose 2 and dose 3 to dose 0 for cohorts enrolled in ISO week 2022-26 and evaluated over calendar year 2023. This figure is presented as an illustrative application demonstrating estimator behavior under extreme heterogeneity and does not support causal inference." title="" id="234" name="Picture"/>
            <a:graphic>
              <a:graphicData uri="http://schemas.openxmlformats.org/drawingml/2006/picture">
                <pic:pic>
                  <pic:nvPicPr>
                    <pic:cNvPr descr="figures/kcor_realdata_allages_enroll2022w26_eval2023.png" id="235" name="Picture"/>
                    <pic:cNvPicPr>
                      <a:picLocks noChangeArrowheads="1" noChangeAspect="1"/>
                    </pic:cNvPicPr>
                  </pic:nvPicPr>
                  <pic:blipFill>
                    <a:blip r:embed="rId233"/>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17.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This figure is presented as an illustrative application demonstrating estimator behavior under extreme heterogeneity and does not support causal inference.</w:t>
      </w:r>
    </w:p>
    <w:bookmarkEnd w:id="236"/>
    <w:bookmarkEnd w:id="237"/>
    <w:bookmarkEnd w:id="238"/>
    <w:bookmarkStart w:id="247"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239"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7"/>
        </w:numPr>
      </w:pPr>
      <w:r>
        <w:t xml:space="preserve">Inconsistencies in cohort risk sets (e.g., unexplained increases in at-risk counts).</w:t>
      </w:r>
    </w:p>
    <w:p>
      <w:pPr>
        <w:pStyle w:val="Compact"/>
        <w:numPr>
          <w:ilvl w:val="0"/>
          <w:numId w:val="1047"/>
        </w:numPr>
      </w:pPr>
      <w:r>
        <w:t xml:space="preserve">Early-time hazard suppression or inflation inconsistent with selection or depletion geometry.</w:t>
      </w:r>
    </w:p>
    <w:p>
      <w:pPr>
        <w:pStyle w:val="Compact"/>
        <w:numPr>
          <w:ilvl w:val="0"/>
          <w:numId w:val="1047"/>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239"/>
    <w:bookmarkStart w:id="240"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8"/>
        </w:numPr>
      </w:pPr>
      <w:r>
        <w:t xml:space="preserve">Calendar-time hazard spikes or drops that appear in only one cohort.</w:t>
      </w:r>
    </w:p>
    <w:p>
      <w:pPr>
        <w:pStyle w:val="Compact"/>
        <w:numPr>
          <w:ilvl w:val="0"/>
          <w:numId w:val="1048"/>
        </w:numPr>
      </w:pPr>
      <w:r>
        <w:t xml:space="preserve">Misalignment of major mortality shocks (e.g., epidemic waves) across cohorts.</w:t>
      </w:r>
    </w:p>
    <w:p>
      <w:pPr>
        <w:pStyle w:val="Compact"/>
        <w:numPr>
          <w:ilvl w:val="0"/>
          <w:numId w:val="1048"/>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240"/>
    <w:bookmarkStart w:id="241"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9"/>
        </w:numPr>
      </w:pPr>
      <w:r>
        <w:t xml:space="preserve">Strongly structured residuals in cumulative-hazard space inconsistent with depletion.</w:t>
      </w:r>
    </w:p>
    <w:p>
      <w:pPr>
        <w:pStyle w:val="Compact"/>
        <w:numPr>
          <w:ilvl w:val="0"/>
          <w:numId w:val="1049"/>
        </w:numPr>
      </w:pPr>
      <w:r>
        <w:t xml:space="preserve">Instability of fitted frailty parameters not attributable to window placement.</w:t>
      </w:r>
    </w:p>
    <w:p>
      <w:pPr>
        <w:pStyle w:val="Compact"/>
        <w:numPr>
          <w:ilvl w:val="0"/>
          <w:numId w:val="1049"/>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241"/>
    <w:bookmarkStart w:id="242"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50"/>
        </w:numPr>
      </w:pPr>
      <w:r>
        <w:t xml:space="preserve">Poor fit of the gamma-frailty cumulative-hazard model during the quiet window.</w:t>
      </w:r>
    </w:p>
    <w:p>
      <w:pPr>
        <w:pStyle w:val="Compact"/>
        <w:numPr>
          <w:ilvl w:val="0"/>
          <w:numId w:val="1050"/>
        </w:numPr>
      </w:pPr>
      <w:r>
        <w:t xml:space="preserve">Systematic residual curvature after frailty normalization.</w:t>
      </w:r>
    </w:p>
    <w:p>
      <w:pPr>
        <w:pStyle w:val="Compact"/>
        <w:numPr>
          <w:ilvl w:val="0"/>
          <w:numId w:val="1050"/>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242"/>
    <w:bookmarkStart w:id="243"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1"/>
        </w:numPr>
      </w:pPr>
      <w:r>
        <w:t xml:space="preserve">Failure of KCOR(t) trajectories to stabilize or asymptote following frailty normalization.</w:t>
      </w:r>
    </w:p>
    <w:p>
      <w:pPr>
        <w:pStyle w:val="Compact"/>
        <w:numPr>
          <w:ilvl w:val="0"/>
          <w:numId w:val="1051"/>
        </w:numPr>
      </w:pPr>
      <w:r>
        <w:t xml:space="preserve">Persistent nonzero slope in KCOR(t), indicating residual curvature after normalization.</w:t>
      </w:r>
    </w:p>
    <w:p>
      <w:pPr>
        <w:pStyle w:val="Compact"/>
        <w:numPr>
          <w:ilvl w:val="0"/>
          <w:numId w:val="1051"/>
        </w:numPr>
      </w:pPr>
      <w:r>
        <w:t xml:space="preserve">Instability of fitted frailty parameters (θ) under small perturbations of quiet-window boundaries.</w:t>
      </w:r>
    </w:p>
    <w:p>
      <w:pPr>
        <w:pStyle w:val="Compact"/>
        <w:numPr>
          <w:ilvl w:val="0"/>
          <w:numId w:val="1051"/>
        </w:numPr>
      </w:pPr>
      <w:r>
        <w:t xml:space="preserve">Failure of depletion-neutralized cumulative hazards to become approximately linear during the quiet window.</w:t>
      </w:r>
    </w:p>
    <w:p>
      <w:pPr>
        <w:pStyle w:val="Compact"/>
        <w:numPr>
          <w:ilvl w:val="0"/>
          <w:numId w:val="1051"/>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bookmarkEnd w:id="243"/>
    <w:bookmarkStart w:id="244"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244"/>
    <w:bookmarkStart w:id="245"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245"/>
    <w:bookmarkStart w:id="246"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246"/>
    <w:bookmarkEnd w:id="247"/>
    <w:bookmarkEnd w:id="248"/>
    <w:bookmarkEnd w:id="2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66" Target="media/rId66.png" /><Relationship Type="http://schemas.openxmlformats.org/officeDocument/2006/relationships/image" Id="rId87" Target="media/rId87.png" /><Relationship Type="http://schemas.openxmlformats.org/officeDocument/2006/relationships/image" Id="rId105" Target="media/rId105.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11" Target="media/rId111.png" /><Relationship Type="http://schemas.openxmlformats.org/officeDocument/2006/relationships/image" Id="rId121" Target="media/rId121.png" /><Relationship Type="http://schemas.openxmlformats.org/officeDocument/2006/relationships/image" Id="rId117" Target="media/rId117.png" /><Relationship Type="http://schemas.openxmlformats.org/officeDocument/2006/relationships/image" Id="rId133" Target="media/rId133.png" /><Relationship Type="http://schemas.openxmlformats.org/officeDocument/2006/relationships/image" Id="rId233" Target="media/rId233.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hyperlink" Id="rId175" Target="https://doi.org/10.1002/sim.1203" TargetMode="External" /><Relationship Type="http://schemas.openxmlformats.org/officeDocument/2006/relationships/hyperlink" Id="rId177" Target="https://doi.org/10.1002/sim.4780080803" TargetMode="External" /><Relationship Type="http://schemas.openxmlformats.org/officeDocument/2006/relationships/hyperlink" Id="rId185" Target="https://doi.org/10.1093/aje/kwn164" TargetMode="External" /><Relationship Type="http://schemas.openxmlformats.org/officeDocument/2006/relationships/hyperlink" Id="rId179" Target="https://doi.org/10.1093/biomet/81.1.61" TargetMode="External" /><Relationship Type="http://schemas.openxmlformats.org/officeDocument/2006/relationships/hyperlink" Id="rId171" Target="https://doi.org/10.1093/biomet/81.3.515" TargetMode="External" /><Relationship Type="http://schemas.openxmlformats.org/officeDocument/2006/relationships/hyperlink" Id="rId183" Target="https://doi.org/10.1097/00001648-200009000-00011" TargetMode="External" /><Relationship Type="http://schemas.openxmlformats.org/officeDocument/2006/relationships/hyperlink" Id="rId181" Target="https://doi.org/10.1111/j.1467-9469.2006.00529.x" TargetMode="External" /><Relationship Type="http://schemas.openxmlformats.org/officeDocument/2006/relationships/hyperlink" Id="rId173" Target="https://doi.org/10.1214/aos/1176345976" TargetMode="External" /><Relationship Type="http://schemas.openxmlformats.org/officeDocument/2006/relationships/hyperlink" Id="rId167" Target="https://doi.org/10.2147/CLEP.S468572" TargetMode="External" /><Relationship Type="http://schemas.openxmlformats.org/officeDocument/2006/relationships/hyperlink" Id="rId165" Target="https://doi.org/10.2307/2061224" TargetMode="External" /><Relationship Type="http://schemas.openxmlformats.org/officeDocument/2006/relationships/hyperlink" Id="rId158" Target="https://doi.org/10.5281/zenodo.18050329" TargetMode="External" /><Relationship Type="http://schemas.openxmlformats.org/officeDocument/2006/relationships/hyperlink" Id="rId169" Target="https://doi.org/10.7554/eLife.103690" TargetMode="External" /><Relationship Type="http://schemas.openxmlformats.org/officeDocument/2006/relationships/hyperlink" Id="rId157"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75" Target="https://doi.org/10.1002/sim.1203" TargetMode="External" /><Relationship Type="http://schemas.openxmlformats.org/officeDocument/2006/relationships/hyperlink" Id="rId177" Target="https://doi.org/10.1002/sim.4780080803" TargetMode="External" /><Relationship Type="http://schemas.openxmlformats.org/officeDocument/2006/relationships/hyperlink" Id="rId185" Target="https://doi.org/10.1093/aje/kwn164" TargetMode="External" /><Relationship Type="http://schemas.openxmlformats.org/officeDocument/2006/relationships/hyperlink" Id="rId179" Target="https://doi.org/10.1093/biomet/81.1.61" TargetMode="External" /><Relationship Type="http://schemas.openxmlformats.org/officeDocument/2006/relationships/hyperlink" Id="rId171" Target="https://doi.org/10.1093/biomet/81.3.515" TargetMode="External" /><Relationship Type="http://schemas.openxmlformats.org/officeDocument/2006/relationships/hyperlink" Id="rId183" Target="https://doi.org/10.1097/00001648-200009000-00011" TargetMode="External" /><Relationship Type="http://schemas.openxmlformats.org/officeDocument/2006/relationships/hyperlink" Id="rId181" Target="https://doi.org/10.1111/j.1467-9469.2006.00529.x" TargetMode="External" /><Relationship Type="http://schemas.openxmlformats.org/officeDocument/2006/relationships/hyperlink" Id="rId173" Target="https://doi.org/10.1214/aos/1176345976" TargetMode="External" /><Relationship Type="http://schemas.openxmlformats.org/officeDocument/2006/relationships/hyperlink" Id="rId167" Target="https://doi.org/10.2147/CLEP.S468572" TargetMode="External" /><Relationship Type="http://schemas.openxmlformats.org/officeDocument/2006/relationships/hyperlink" Id="rId165" Target="https://doi.org/10.2307/2061224" TargetMode="External" /><Relationship Type="http://schemas.openxmlformats.org/officeDocument/2006/relationships/hyperlink" Id="rId158" Target="https://doi.org/10.5281/zenodo.18050329" TargetMode="External" /><Relationship Type="http://schemas.openxmlformats.org/officeDocument/2006/relationships/hyperlink" Id="rId169" Target="https://doi.org/10.7554/eLife.103690" TargetMode="External" /><Relationship Type="http://schemas.openxmlformats.org/officeDocument/2006/relationships/hyperlink" Id="rId157"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2026-01-06T20:39:39Z</dcterms:created>
  <dcterms:modified xsi:type="dcterms:W3CDTF">2026-01-06T20:39:39Z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