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 “curvature” is in cumulative-hazard space: if</w:t>
      </w:r>
      <w:r>
        <w:t xml:space="preserve"> </w:t>
      </w:r>
      <m:oMath>
        <m:r>
          <m:t>H</m:t>
        </m:r>
        <m:r>
          <m:rPr>
            <m:sty m:val="p"/>
          </m:rPr>
          <m:t>(</m:t>
        </m:r>
        <m:r>
          <m:t>t</m:t>
        </m:r>
        <m:r>
          <m:rPr>
            <m:sty m:val="p"/>
          </m:rPr>
          <m:t>)</m:t>
        </m:r>
      </m:oMath>
      <w:r>
        <w:t xml:space="preserve"> </w:t>
      </w:r>
      <w:r>
        <w:t xml:space="preserve">were perfectly linear over time then</w:t>
      </w:r>
      <w:r>
        <w:t xml:space="preserve"> </w:t>
      </w:r>
      <m:oMath>
        <m:sSup>
          <m:e>
            <m:r>
              <m:t>d</m:t>
            </m:r>
          </m:e>
          <m:sup>
            <m:r>
              <m:t>2</m:t>
            </m:r>
          </m:sup>
        </m:sSup>
        <m:r>
          <m:t>H</m:t>
        </m:r>
        <m:r>
          <m:rPr>
            <m:sty m:val="p"/>
          </m:rPr>
          <m:t>(</m:t>
        </m:r>
        <m:r>
          <m:t>t</m:t>
        </m:r>
        <m:r>
          <m:rPr>
            <m:sty m:val="p"/>
          </m:rPr>
          <m:t>)</m:t>
        </m:r>
        <m:r>
          <m:rPr>
            <m:sty m:val="p"/>
          </m:rPr>
          <m:t>/</m:t>
        </m:r>
        <m:r>
          <m:t>d</m:t>
        </m:r>
        <m:sSup>
          <m:e>
            <m:r>
              <m:t>t</m:t>
            </m:r>
          </m:e>
          <m:sup>
            <m:r>
              <m:t>2</m:t>
            </m:r>
          </m:sup>
        </m:sSup>
        <m:r>
          <m:rPr>
            <m:sty m:val="p"/>
          </m:rPr>
          <m:t>=</m:t>
        </m:r>
        <m:r>
          <m:t>0</m:t>
        </m:r>
      </m:oMath>
      <w:r>
        <w:t xml:space="preserve"> </w:t>
      </w:r>
      <w:r>
        <w:t xml:space="preserve">(or discrete second differences are near zero), whereas selection-induced depletion generally produces concavity in</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w:t>
      </w:r>
    </w:p>
    <w:tbl>
      <w:tblPr>
        <w:tblStyle w:val="Table"/>
        <w:tblW w:type="pct" w:w="5000"/>
        <w:tblLayout w:type="fixed"/>
        <w:tblLook w:firstRow="1" w:lastRow="0" w:firstColumn="0" w:lastColumn="0" w:noHBand="0" w:noVBand="0" w:val="0020"/>
        <w:tblCaption w:val="Table 2: Notation used throughout the Methods section."/>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0"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5"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For archival reproducibility, a Zenodo DOI will be minted for the exact release corresponding to this manuscript prior to final publication.</w:t>
      </w:r>
    </w:p>
    <w:bookmarkEnd w:id="95"/>
    <w:bookmarkStart w:id="96" w:name="competing-interests"/>
    <w:p>
      <w:pPr>
        <w:pStyle w:val="Heading3"/>
      </w:pPr>
      <w:r>
        <w:t xml:space="preserve">Competing interests</w:t>
      </w:r>
    </w:p>
    <w:p>
      <w:pPr>
        <w:pStyle w:val="FirstParagraph"/>
      </w:pPr>
      <w:r>
        <w:t xml:space="preserve">[To be declared by authors prior to submission.]</w:t>
      </w:r>
    </w:p>
    <w:bookmarkEnd w:id="96"/>
    <w:bookmarkStart w:id="97" w:name="funding"/>
    <w:p>
      <w:pPr>
        <w:pStyle w:val="Heading3"/>
      </w:pPr>
      <w:r>
        <w:t xml:space="preserve">Funding</w:t>
      </w:r>
    </w:p>
    <w:p>
      <w:pPr>
        <w:pStyle w:val="FirstParagraph"/>
      </w:pPr>
      <w:r>
        <w:t xml:space="preserve">[To be declared by authors prior to submission.]</w:t>
      </w:r>
    </w:p>
    <w:bookmarkEnd w:id="97"/>
    <w:bookmarkStart w:id="98"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8"/>
    <w:bookmarkStart w:id="99" w:name="acknowledgements"/>
    <w:p>
      <w:pPr>
        <w:pStyle w:val="Heading3"/>
      </w:pPr>
      <w:r>
        <w:t xml:space="preserve">Acknowledgements</w:t>
      </w:r>
    </w:p>
    <w:p>
      <w:pPr>
        <w:pStyle w:val="FirstParagraph"/>
      </w:pPr>
      <w:r>
        <w:t xml:space="preserve">[To be added prior to submission.]</w:t>
      </w:r>
    </w:p>
    <w:p>
      <w:r>
        <w:pict>
          <v:rect style="width:0;height:1.5pt" o:hralign="center" o:hrstd="t" o:hr="t"/>
        </w:pict>
      </w:r>
    </w:p>
    <w:bookmarkEnd w:id="99"/>
    <w:bookmarkEnd w:id="100"/>
    <w:bookmarkStart w:id="121" w:name="Xf63d107101d42351f2e2cf2bd57881771784bec"/>
    <w:p>
      <w:pPr>
        <w:pStyle w:val="Heading2"/>
      </w:pPr>
      <w:r>
        <w:t xml:space="preserve">Supplementary material (appendix placeholders)</w:t>
      </w:r>
    </w:p>
    <w:bookmarkStart w:id="105" w:name="appendix-a.-mathematical-derivations"/>
    <w:p>
      <w:pPr>
        <w:pStyle w:val="Heading3"/>
      </w:pPr>
      <w:r>
        <w:t xml:space="preserve">Appendix A. Mathematical derivations</w:t>
      </w:r>
    </w:p>
    <w:bookmarkStart w:id="101"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1"/>
    <w:bookmarkStart w:id="102"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2"/>
    <w:bookmarkStart w:id="103"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3"/>
    <w:bookmarkStart w:id="10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4"/>
    <w:bookmarkEnd w:id="105"/>
    <w:bookmarkStart w:id="110" w:name="appendix-b.-control-test-specifications"/>
    <w:p>
      <w:pPr>
        <w:pStyle w:val="Heading3"/>
      </w:pPr>
      <w:r>
        <w:t xml:space="preserve">Appendix B. Control-test specifications</w:t>
      </w:r>
    </w:p>
    <w:bookmarkStart w:id="106"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6"/>
    <w:bookmarkStart w:id="107"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7"/>
    <w:bookmarkStart w:id="108"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8"/>
    <w:bookmarkStart w:id="109"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09"/>
    <w:bookmarkEnd w:id="110"/>
    <w:bookmarkStart w:id="120" w:name="X3fb27f9d14d988b0afc4c757bd6d2a45d2ae0b5"/>
    <w:p>
      <w:pPr>
        <w:pStyle w:val="Heading3"/>
      </w:pPr>
      <w:r>
        <w:t xml:space="preserve">Appendix C. Additional figures and diagnostics</w:t>
      </w:r>
    </w:p>
    <w:bookmarkStart w:id="111"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1"/>
    <w:bookmarkStart w:id="112"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2"/>
    <w:bookmarkStart w:id="113"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3"/>
    <w:bookmarkStart w:id="119"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Start w:id="118" w:name="refs"/>
    <w:bookmarkStart w:id="115" w:name="ref-obel2024"/>
    <w:p>
      <w:pPr>
        <w:pStyle w:val="Bibliography"/>
      </w:pPr>
      <w:r>
        <w:t xml:space="preserve">1.</w:t>
      </w:r>
      <w:r>
        <w:t xml:space="preserve"> </w:t>
      </w:r>
      <w:r>
        <w:t xml:space="preserve">	</w:t>
      </w:r>
      <w:r>
        <w:t xml:space="preserve">Obel N, Fox M, Tetens M, Pedersen L, Krause T, Ullum H, et al.</w:t>
      </w:r>
      <w:r>
        <w:t xml:space="preserve"> </w:t>
      </w:r>
      <w:hyperlink r:id="rId114">
        <w:r>
          <w:rPr>
            <w:rStyle w:val="Hyperlink"/>
          </w:rPr>
          <w:t xml:space="preserve">Confounding and</w:t>
        </w:r>
        <w:r>
          <w:rPr>
            <w:rStyle w:val="Hyperlink"/>
          </w:rPr>
          <w:t xml:space="preserve"> </w:t>
        </w:r>
        <w:r>
          <w:rPr>
            <w:rStyle w:val="Hyperlink"/>
          </w:rPr>
          <w:t xml:space="preserve">Negative Control Methods</w:t>
        </w:r>
        <w:r>
          <w:rPr>
            <w:rStyle w:val="Hyperlink"/>
          </w:rPr>
          <w:t xml:space="preserve"> </w:t>
        </w:r>
        <w:r>
          <w:rPr>
            <w:rStyle w:val="Hyperlink"/>
          </w:rPr>
          <w:t xml:space="preserve">in</w:t>
        </w:r>
        <w:r>
          <w:rPr>
            <w:rStyle w:val="Hyperlink"/>
          </w:rPr>
          <w:t xml:space="preserve"> </w:t>
        </w:r>
        <w:r>
          <w:rPr>
            <w:rStyle w:val="Hyperlink"/>
          </w:rPr>
          <w:t xml:space="preserve">Observational Study</w:t>
        </w:r>
        <w:r>
          <w:rPr>
            <w:rStyle w:val="Hyperlink"/>
          </w:rPr>
          <w:t xml:space="preserve"> </w:t>
        </w:r>
        <w:r>
          <w:rPr>
            <w:rStyle w:val="Hyperlink"/>
          </w:rPr>
          <w:t xml:space="preserve">of</w:t>
        </w:r>
        <w:r>
          <w:rPr>
            <w:rStyle w:val="Hyperlink"/>
          </w:rPr>
          <w:t xml:space="preserve"> </w:t>
        </w:r>
        <w:r>
          <w:rPr>
            <w:rStyle w:val="Hyperlink"/>
          </w:rPr>
          <w:t xml:space="preserve">SARS-CoV-2 Vaccine Effectiveness</w:t>
        </w:r>
        <w:r>
          <w:rPr>
            <w:rStyle w:val="Hyperlink"/>
          </w:rPr>
          <w:t xml:space="preserve">:</w:t>
        </w:r>
        <w:r>
          <w:rPr>
            <w:rStyle w:val="Hyperlink"/>
          </w:rPr>
          <w:t xml:space="preserve"> </w:t>
        </w:r>
        <w:r>
          <w:rPr>
            <w:rStyle w:val="Hyperlink"/>
          </w:rPr>
          <w:t xml:space="preserve">A Nationwide</w:t>
        </w:r>
        <w:r>
          <w:rPr>
            <w:rStyle w:val="Hyperlink"/>
          </w:rPr>
          <w:t xml:space="preserve">,</w:t>
        </w:r>
        <w:r>
          <w:rPr>
            <w:rStyle w:val="Hyperlink"/>
          </w:rPr>
          <w:t xml:space="preserve"> </w:t>
        </w:r>
        <w:r>
          <w:rPr>
            <w:rStyle w:val="Hyperlink"/>
          </w:rPr>
          <w:t xml:space="preserve">Population-Based Danish Health Registry Study</w:t>
        </w:r>
      </w:hyperlink>
      <w:r>
        <w:t xml:space="preserve">. Clinical Epidemiology. 2024 July;Volume 16:501–12.</w:t>
      </w:r>
      <w:r>
        <w:t xml:space="preserve"> </w:t>
      </w:r>
    </w:p>
    <w:bookmarkEnd w:id="115"/>
    <w:bookmarkStart w:id="117" w:name="ref-chemaitelly2025"/>
    <w:p>
      <w:pPr>
        <w:pStyle w:val="Bibliography"/>
      </w:pPr>
      <w:r>
        <w:t xml:space="preserve">2.</w:t>
      </w:r>
      <w:r>
        <w:t xml:space="preserve"> </w:t>
      </w:r>
      <w:r>
        <w:t xml:space="preserve">	</w:t>
      </w:r>
      <w:r>
        <w:t xml:space="preserve">Chemaitelly H, Ayoub HH, Coyle P, Tang P, Hasan MR, Yassine HM, et al.</w:t>
      </w:r>
      <w:r>
        <w:t xml:space="preserve"> </w:t>
      </w:r>
      <w:hyperlink r:id="rId116">
        <w:r>
          <w:rPr>
            <w:rStyle w:val="Hyperlink"/>
          </w:rPr>
          <w:t xml:space="preserve">Assessing healthy vaccinee effect in</w:t>
        </w:r>
        <w:r>
          <w:rPr>
            <w:rStyle w:val="Hyperlink"/>
          </w:rPr>
          <w:t xml:space="preserve"> </w:t>
        </w:r>
        <w:r>
          <w:rPr>
            <w:rStyle w:val="Hyperlink"/>
          </w:rPr>
          <w:t xml:space="preserve">COVID-19</w:t>
        </w:r>
        <w:r>
          <w:rPr>
            <w:rStyle w:val="Hyperlink"/>
          </w:rPr>
          <w:t xml:space="preserve"> </w:t>
        </w:r>
        <w:r>
          <w:rPr>
            <w:rStyle w:val="Hyperlink"/>
          </w:rPr>
          <w:t xml:space="preserve">vaccine effectiveness studies: A national cohort study in</w:t>
        </w:r>
        <w:r>
          <w:rPr>
            <w:rStyle w:val="Hyperlink"/>
          </w:rPr>
          <w:t xml:space="preserve"> </w:t>
        </w:r>
        <w:r>
          <w:rPr>
            <w:rStyle w:val="Hyperlink"/>
          </w:rPr>
          <w:t xml:space="preserve">Qatar</w:t>
        </w:r>
      </w:hyperlink>
      <w:r>
        <w:t xml:space="preserve">. Schiffer JT, Henry D, editors. eLife. 2025 June;14:e103690.</w:t>
      </w:r>
      <w:r>
        <w:t xml:space="preserve"> </w:t>
      </w:r>
    </w:p>
    <w:bookmarkEnd w:id="117"/>
    <w:bookmarkEnd w:id="118"/>
    <w:bookmarkEnd w:id="119"/>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4" Target="https://doi.org/10.2147/CLEP.S468572" TargetMode="External" /><Relationship Type="http://schemas.openxmlformats.org/officeDocument/2006/relationships/hyperlink" Id="rId116"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2147/CLEP.S468572" TargetMode="External" /><Relationship Type="http://schemas.openxmlformats.org/officeDocument/2006/relationships/hyperlink" Id="rId116"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2025-12-24T04:12:44Z</dcterms:created>
  <dcterms:modified xsi:type="dcterms:W3CDTF">2025-12-24T04:12:44Z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