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95.png" ContentType="image/png"/>
  <Override PartName="/word/media/rId99.png" ContentType="image/png"/>
  <Override PartName="/word/media/rId73.png" ContentType="image/png"/>
  <Override PartName="/word/media/rId77.png" ContentType="image/png"/>
  <Override PartName="/word/media/rId67.png" ContentType="image/png"/>
  <Override PartName="/word/media/rId89.png" ContentType="image/png"/>
  <Override PartName="/word/media/rId107.png" ContentType="image/png"/>
  <Override PartName="/word/media/rId130.png" ContentType="image/png"/>
  <Override PartName="/word/media/rId126.png" ContentType="image/png"/>
  <Override PartName="/word/media/rId113.png" ContentType="image/png"/>
  <Override PartName="/word/media/rId122.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X7e352faca4f4abc41f11b7392747c843df7c7d0"/>
    <w:p>
      <w:pPr>
        <w:pStyle w:val="Heading1"/>
      </w:pPr>
      <w:r>
        <w:t xml:space="preserve">KCOR: Depletion-Neutralized Cohort Comparison via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This paper contributes a generalizable estimator for retrospective cohort comparisons under non-proportional hazards induced by selection-driven depletion of susceptibles.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 Simulation studies confirm that KCOR remains stable under selection-only regimes and reliably detects injected cumulative effects when present.</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while standard Cox regression can yield strongly non-null hazard ratios despite a true null effect.</w:t>
      </w:r>
    </w:p>
    <w:bookmarkEnd w:id="11"/>
    <w:bookmarkStart w:id="23"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4"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4"/>
    <w:bookmarkStart w:id="18"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5"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5"/>
    <w:bookmarkStart w:id="17"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16"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6"/>
    <w:bookmarkEnd w:id="17"/>
    <w:bookmarkEnd w:id="18"/>
    <w:bookmarkStart w:id="21"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19"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9"/>
    <w:p/>
    <w:bookmarkStart w:id="20" w:name="tbl:positioning"/>
    <w:p>
      <w:pPr>
        <w:pStyle w:val="TableCaption"/>
      </w:pPr>
      <w:r>
        <w:t xml:space="preserve">Table 3. Positioning KCOR among retrospective methods.</w:t>
      </w:r>
    </w:p>
    <w:tbl>
      <w:tblPr>
        <w:tblStyle w:val="Table"/>
        <w:tblW w:type="pct" w:w="5000"/>
        <w:tblLayout w:type="fixed"/>
        <w:tblLook w:firstRow="1" w:lastRow="0" w:firstColumn="0" w:lastColumn="0" w:noHBand="0" w:noVBand="0" w:val="0020"/>
        <w:tblCaption w:val="Table 3. Positioning KCOR among retrospective methods."/>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bookmarkEnd w:id="20"/>
    <w:p>
      <w:pPr>
        <w:pStyle w:val="BodyText"/>
      </w:pP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21"/>
    <w:bookmarkStart w:id="22"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after an optional stabilization skip period.</w:t>
      </w:r>
    </w:p>
    <w:p>
      <w:pPr>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rPr>
            <m:sty m:val="p"/>
          </m:rPr>
          <m:t>log</m:t>
        </m:r>
        <m:r>
          <m:rPr>
            <m:sty m:val="p"/>
          </m:rPr>
          <m:t>(</m:t>
        </m:r>
        <m:r>
          <m:t>1</m:t>
        </m:r>
        <m:r>
          <m:rPr>
            <m:sty m:val="p"/>
          </m:rPr>
          <m:t>+</m:t>
        </m:r>
        <m:sSub>
          <m:e>
            <m:r>
              <m:t>θ</m:t>
            </m:r>
          </m:e>
          <m:sub>
            <m:r>
              <m:t>d</m:t>
            </m:r>
          </m:sub>
        </m:sSub>
        <m:sSub>
          <m:e>
            <m:r>
              <m:t>k</m:t>
            </m:r>
          </m:e>
          <m:sub>
            <m:r>
              <m:t>d</m:t>
            </m:r>
          </m:sub>
        </m:sSub>
        <m:r>
          <m:t>t</m:t>
        </m:r>
        <m:r>
          <m:rPr>
            <m:sty m:val="p"/>
          </m:rPr>
          <m:t>)</m:t>
        </m:r>
      </m:oMath>
      <w:r>
        <w:t xml:space="preserve"> </w:t>
      </w:r>
      <w:r>
        <w:t xml:space="preserve">to observed cumulative hazards.</w:t>
      </w:r>
    </w:p>
    <w:p>
      <w:pPr>
        <w:numPr>
          <w:ilvl w:val="0"/>
          <w:numId w:val="1005"/>
        </w:numPr>
      </w:pPr>
      <w:r>
        <w:rPr>
          <w:b/>
          <w:bCs/>
        </w:rPr>
        <w:t xml:space="preserve">Gamma inversion</w:t>
      </w:r>
      <w:r>
        <w:t xml:space="preserve">: The fitted frailty parameters are used to invert the gamma-frailty identity, transforming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oMath>
      <w:r>
        <w:t xml:space="preserve">.</w:t>
      </w:r>
    </w:p>
    <w:p>
      <w:pPr>
        <w:numPr>
          <w:ilvl w:val="0"/>
          <w:numId w:val="1005"/>
        </w:numPr>
      </w:pPr>
      <w:r>
        <w:rPr>
          <w:b/>
          <w:bCs/>
        </w:rPr>
        <w:t xml:space="preserve">KCOR ratio</w:t>
      </w:r>
      <w:r>
        <w:t xml:space="preserve">: Cohorts are compared via the ratio of depletion-neutralized cumulative hazards: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w:t>
      </w:r>
    </w:p>
    <w:p>
      <w:pPr>
        <w:numPr>
          <w:ilvl w:val="0"/>
          <w:numId w:val="1005"/>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2"/>
    <w:bookmarkEnd w:id="23"/>
    <w:bookmarkStart w:id="84" w:name="methods"/>
    <w:p>
      <w:pPr>
        <w:pStyle w:val="Heading2"/>
      </w:pPr>
      <w:r>
        <w:t xml:space="preserve">2. Methods</w:t>
      </w:r>
    </w:p>
    <w:p>
      <w:pPr>
        <w:pStyle w:val="FirstParagraph"/>
      </w:pPr>
      <w:r>
        <w:t xml:space="preserve">Table 4 defines the notation used throughout this section.</w:t>
      </w:r>
    </w:p>
    <w:bookmarkStart w:id="24" w:name="tbl:notation"/>
    <w:p>
      <w:pPr>
        <w:pStyle w:val="TableCaption"/>
      </w:pPr>
      <w:r>
        <w:t xml:space="preserve">Table 4.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4.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4"/>
    <w:p>
      <w:pPr>
        <w:pStyle w:val="BodyText"/>
      </w:pPr>
      <w:r>
        <w:t xml:space="preserve">For COVID-19 vaccination analyses, intervention count corresponds to the number of vaccine doses received; more generally, this can index any discrete exposure level.</w:t>
      </w:r>
    </w:p>
    <w:bookmarkStart w:id="31"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6"/>
        </w:numPr>
      </w:pPr>
      <w:r>
        <w:rPr>
          <w:b/>
          <w:bCs/>
        </w:rPr>
        <w:t xml:space="preserve">Level effects</w:t>
      </w:r>
      <w:r>
        <w:t xml:space="preserve">: multiplicative shifts in hazard that are constant over time.</w:t>
      </w:r>
    </w:p>
    <w:p>
      <w:pPr>
        <w:pStyle w:val="Compact"/>
        <w:numPr>
          <w:ilvl w:val="0"/>
          <w:numId w:val="1006"/>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2 provides a schematic overview of the KCOR workflow.</w:t>
      </w:r>
    </w:p>
    <w:bookmarkStart w:id="25"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epidemiologically quiet period</w:t>
      </w:r>
      <w:r>
        <w:t xml:space="preserve"> </w:t>
      </w:r>
      <w:r>
        <w:rPr>
          <w:i/>
          <w:iCs/>
        </w:rPr>
        <w:t xml:space="preserve">(i.e., periods with approximately stable baseline hazard and no major external mortality shocks, rather than simply periods of low mortality)</w:t>
      </w:r>
      <w:r>
        <w:t xml:space="preserve"> </w:t>
      </w:r>
      <w:r>
        <w:t xml:space="preserve">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p>
      <w:pPr>
        <w:pStyle w:val="BodyText"/>
      </w:pPr>
      <w:r>
        <w:t xml:space="preserve">KCOR is designed for settings in which selection-induced depletion of susceptibles is the dominant source of non-proportionality in cohort hazards; regimes in which timing misalignment or denominator redefinition dominate are typically identifiable through early instability, lack of a valid quiet window, or failure of post-normalization linearity and therefore fall outside the intended scope of the method.</w:t>
      </w:r>
    </w:p>
    <w:bookmarkEnd w:id="25"/>
    <w:bookmarkStart w:id="26"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07"/>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07"/>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07"/>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07"/>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07"/>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narrows what can be inferred, but does not invalidate the KCOR estimator itself. Formal diagnostics underlying these checks, including frailty-parameter coherence and stability, are detailed in Appendix D.</w:t>
      </w:r>
    </w:p>
    <w:bookmarkEnd w:id="26"/>
    <w:bookmarkStart w:id="27" w:name="Xc1b0e04e56855481db261cf53694dff2f44b845"/>
    <w:p>
      <w:pPr>
        <w:pStyle w:val="Heading4"/>
      </w:pPr>
      <w:r>
        <w:t xml:space="preserve">2.1.2a Multiplicity and ensemble interpretation</w:t>
      </w:r>
    </w:p>
    <w:p>
      <w:pPr>
        <w:pStyle w:val="FirstParagraph"/>
      </w:pPr>
      <w:r>
        <w:t xml:space="preserve">KCOR is not intended as a mass univariate hypothesis-testing framework. When applied across multiple age strata, enrollment periods, or dose comparisons, resulting KCOR trajectories should be interpreted as correlated views of a shared underlying process rather than as independent statistical tests. Accordingly, inference emphasizes diagnostic coherence, temporal stability, and consistency of cumulative-outcome patterns across strata, rather than reliance on nominal significance thresholds or formal multiple-comparison corrections.</w:t>
      </w:r>
    </w:p>
    <w:bookmarkEnd w:id="27"/>
    <w:bookmarkStart w:id="28" w:name="identifiability-and-scope-of-inference"/>
    <w:p>
      <w:pPr>
        <w:pStyle w:val="Heading4"/>
      </w:pPr>
      <w:r>
        <w:t xml:space="preserve">2.1.3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28"/>
    <w:bookmarkStart w:id="29" w:name="X2ff639dda5c76ee12c1be373d6ab806d9726741"/>
    <w:p>
      <w:pPr>
        <w:pStyle w:val="Heading4"/>
      </w:pPr>
      <w:r>
        <w:t xml:space="preserve">2.1.4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causal terminology, latent frailty heterogeneity functions as an unmeasured confounder; however, its defining feature in this setting is not baseline imbalance per se but the induced time-evolution of the risk set, which violates proportional hazards even under a true null effect.</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29"/>
    <w:bookmarkStart w:id="30" w:name="X19be1cc8b4f22674f4fa31b60c80ceca3407093"/>
    <w:p>
      <w:pPr>
        <w:pStyle w:val="Heading4"/>
      </w:pPr>
      <w:r>
        <w:t xml:space="preserve">2.1.5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 (</w:t>
      </w:r>
      <m:oMath>
        <m:acc>
          <m:accPr>
            <m:chr m:val="̂"/>
          </m:accPr>
          <m:e>
            <m:r>
              <m:t>θ</m:t>
            </m:r>
          </m:e>
        </m:acc>
        <m:r>
          <m:rPr>
            <m:sty m:val="p"/>
          </m:rPr>
          <m:t>≈</m:t>
        </m:r>
        <m:r>
          <m:t>0</m:t>
        </m:r>
      </m:oMath>
      <w:r>
        <w:t xml:space="preserve">) 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30"/>
    <w:bookmarkEnd w:id="31"/>
    <w:bookmarkStart w:id="33"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8"/>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8"/>
        </w:numPr>
      </w:pPr>
      <w:r>
        <w:t xml:space="preserve">No censoring or cohort switching is permitted in the primary estimand.</w:t>
      </w:r>
    </w:p>
    <w:p>
      <w:pPr>
        <w:pStyle w:val="Compact"/>
        <w:numPr>
          <w:ilvl w:val="0"/>
          <w:numId w:val="1008"/>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32"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9"/>
        </w:numPr>
      </w:pPr>
      <w:r>
        <w:t xml:space="preserve">Record-level data</w:t>
      </w:r>
      <w:r>
        <w:br/>
      </w:r>
    </w:p>
    <w:p>
      <w:pPr>
        <w:pStyle w:val="Compact"/>
        <w:numPr>
          <w:ilvl w:val="0"/>
          <w:numId w:val="1009"/>
        </w:numPr>
      </w:pPr>
      <w:r>
        <w:t xml:space="preserve">Aggregated outcome summary data</w:t>
      </w:r>
      <w:r>
        <w:br/>
      </w:r>
    </w:p>
    <w:p>
      <w:pPr>
        <w:pStyle w:val="Compact"/>
        <w:numPr>
          <w:ilvl w:val="0"/>
          <w:numId w:val="1009"/>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32"/>
    <w:bookmarkEnd w:id="33"/>
    <w:bookmarkStart w:id="37"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bookmarkStart w:id="34" w:name="eq:hazard-discrete"/>
    <w:p>
      <w:pPr>
        <w:pStyle w:val="BodyText"/>
      </w:pPr>
      <w:pPr>
        <w:tabs>
          <w:tab w:val="center" w:leader="none" w:pos="4680"/>
          <w:tab w:val="right" w:leader="none" w:pos="9360"/>
        </w:tabs>
      </w:pPr>
      <w:r>
        <w:tab/>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1</m:t>
        </m:r>
        <m:r>
          <m:rPr>
            <m:sty m:val="p"/>
          </m:rPr>
          <m:t>)</m:t>
        </m:r>
      </m:oMath>
    </w:p>
    <w:bookmarkEnd w:id="34"/>
    <w:p>
      <w:pPr>
        <w:pStyle w:val="BodyText"/>
      </w:pPr>
      <w:r>
        <w:t xml:space="preserve">We work primarily in</w:t>
      </w:r>
      <w:r>
        <w:t xml:space="preserve"> </w:t>
      </w:r>
      <w:r>
        <w:rPr>
          <w:b/>
          <w:bCs/>
        </w:rPr>
        <w:t xml:space="preserve">cumulative-hazard space</w:t>
      </w:r>
      <w:r>
        <w:t xml:space="preserve">, accumulating observed hazards after an optional stabilization skip (see §2.7):</w:t>
      </w:r>
    </w:p>
    <w:bookmarkStart w:id="35" w:name="eq:cumhazard-observed"/>
    <w:p>
      <w:pPr>
        <w:pStyle w:val="BodyText"/>
      </w:pPr>
      <w:pPr>
        <w:tabs>
          <w:tab w:val="center" w:leader="none" w:pos="4680"/>
          <w:tab w:val="right" w:leader="none" w:pos="9360"/>
        </w:tabs>
      </w:pPr>
      <w:r>
        <w:tab/>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oMath>
      <w:r>
        <w:t xml:space="preserve"> </w:t>
      </w:r>
      <w:r>
        <w:tab/>
      </w:r>
      <w:r>
        <w:t xml:space="preserve"> </w:t>
      </w:r>
      <m:oMath>
        <m:r>
          <m:rPr>
            <m:sty m:val="p"/>
          </m:rPr>
          <m:t>(</m:t>
        </m:r>
        <m:r>
          <m:t>2</m:t>
        </m:r>
        <m:r>
          <m:rPr>
            <m:sty m:val="p"/>
          </m:rPr>
          <m:t>)</m:t>
        </m:r>
      </m:oMath>
    </w:p>
    <w:bookmarkEnd w:id="35"/>
    <w:bookmarkStart w:id="36" w:name="discrete-time-and-tied-events"/>
    <w:p>
      <w:pPr>
        <w:pStyle w:val="Heading4"/>
      </w:pPr>
      <w:r>
        <w:t xml:space="preserve">2.3.1 Discrete time and tied events</w:t>
      </w:r>
    </w:p>
    <w:p>
      <w:pPr>
        <w:pStyle w:val="FirstParagraph"/>
      </w:pPr>
      <w:r>
        <w:t xml:space="preserve">KCOR is formulated in discrete time using aggregated event counts and therefore naturally accommodates tied event times. For population registry data, weekly or similarly coarse time bins are generally appropriate and reduce noise without sacrificing identifiability. Finer binning does not improve depletion normalization and may destabilize frailty estimation when event counts per bin are small. Bin width should be guided by diagnostic stability rather than temporal resolution alone.</w:t>
      </w:r>
    </w:p>
    <w:bookmarkEnd w:id="36"/>
    <w:bookmarkEnd w:id="37"/>
    <w:bookmarkStart w:id="50" w:name="Xe033a348c5bd6b05b57c8d9f7299f5850ccd667"/>
    <w:p>
      <w:pPr>
        <w:pStyle w:val="Heading3"/>
      </w:pPr>
      <w:r>
        <w:t xml:space="preserve">2.4 Selection model: gamma frailty and the cumulative-hazard identity</w:t>
      </w:r>
    </w:p>
    <w:bookmarkStart w:id="39"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bookmarkStart w:id="38"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3</m:t>
        </m:r>
        <m:r>
          <m:rPr>
            <m:sty m:val="p"/>
          </m:rPr>
          <m:t>)</m:t>
        </m:r>
      </m:oMath>
    </w:p>
    <w:bookmarkEnd w:id="38"/>
    <w:p>
      <w:pPr>
        <w:pStyle w:val="BodyText"/>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w:t>
      </w:r>
      <w:r>
        <w:t xml:space="preserve">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39"/>
    <w:bookmarkStart w:id="47" w:name="gamma-frailty-identity-core-mathematics"/>
    <w:p>
      <w:pPr>
        <w:pStyle w:val="Heading4"/>
      </w:pPr>
      <w:r>
        <w:t xml:space="preserve">2.4.2 Gamma-frailty identity (core mathematics)</w:t>
      </w:r>
    </w:p>
    <w:p>
      <w:pPr>
        <w:pStyle w:val="FirstParagraph"/>
      </w:pPr>
      <w:r>
        <w:t xml:space="preserve">Let the baseline cumulative hazard be</w:t>
      </w:r>
    </w:p>
    <w:bookmarkStart w:id="40"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oMath>
      <w:r>
        <w:t xml:space="preserve"> </w:t>
      </w:r>
      <w:r>
        <w:tab/>
      </w:r>
      <w:r>
        <w:t xml:space="preserve"> </w:t>
      </w:r>
      <m:oMath>
        <m:r>
          <m:rPr>
            <m:sty m:val="p"/>
          </m:rPr>
          <m:t>(</m:t>
        </m:r>
        <m:r>
          <m:t>4</m:t>
        </m:r>
        <m:r>
          <m:rPr>
            <m:sty m:val="p"/>
          </m:rPr>
          <m:t>)</m:t>
        </m:r>
      </m:oMath>
    </w:p>
    <w:bookmarkEnd w:id="40"/>
    <w:p>
      <w:pPr>
        <w:pStyle w:val="BodyText"/>
      </w:pPr>
      <w:r>
        <w:t xml:space="preserve">Integrating over gamma frailty yields a closed-form relationship between the observed cohort cumulative hazard and the baseline cumulative hazard:</w:t>
      </w:r>
    </w:p>
    <w:bookmarkStart w:id="41" w:name="eq:gamma-frailty-identity"/>
    <w:p>
      <w:pPr>
        <w:pStyle w:val="BodyText"/>
      </w:pPr>
      <w:pPr>
        <w:tabs>
          <w:tab w:val="center" w:leader="none" w:pos="4680"/>
          <w:tab w:val="right" w:leader="none" w:pos="9360"/>
        </w:tabs>
      </w:pPr>
      <w:r>
        <w:tab/>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5</m:t>
        </m:r>
        <m:r>
          <m:rPr>
            <m:sty m:val="p"/>
          </m:rPr>
          <m:t>)</m:t>
        </m:r>
      </m:oMath>
    </w:p>
    <w:bookmarkEnd w:id="41"/>
    <w:p>
      <w:pPr>
        <w:pStyle w:val="BodyText"/>
      </w:pPr>
      <w:r>
        <w:t xml:space="preserve">This identity can be inverted exactly:</w:t>
      </w:r>
    </w:p>
    <w:bookmarkStart w:id="42"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oMath>
      <w:r>
        <w:t xml:space="preserve"> </w:t>
      </w:r>
      <w:r>
        <w:tab/>
      </w:r>
      <w:r>
        <w:t xml:space="preserve"> </w:t>
      </w:r>
      <m:oMath>
        <m:r>
          <m:rPr>
            <m:sty m:val="p"/>
          </m:rPr>
          <m:t>(</m:t>
        </m:r>
        <m:r>
          <m:t>6</m:t>
        </m:r>
        <m:r>
          <m:rPr>
            <m:sty m:val="p"/>
          </m:rPr>
          <m:t>)</m:t>
        </m:r>
      </m:oMath>
    </w:p>
    <w:bookmarkEnd w:id="42"/>
    <w:p>
      <w:pPr>
        <w:pStyle w:val="BodyText"/>
      </w:pPr>
      <w:r>
        <w:t xml:space="preserve">This inversion is the</w:t>
      </w:r>
      <w:r>
        <w:t xml:space="preserve"> </w:t>
      </w:r>
      <w:r>
        <w:rPr>
          <w:b/>
          <w:bCs/>
        </w:rPr>
        <w:t xml:space="preserve">KCOR normalization step</w:t>
      </w:r>
      <w:r>
        <w:t xml:space="preserve">: it transforms the observed cumulative hazard into a depletion-neutralized baseline cumulative hazard for each cohort. Figure 1 illustrates this logic schematically.</w:t>
      </w:r>
    </w:p>
    <w:bookmarkStart w:id="46" w:name="fig:kcor_v6_schematic"/>
    <w:p>
      <w:pPr>
        <w:pStyle w:val="CaptionedFigure"/>
      </w:pPr>
      <w:r>
        <w:drawing>
          <wp:inline>
            <wp:extent cx="5334000" cy="1417316"/>
            <wp:effectExtent b="0" l="0" r="0" t="0"/>
            <wp:docPr descr="Figure 1. Three-panel schematic illustrating the KCOR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44" name="Picture"/>
            <a:graphic>
              <a:graphicData uri="http://schemas.openxmlformats.org/drawingml/2006/picture">
                <pic:pic>
                  <pic:nvPicPr>
                    <pic:cNvPr descr="figures/fig1_kcor_v6_schematic.png" id="45" name="Picture"/>
                    <pic:cNvPicPr>
                      <a:picLocks noChangeArrowheads="1" noChangeAspect="1"/>
                    </pic:cNvPicPr>
                  </pic:nvPicPr>
                  <pic:blipFill>
                    <a:blip r:embed="rId43"/>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46"/>
    <w:bookmarkEnd w:id="47"/>
    <w:bookmarkStart w:id="49"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bookmarkStart w:id="48"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oMath>
      <w:r>
        <w:t xml:space="preserve"> </w:t>
      </w:r>
      <w:r>
        <w:tab/>
      </w:r>
      <w:r>
        <w:t xml:space="preserve"> </w:t>
      </w:r>
      <m:oMath>
        <m:r>
          <m:rPr>
            <m:sty m:val="p"/>
          </m:rPr>
          <m:t>(</m:t>
        </m:r>
        <m:r>
          <m:t>7</m:t>
        </m:r>
        <m:r>
          <m:rPr>
            <m:sty m:val="p"/>
          </m:rPr>
          <m:t>)</m:t>
        </m:r>
      </m:oMath>
    </w:p>
    <w:bookmarkEnd w:id="48"/>
    <w:p>
      <w:pPr>
        <w:pStyle w:val="BodyText"/>
      </w:pPr>
      <w:r>
        <w:t xml:space="preserve">This choice minimizes degrees of freedom and forces curvature during quiet periods to be explained by selection (frailty) rather than by an explicit time-varying baseline.</w:t>
      </w:r>
    </w:p>
    <w:bookmarkEnd w:id="49"/>
    <w:bookmarkEnd w:id="50"/>
    <w:bookmarkStart w:id="55"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51"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8</m:t>
        </m:r>
        <m:r>
          <m:rPr>
            <m:sty m:val="p"/>
          </m:rPr>
          <m:t>)</m:t>
        </m:r>
      </m:oMath>
    </w:p>
    <w:bookmarkEnd w:id="51"/>
    <w:p>
      <w:pPr>
        <w:pStyle w:val="BodyText"/>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bookmarkStart w:id="52"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9</m:t>
        </m:r>
        <m:r>
          <m:rPr>
            <m:sty m:val="p"/>
          </m:rPr>
          <m:t>)</m:t>
        </m:r>
      </m:oMath>
    </w:p>
    <w:bookmarkEnd w:id="52"/>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4"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0"/>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0"/>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0"/>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3" w:name="eq:hazard-from-mr-improved"/>
    <w:p>
      <w:pPr>
        <w:pStyle w:val="FirstParagraph"/>
      </w:pPr>
      <w:pPr>
        <w:tabs>
          <w:tab w:val="center" w:leader="none" w:pos="4680"/>
          <w:tab w:val="right" w:leader="none" w:pos="9360"/>
        </w:tabs>
      </w:pPr>
      <w:r>
        <w:tab/>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10</m:t>
        </m:r>
        <m:r>
          <m:rPr>
            <m:sty m:val="p"/>
          </m:rPr>
          <m:t>)</m:t>
        </m:r>
      </m:oMath>
    </w:p>
    <w:bookmarkEnd w:id="53"/>
    <w:p>
      <w:pPr>
        <w:pStyle w:val="BodyText"/>
      </w:pPr>
      <w:r>
        <w:t xml:space="preserve">This form provides a second-order accurate approximation to the continuous-time hazard while remaining numerically stable for small mortality-rate (MR) values.</w:t>
      </w:r>
    </w:p>
    <w:p>
      <w:pPr>
        <w:pStyle w:val="Compact"/>
        <w:numPr>
          <w:ilvl w:val="0"/>
          <w:numId w:val="1011"/>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4"/>
    <w:bookmarkEnd w:id="55"/>
    <w:bookmarkStart w:id="60"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6"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11</m:t>
        </m:r>
        <m:r>
          <m:rPr>
            <m:sty m:val="p"/>
          </m:rPr>
          <m:t>)</m:t>
        </m:r>
      </m:oMath>
    </w:p>
    <w:bookmarkEnd w:id="56"/>
    <w:p>
      <w:pPr>
        <w:pStyle w:val="BodyText"/>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measurable depletion undergo an upward correction.</w:t>
      </w:r>
    </w:p>
    <w:p>
      <w:pPr>
        <w:pStyle w:val="BodyText"/>
      </w:pPr>
      <w:r>
        <w:t xml:space="preserve">An adjusted hazard may be recovered by differencing:</w:t>
      </w:r>
    </w:p>
    <w:bookmarkStart w:id="57"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12</m:t>
        </m:r>
        <m:r>
          <m:rPr>
            <m:sty m:val="p"/>
          </m:rPr>
          <m:t>)</m:t>
        </m:r>
      </m:oMath>
    </w:p>
    <w:bookmarkEnd w:id="57"/>
    <w:p>
      <w:pPr>
        <w:pStyle w:val="BodyText"/>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8"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8"/>
    <w:bookmarkStart w:id="59"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2"/>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2"/>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2"/>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2"/>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59"/>
    <w:bookmarkEnd w:id="60"/>
    <w:bookmarkStart w:id="62"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61"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13</m:t>
        </m:r>
        <m:r>
          <m:rPr>
            <m:sty m:val="p"/>
          </m:rPr>
          <m:t>)</m:t>
        </m:r>
      </m:oMath>
    </w:p>
    <w:bookmarkEnd w:id="61"/>
    <w:p>
      <w:pPr>
        <w:pStyle w:val="BodyText"/>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62"/>
    <w:bookmarkStart w:id="64"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3"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14</m:t>
        </m:r>
        <m:r>
          <m:rPr>
            <m:sty m:val="p"/>
          </m:rPr>
          <m:t>)</m:t>
        </m:r>
      </m:oMath>
    </w:p>
    <w:bookmarkEnd w:id="63"/>
    <w:p>
      <w:pPr>
        <w:pStyle w:val="BodyText"/>
      </w:pPr>
      <w:r>
        <w:t xml:space="preserve">This is a cumulative comparison in hazard space after removing cohort-specific selection-induced depletion dynamics estimated during quiet periods.</w:t>
      </w:r>
    </w:p>
    <w:bookmarkEnd w:id="64"/>
    <w:bookmarkStart w:id="65"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3"/>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3"/>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5"/>
    <w:bookmarkStart w:id="71"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6"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6"/>
    <w:bookmarkStart w:id="70"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68" name="Picture"/>
            <a:graphic>
              <a:graphicData uri="http://schemas.openxmlformats.org/drawingml/2006/picture">
                <pic:pic>
                  <pic:nvPicPr>
                    <pic:cNvPr descr="figures/fig_kcor_workflow.png" id="69" name="Picture"/>
                    <pic:cNvPicPr>
                      <a:picLocks noChangeArrowheads="1" noChangeAspect="1"/>
                    </pic:cNvPicPr>
                  </pic:nvPicPr>
                  <pic:blipFill>
                    <a:blip r:embed="rId67"/>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70"/>
    <w:bookmarkEnd w:id="71"/>
    <w:bookmarkStart w:id="83"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Accordingly, Cox results are presented here only as a diagnostic demonstration of assumption failure, not as a competing causal estimator.</w:t>
      </w:r>
    </w:p>
    <w:p>
      <w:pPr>
        <w:pStyle w:val="BodyText"/>
      </w:pPr>
      <w:r>
        <w:t xml:space="preserve">Conceptually, Cox regression estimates a treatment effect by fitting a hazard model to the observed data and reading the effect from the fitted coefficients, whereas KCOR uses a parametric model only to adjust the observed data for selection-induced depletion and then computes cohort contrasts directly from the adjusted cumulative hazards themselves.</w:t>
      </w:r>
    </w:p>
    <w:bookmarkStart w:id="81"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w:t>
      </w:r>
      <w:r>
        <w:t xml:space="preserve"> </w:t>
      </w:r>
      <m:oMath>
        <m:acc>
          <m:accPr>
            <m:chr m:val="̂"/>
          </m:accPr>
          <m:e>
            <m:r>
              <m:t>H</m:t>
            </m:r>
          </m:e>
        </m:acc>
        <m:r>
          <m:rPr>
            <m:sty m:val="p"/>
          </m:rPr>
          <m:t>(</m:t>
        </m:r>
        <m:r>
          <m:t>t</m:t>
        </m:r>
        <m:r>
          <m:rPr>
            <m:sty m:val="p"/>
          </m:rPr>
          <m:t>)</m:t>
        </m:r>
      </m:oMath>
      <w:r>
        <w:t xml:space="preserve"> </w:t>
      </w:r>
      <w:r>
        <w:t xml:space="preserve">were estimated nonparametrically using the Nelson–Aalen estimator, then mapped to depletion-neutralized baseline cumulative hazards via the gamma-frailty inversion prior to computing KCOR</w:t>
      </w:r>
      <m:oMath>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 KCOR</w:t>
      </w:r>
      <m:oMath>
        <m:r>
          <m:rPr>
            <m:sty m:val="p"/>
          </m:rPr>
          <m:t>(</m:t>
        </m:r>
        <m:r>
          <m:t>t</m:t>
        </m:r>
        <m:r>
          <m:rPr>
            <m:sty m:val="p"/>
          </m:rPr>
          <m:t>)</m:t>
        </m:r>
      </m:oMath>
      <w:r>
        <w:t xml:space="preserve">. Post-normalization slope and asymptotic KCOR 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14"/>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14"/>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 KCOR 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2"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 KCOR 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KCOR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2"/>
    <w:bookmarkStart w:id="76" w:name="fig:cox_bias_hr"/>
    <w:p>
      <w:pPr>
        <w:pStyle w:val="CaptionedFigure"/>
      </w:pPr>
      <w:r>
        <w:drawing>
          <wp:inline>
            <wp:extent cx="5334000" cy="3975680"/>
            <wp:effectExtent b="0" l="0" r="0" t="0"/>
            <wp:docPr descr="Figure 3.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4" name="Picture"/>
            <a:graphic>
              <a:graphicData uri="http://schemas.openxmlformats.org/drawingml/2006/picture">
                <pic:pic>
                  <pic:nvPicPr>
                    <pic:cNvPr descr="figures/fig_cox_bias_hr_vs_theta.png" id="75" name="Picture"/>
                    <pic:cNvPicPr>
                      <a:picLocks noChangeArrowheads="1" noChangeAspect="1"/>
                    </pic:cNvPicPr>
                  </pic:nvPicPr>
                  <pic:blipFill>
                    <a:blip r:embed="rId73"/>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6"/>
    <w:bookmarkStart w:id="80" w:name="fig:cox_bias_kcor"/>
    <w:p>
      <w:pPr>
        <w:pStyle w:val="CaptionedFigure"/>
      </w:pPr>
      <w:r>
        <w:drawing>
          <wp:inline>
            <wp:extent cx="5334000" cy="3975680"/>
            <wp:effectExtent b="0" l="0" r="0" t="0"/>
            <wp:docPr descr="Figure 4. KCOR remains null under a synthetic null across increasing frailty heterogeneity. KCOR asymptotes remain near 1 across \theta in the same simulations, consistent with correct null behavior after depletion normalization." title="" id="78" name="Picture"/>
            <a:graphic>
              <a:graphicData uri="http://schemas.openxmlformats.org/drawingml/2006/picture">
                <pic:pic>
                  <pic:nvPicPr>
                    <pic:cNvPr descr="figures/fig_cox_bias_kcor_vs_theta.png" id="79" name="Picture"/>
                    <pic:cNvPicPr>
                      <a:picLocks noChangeArrowheads="1" noChangeAspect="1"/>
                    </pic:cNvPicPr>
                  </pic:nvPicPr>
                  <pic:blipFill>
                    <a:blip r:embed="rId77"/>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4. KCOR remains null under a synthetic null across increasing frailty heterogeneity. KCOR asymptotes remain near 1 across</w:t>
      </w:r>
      <w:r>
        <w:t xml:space="preserve"> </w:t>
      </w:r>
      <m:oMath>
        <m:r>
          <m:t>θ</m:t>
        </m:r>
      </m:oMath>
      <w:r>
        <w:t xml:space="preserve"> </w:t>
      </w:r>
      <w:r>
        <w:t xml:space="preserve">in the same simulations, consistent with correct null behavior after depletion normalization.</w:t>
      </w:r>
    </w:p>
    <w:bookmarkEnd w:id="80"/>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motivating cumulative-hazard–based normalization when selection-induced curvature is present.</w:t>
      </w:r>
    </w:p>
    <w:bookmarkEnd w:id="81"/>
    <w:bookmarkStart w:id="82"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comparison is beyond scope; the synthetic null demonstration illustrates the specific failure mode KCOR is designed to address.</w:t>
      </w:r>
    </w:p>
    <w:bookmarkEnd w:id="82"/>
    <w:bookmarkEnd w:id="83"/>
    <w:bookmarkEnd w:id="84"/>
    <w:bookmarkStart w:id="137"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5"/>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5"/>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85" w:name="tbl:frailty_diagnostics"/>
    <w:p>
      <w:pPr>
        <w:pStyle w:val="TableCaption"/>
      </w:pPr>
      <w:r>
        <w:t xml:space="preserve">Table 7. Estimated gamma-frailty variance (</w:t>
      </w:r>
      <m:oMath>
        <m:acc>
          <m:accPr>
            <m:chr m:val="̂"/>
          </m:accPr>
          <m:e>
            <m:r>
              <m:t>θ</m:t>
            </m:r>
          </m:e>
        </m:acc>
      </m:oMath>
      <w:r>
        <w:t xml:space="preserve">) by age band and vaccination status for Czech cohorts enrolled in 2021_24.</w:t>
      </w:r>
    </w:p>
    <w:tbl>
      <w:tblPr>
        <w:tblStyle w:val="Table"/>
        <w:tblW w:type="pct" w:w="5000"/>
        <w:tblLayout w:type="fixed"/>
        <w:tblLook w:firstRow="1" w:lastRow="0" w:firstColumn="0" w:lastColumn="0" w:noHBand="0" w:noVBand="0" w:val="0020"/>
        <w:tblCaption w:val="Table 7. Estimated gamma-frailty variance (\hat{\theta})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m:oMath>
              <m:acc>
                <m:accPr>
                  <m:chr m:val="̂"/>
                </m:accPr>
                <m:e>
                  <m:r>
                    <m:t>θ</m:t>
                  </m:r>
                </m:e>
              </m:acc>
            </m:oMath>
            <w:r>
              <w:t xml:space="preserve"> </w:t>
            </w:r>
            <w:r>
              <w:t xml:space="preserve">Dose 0</w:t>
            </w:r>
          </w:p>
        </w:tc>
        <w:tc>
          <w:tcPr/>
          <w:p>
            <w:pPr>
              <w:pStyle w:val="Compact"/>
              <w:jc w:val="right"/>
            </w:pPr>
            <m:oMath>
              <m:acc>
                <m:accPr>
                  <m:chr m:val="̂"/>
                </m:accPr>
                <m:e>
                  <m:r>
                    <m:t>θ</m:t>
                  </m:r>
                </m:e>
              </m:acc>
            </m:oMath>
            <w:r>
              <w:t xml:space="preserve"> </w:t>
            </w:r>
            <w:r>
              <w:t xml:space="preserve">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85"/>
    <w:p>
      <w:pPr>
        <w:pStyle w:val="BodyText"/>
      </w:pPr>
      <w:r>
        <w:rPr>
          <w:b/>
          <w:bCs/>
        </w:rPr>
        <w:t xml:space="preserve">Notes:</w:t>
      </w:r>
      <w:r>
        <w:t xml:space="preserve"> </w:t>
      </w:r>
      <w:r>
        <w:t xml:space="preserve">-</w:t>
      </w:r>
      <w:r>
        <w:t xml:space="preserve"> </w:t>
      </w:r>
      <m:oMath>
        <m:acc>
          <m:accPr>
            <m:chr m:val="̂"/>
          </m:accPr>
          <m:e>
            <m:r>
              <m:t>θ</m:t>
            </m:r>
          </m:e>
        </m:acc>
      </m:oMath>
      <w:r>
        <w:t xml:space="preserve"> </w:t>
      </w:r>
      <w:r>
        <w:t xml:space="preserve">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w:t>
      </w:r>
      <w:r>
        <w:t xml:space="preserve"> </w:t>
      </w:r>
      <m:oMath>
        <m:acc>
          <m:accPr>
            <m:chr m:val="̂"/>
          </m:accPr>
          <m:e>
            <m:r>
              <m:t>θ</m:t>
            </m:r>
          </m:e>
        </m:acc>
      </m:oMath>
      <w:r>
        <w:t xml:space="preserve"> </w:t>
      </w:r>
      <w:r>
        <w:t xml:space="preserve">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8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m:oMath>
        <m:acc>
          <m:accPr>
            <m:chr m:val="̂"/>
          </m:accPr>
          <m:e>
            <m:r>
              <m:t>θ</m:t>
            </m:r>
          </m:e>
        </m:acc>
      </m:oMath>
      <w:r>
        <w:t xml:space="preserve"> </w:t>
      </w:r>
      <w:r>
        <w:t xml:space="preserve">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m:oMath>
        <m:acc>
          <m:accPr>
            <m:chr m:val="̂"/>
          </m:accPr>
          <m:e>
            <m:r>
              <m:t>θ</m:t>
            </m:r>
          </m:e>
        </m:acc>
      </m:oMath>
      <w:r>
        <w:t xml:space="preserve"> </w:t>
      </w:r>
      <w:r>
        <w:t xml:space="preserve">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BodyText"/>
      </w:pPr>
      <w:r>
        <w:rPr>
          <w:b/>
          <w:bCs/>
        </w:rPr>
        <w:t xml:space="preserve">Interpretation:</w:t>
      </w:r>
      <w:r>
        <w:t xml:space="preserve"> </w:t>
      </w:r>
      <w:r>
        <w:t xml:space="preserve">Unvaccinated cohorts exhibit frailty heterogeneity (</w:t>
      </w:r>
      <m:oMath>
        <m:acc>
          <m:accPr>
            <m:chr m:val="̂"/>
          </m:accPr>
          <m:e>
            <m:r>
              <m:t>θ</m:t>
            </m:r>
          </m:e>
        </m:acc>
        <m:r>
          <m:rPr>
            <m:sty m:val="p"/>
          </m:rPr>
          <m:t>&gt;</m:t>
        </m:r>
        <m:r>
          <m:t>0</m:t>
        </m:r>
      </m:oMath>
      <w:r>
        <w:t xml:space="preserve">), while Dose 2 cohorts show near-zero estimated frailty (</w:t>
      </w:r>
      <m:oMath>
        <m:acc>
          <m:accPr>
            <m:chr m:val="̂"/>
          </m:accPr>
          <m:e>
            <m:r>
              <m:t>θ</m:t>
            </m:r>
          </m:e>
        </m:acc>
        <m:r>
          <m:rPr>
            <m:sty m:val="p"/>
          </m:rPr>
          <m:t>≈</m:t>
        </m:r>
        <m:r>
          <m:t>0</m:t>
        </m:r>
      </m:oMath>
      <w:r>
        <w:t xml:space="preserve">) across all age bands, consistent with selective uptake prior to follow-up. Frailty variance is largest at younger ages, where low baseline mortality amplifies the impact of heterogeneity on cumulative hazard curvature, and declines at older ages where mortality is compressed and survivors are more homogeneous. Because Table 7 demonstrates selection-induced heterogeneity, unadjusted cumulative outcome contrasts are expected to conflate depletion effects with any true treatment differences; Table 8 therefore reports raw cumulative hazards solely as a pre-normalization diagnostic. KCOR normalization removes the depletion component, enabling interpretable comparison of the remaining differences.</w:t>
      </w:r>
    </w:p>
    <w:bookmarkStart w:id="86" w:name="tbl:raw_cumulative_outcomes"/>
    <w:p>
      <w:pPr>
        <w:pStyle w:val="TableCaption"/>
      </w:pPr>
      <w:r>
        <w:t xml:space="preserve">Table 8.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8.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86"/>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Start w:id="87" w:name="X9ac3801cf2efec47c3f62c9e1f18b5d55fb3142"/>
    <w:p>
      <w:pPr>
        <w:pStyle w:val="Heading4"/>
      </w:pPr>
      <w:r>
        <w:t xml:space="preserve">3.0.1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used in Tables 2 and 3 exemplify this regime: voluntary uptake led to asymmetric selection at enrollment, with vaccinated cohorts exhibiting minimal frailty heterogeneity (near-zero</w:t>
      </w:r>
      <w:r>
        <w:t xml:space="preserve"> </w:t>
      </w:r>
      <m:oMath>
        <m:acc>
          <m:accPr>
            <m:chr m:val="̂"/>
          </m:accPr>
          <m:e>
            <m:r>
              <m:t>θ</m:t>
            </m:r>
          </m:e>
        </m:acc>
      </m:oMath>
      <w:r>
        <w:t xml:space="preserve">) while unvaccinated cohorts retained substantial heterogeneity (</w:t>
      </w:r>
      <m:oMath>
        <m:acc>
          <m:accPr>
            <m:chr m:val="̂"/>
          </m:accPr>
          <m:e>
            <m:r>
              <m:t>θ</m:t>
            </m:r>
          </m:e>
        </m:acc>
        <m:r>
          <m:rPr>
            <m:sty m:val="p"/>
          </m:rPr>
          <m:t>&gt;</m:t>
        </m:r>
        <m:r>
          <m:t>0</m:t>
        </m:r>
      </m:oMath>
      <w:r>
        <w:t xml:space="preserve">).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87"/>
    <w:bookmarkStart w:id="88"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88"/>
    <w:bookmarkStart w:id="105" w:name="X250d2743dd947cd04209f9dc9cf02b545517230"/>
    <w:p>
      <w:pPr>
        <w:pStyle w:val="Heading3"/>
      </w:pPr>
      <w:r>
        <w:t xml:space="preserve">3.1 Negative controls: null under selection-induced curvature</w:t>
      </w:r>
    </w:p>
    <w:bookmarkStart w:id="94"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6"/>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6"/>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6"/>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93"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7"/>
        </w:numPr>
      </w:pPr>
      <w:r>
        <w:t xml:space="preserve">Time unit: weeks.</w:t>
      </w:r>
    </w:p>
    <w:p>
      <w:pPr>
        <w:pStyle w:val="Compact"/>
        <w:numPr>
          <w:ilvl w:val="0"/>
          <w:numId w:val="1017"/>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7"/>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7"/>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5 shows this construction.</w:t>
      </w:r>
    </w:p>
    <w:bookmarkStart w:id="92" w:name="fig:neg_control_synthetic"/>
    <w:p>
      <w:pPr>
        <w:pStyle w:val="CaptionedFigure"/>
      </w:pPr>
      <w:r>
        <w:drawing>
          <wp:inline>
            <wp:extent cx="5334000" cy="3852333"/>
            <wp:effectExtent b="0" l="0" r="0" t="0"/>
            <wp:docPr descr="Figure 5.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90" name="Picture"/>
            <a:graphic>
              <a:graphicData uri="http://schemas.openxmlformats.org/drawingml/2006/picture">
                <pic:pic>
                  <pic:nvPicPr>
                    <pic:cNvPr descr="figures/fig_neg_control_synthetic.png" id="91" name="Picture"/>
                    <pic:cNvPicPr>
                      <a:picLocks noChangeArrowheads="1" noChangeAspect="1"/>
                    </pic:cNvPicPr>
                  </pic:nvPicPr>
                  <pic:blipFill>
                    <a:blip r:embed="rId89"/>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92"/>
    <w:bookmarkEnd w:id="93"/>
    <w:bookmarkEnd w:id="94"/>
    <w:bookmarkStart w:id="104"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6 and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8" w:name="fig:neg_control_10yr"/>
    <w:p>
      <w:pPr>
        <w:pStyle w:val="CaptionedFigure"/>
      </w:pPr>
      <w:r>
        <w:drawing>
          <wp:inline>
            <wp:extent cx="5334000" cy="2773680"/>
            <wp:effectExtent b="0" l="0" r="0" t="0"/>
            <wp:docPr descr="Figure 6.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96" name="Picture"/>
            <a:graphic>
              <a:graphicData uri="http://schemas.openxmlformats.org/drawingml/2006/picture">
                <pic:pic>
                  <pic:nvPicPr>
                    <pic:cNvPr descr="figures/fig2_neg_control_10yr_age_diff.png" id="97" name="Picture"/>
                    <pic:cNvPicPr>
                      <a:picLocks noChangeArrowheads="1" noChangeAspect="1"/>
                    </pic:cNvPicPr>
                  </pic:nvPicPr>
                  <pic:blipFill>
                    <a:blip r:embed="rId95"/>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6.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p>
    <w:bookmarkEnd w:id="98"/>
    <w:bookmarkStart w:id="102" w:name="fig:neg_control_20yr"/>
    <w:p>
      <w:pPr>
        <w:pStyle w:val="CaptionedFigure"/>
      </w:pPr>
      <w:r>
        <w:drawing>
          <wp:inline>
            <wp:extent cx="5334000" cy="2810466"/>
            <wp:effectExtent b="0" l="0" r="0" t="0"/>
            <wp:docPr descr="Figure 7.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100" name="Picture"/>
            <a:graphic>
              <a:graphicData uri="http://schemas.openxmlformats.org/drawingml/2006/picture">
                <pic:pic>
                  <pic:nvPicPr>
                    <pic:cNvPr descr="figures/fig3_neg_control_20yr_age_diff.png" id="101" name="Picture"/>
                    <pic:cNvPicPr>
                      <a:picLocks noChangeArrowheads="1" noChangeAspect="1"/>
                    </pic:cNvPicPr>
                  </pic:nvPicPr>
                  <pic:blipFill>
                    <a:blip r:embed="rId99"/>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7.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102"/>
    <w:p>
      <w:pPr>
        <w:pStyle w:val="BodyText"/>
      </w:pPr>
      <w:r>
        <w:t xml:space="preserve">Table 9 provides numeric summaries.</w:t>
      </w:r>
    </w:p>
    <w:bookmarkStart w:id="103" w:name="tbl:neg_control_summary"/>
    <w:p>
      <w:pPr>
        <w:pStyle w:val="TableCaption"/>
      </w:pPr>
      <w:r>
        <w:t xml:space="preserve">Table 9.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9.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3"/>
    <w:bookmarkEnd w:id="104"/>
    <w:bookmarkEnd w:id="105"/>
    <w:bookmarkStart w:id="112"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6"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15</m:t>
        </m:r>
        <m:r>
          <m:rPr>
            <m:sty m:val="p"/>
          </m:rPr>
          <m:t>)</m:t>
        </m:r>
      </m:oMath>
    </w:p>
    <w:bookmarkEnd w:id="106"/>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8 and Table 10 confirm this behavior.</w:t>
      </w:r>
    </w:p>
    <w:bookmarkStart w:id="110" w:name="fig:pos_control_injected"/>
    <w:p>
      <w:pPr>
        <w:pStyle w:val="CaptionedFigure"/>
      </w:pPr>
      <w:r>
        <w:drawing>
          <wp:inline>
            <wp:extent cx="5334000" cy="4253184"/>
            <wp:effectExtent b="0" l="0" r="0" t="0"/>
            <wp:docPr descr="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108" name="Picture"/>
            <a:graphic>
              <a:graphicData uri="http://schemas.openxmlformats.org/drawingml/2006/picture">
                <pic:pic>
                  <pic:nvPicPr>
                    <pic:cNvPr descr="figures/fig_pos_control_injected.png" id="109" name="Picture"/>
                    <pic:cNvPicPr>
                      <a:picLocks noChangeArrowheads="1" noChangeAspect="1"/>
                    </pic:cNvPicPr>
                  </pic:nvPicPr>
                  <pic:blipFill>
                    <a:blip r:embed="rId107"/>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110"/>
    <w:bookmarkStart w:id="111" w:name="tbl:pos_control_summary"/>
    <w:p>
      <w:pPr>
        <w:pStyle w:val="TableCaption"/>
      </w:pPr>
      <w:r>
        <w:t xml:space="preserve">Table 10.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10.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1"/>
    <w:bookmarkEnd w:id="112"/>
    <w:bookmarkStart w:id="117"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8"/>
        </w:numPr>
      </w:pPr>
      <w:r>
        <w:t xml:space="preserve">Quiet-window selection (calendar ISO-week bounds)</w:t>
      </w:r>
    </w:p>
    <w:p>
      <w:pPr>
        <w:pStyle w:val="Compact"/>
        <w:numPr>
          <w:ilvl w:val="0"/>
          <w:numId w:val="1018"/>
        </w:numPr>
      </w:pPr>
      <w:r>
        <w:t xml:space="preserve">Stabilization skip (early-bin handling)</w:t>
      </w:r>
    </w:p>
    <w:p>
      <w:pPr>
        <w:pStyle w:val="Compact"/>
        <w:numPr>
          <w:ilvl w:val="0"/>
          <w:numId w:val="1018"/>
        </w:numPr>
      </w:pPr>
      <w:r>
        <w:t xml:space="preserve">Time-binning resolution</w:t>
      </w:r>
    </w:p>
    <w:p>
      <w:pPr>
        <w:pStyle w:val="Compact"/>
        <w:numPr>
          <w:ilvl w:val="0"/>
          <w:numId w:val="1018"/>
        </w:numPr>
      </w:pPr>
      <w:r>
        <w:t xml:space="preserve">Age stratification and/or stratified analyses where appropriate</w:t>
      </w:r>
    </w:p>
    <w:p>
      <w:pPr>
        <w:pStyle w:val="Compact"/>
        <w:numPr>
          <w:ilvl w:val="0"/>
          <w:numId w:val="1018"/>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9 summarizes KCOR stability across the parameter grid.</w:t>
      </w:r>
    </w:p>
    <w:bookmarkStart w:id="116" w:name="fig:sensitivity_overview"/>
    <w:p>
      <w:pPr>
        <w:pStyle w:val="CaptionedFigure"/>
      </w:pPr>
      <w:r>
        <w:drawing>
          <wp:inline>
            <wp:extent cx="5334000" cy="1571483"/>
            <wp:effectExtent b="0" l="0" r="0" t="0"/>
            <wp:docPr descr="Figure 9.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114" name="Picture"/>
            <a:graphic>
              <a:graphicData uri="http://schemas.openxmlformats.org/drawingml/2006/picture">
                <pic:pic>
                  <pic:nvPicPr>
                    <pic:cNvPr descr="figures/fig_sensitivity_overview.png" id="115" name="Picture"/>
                    <pic:cNvPicPr>
                      <a:picLocks noChangeArrowheads="1" noChangeAspect="1"/>
                    </pic:cNvPicPr>
                  </pic:nvPicPr>
                  <pic:blipFill>
                    <a:blip r:embed="rId113"/>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9.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116"/>
    <w:p>
      <w:pPr>
        <w:pStyle w:val="BodyText"/>
      </w:pPr>
      <w:r>
        <w:t xml:space="preserve">Across all tested parameter ranges, KCOR values remained within approximately ±5% of unity, indicating stability under reasonable variations in fitting choices.</w:t>
      </w:r>
    </w:p>
    <w:bookmarkEnd w:id="117"/>
    <w:bookmarkStart w:id="134"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10 and 11 below.</w:t>
      </w:r>
    </w:p>
    <w:p>
      <w:pPr>
        <w:pStyle w:val="BodyText"/>
      </w:pPr>
      <w:r>
        <w:rPr>
          <w:b/>
          <w:bCs/>
        </w:rPr>
        <w:t xml:space="preserve">Joint frailty and treatment-effect simulation (S7).</w:t>
      </w:r>
      <w:r>
        <w:br/>
      </w:r>
      <w:r>
        <w:t xml:space="preserve">Figure 12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 trajectories no longer stabilize during the nominal quiet period, and fit diagnostics degrade (Figure 13), including increased cumulative-hazard fit error and reduced post-normalization linearity. In these cases, KCOR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1" w:name="fig:sim_grid_overview"/>
    <w:p>
      <w:pPr>
        <w:pStyle w:val="CaptionedFigure"/>
      </w:pPr>
      <w:r>
        <w:drawing>
          <wp:inline>
            <wp:extent cx="5334000" cy="4246345"/>
            <wp:effectExtent b="0" l="0" r="0" t="0"/>
            <wp:docPr descr="Figure 10.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119" name="Picture"/>
            <a:graphic>
              <a:graphicData uri="http://schemas.openxmlformats.org/drawingml/2006/picture">
                <pic:pic>
                  <pic:nvPicPr>
                    <pic:cNvPr descr="figures/fig_sim_grid_overview.png" id="120" name="Picture"/>
                    <pic:cNvPicPr>
                      <a:picLocks noChangeArrowheads="1" noChangeAspect="1"/>
                    </pic:cNvPicPr>
                  </pic:nvPicPr>
                  <pic:blipFill>
                    <a:blip r:embed="rId118"/>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10.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121"/>
    <w:bookmarkStart w:id="125" w:name="fig:sim_grid_diagnostics"/>
    <w:p>
      <w:pPr>
        <w:pStyle w:val="CaptionedFigure"/>
      </w:pPr>
      <w:r>
        <w:drawing>
          <wp:inline>
            <wp:extent cx="5334000" cy="2491716"/>
            <wp:effectExtent b="0" l="0" r="0" t="0"/>
            <wp:docPr descr="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23" name="Picture"/>
            <a:graphic>
              <a:graphicData uri="http://schemas.openxmlformats.org/drawingml/2006/picture">
                <pic:pic>
                  <pic:nvPicPr>
                    <pic:cNvPr descr="figures/fig_sim_grid_diagnostics.png" id="124" name="Picture"/>
                    <pic:cNvPicPr>
                      <a:picLocks noChangeArrowheads="1" noChangeAspect="1"/>
                    </pic:cNvPicPr>
                  </pic:nvPicPr>
                  <pic:blipFill>
                    <a:blip r:embed="rId122"/>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25"/>
    <w:bookmarkStart w:id="129" w:name="fig:s7_overview"/>
    <w:p>
      <w:pPr>
        <w:pStyle w:val="CaptionedFigure"/>
      </w:pPr>
      <w:r>
        <w:drawing>
          <wp:inline>
            <wp:extent cx="5334000" cy="1389920"/>
            <wp:effectExtent b="0" l="0" r="0" t="0"/>
            <wp:docPr descr="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27" name="Picture"/>
            <a:graphic>
              <a:graphicData uri="http://schemas.openxmlformats.org/drawingml/2006/picture">
                <pic:pic>
                  <pic:nvPicPr>
                    <pic:cNvPr descr="figures/fig_s7_overview.png" id="128" name="Picture"/>
                    <pic:cNvPicPr>
                      <a:picLocks noChangeArrowheads="1" noChangeAspect="1"/>
                    </pic:cNvPicPr>
                  </pic:nvPicPr>
                  <pic:blipFill>
                    <a:blip r:embed="rId126"/>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29"/>
    <w:bookmarkStart w:id="133" w:name="fig:s7_diagnostics"/>
    <w:p>
      <w:pPr>
        <w:pStyle w:val="CaptionedFigure"/>
      </w:pPr>
      <w:r>
        <w:drawing>
          <wp:inline>
            <wp:extent cx="5334000" cy="4432289"/>
            <wp:effectExtent b="0" l="0" r="0" t="0"/>
            <wp:docPr descr="Figure 13. S7 simulation diagnostics: Fitted frailty variance parameters (\theta_0, \theta_1), fit quality (RMSE), and convergence status across S7 scenarios. The overlap variant shows degraded fit quality, correctly signaling violation of temporal separability assumptions." title="" id="131" name="Picture"/>
            <a:graphic>
              <a:graphicData uri="http://schemas.openxmlformats.org/drawingml/2006/picture">
                <pic:pic>
                  <pic:nvPicPr>
                    <pic:cNvPr descr="figures/fig_s7_diagnostics.png" id="132" name="Picture"/>
                    <pic:cNvPicPr>
                      <a:picLocks noChangeArrowheads="1" noChangeAspect="1"/>
                    </pic:cNvPicPr>
                  </pic:nvPicPr>
                  <pic:blipFill>
                    <a:blip r:embed="rId130"/>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Figure 13.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33"/>
    <w:bookmarkEnd w:id="134"/>
    <w:bookmarkStart w:id="135"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bookmarkEnd w:id="135"/>
    <w:bookmarkStart w:id="136"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bookmarkEnd w:id="136"/>
    <w:bookmarkEnd w:id="137"/>
    <w:bookmarkStart w:id="142"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8"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 Whereas Cox regression infers treatment effects through fitted model coefficients, KCOR uses modeling only to normalize selection effects, allowing causal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19"/>
        </w:numPr>
      </w:pPr>
      <w:r>
        <w:t xml:space="preserve">selection-induced depletion dynamics can be estimated during quiet periods using a gamma-frailty mixture model, and</w:t>
      </w:r>
    </w:p>
    <w:p>
      <w:pPr>
        <w:pStyle w:val="Compact"/>
        <w:numPr>
          <w:ilvl w:val="0"/>
          <w:numId w:val="1019"/>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38"/>
    <w:bookmarkStart w:id="139"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9"/>
    <w:bookmarkStart w:id="140"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0"/>
        </w:numPr>
      </w:pPr>
      <w:r>
        <w:t xml:space="preserve">Enrollment definition and justification</w:t>
      </w:r>
    </w:p>
    <w:p>
      <w:pPr>
        <w:pStyle w:val="Compact"/>
        <w:numPr>
          <w:ilvl w:val="0"/>
          <w:numId w:val="1020"/>
        </w:numPr>
      </w:pPr>
      <w:r>
        <w:t xml:space="preserve">Risk set definitions and event-time binning</w:t>
      </w:r>
    </w:p>
    <w:p>
      <w:pPr>
        <w:pStyle w:val="Compact"/>
        <w:numPr>
          <w:ilvl w:val="0"/>
          <w:numId w:val="1020"/>
        </w:numPr>
      </w:pPr>
      <w:r>
        <w:t xml:space="preserve">Quiet-window definition and justification</w:t>
      </w:r>
    </w:p>
    <w:p>
      <w:pPr>
        <w:pStyle w:val="Compact"/>
        <w:numPr>
          <w:ilvl w:val="0"/>
          <w:numId w:val="1020"/>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20"/>
        </w:numPr>
      </w:pPr>
      <w:r>
        <w:t xml:space="preserve">Skip/stabilization rule and robustness to nearby values</w:t>
      </w:r>
    </w:p>
    <w:p>
      <w:pPr>
        <w:pStyle w:val="Compact"/>
        <w:numPr>
          <w:ilvl w:val="0"/>
          <w:numId w:val="1020"/>
        </w:numPr>
      </w:pPr>
      <w:r>
        <w:t xml:space="preserve">Predefined negative/positive controls used for validation</w:t>
      </w:r>
    </w:p>
    <w:p>
      <w:pPr>
        <w:pStyle w:val="Compact"/>
        <w:numPr>
          <w:ilvl w:val="0"/>
          <w:numId w:val="1020"/>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0"/>
    <w:bookmarkStart w:id="141"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1"/>
    <w:bookmarkEnd w:id="142"/>
    <w:bookmarkStart w:id="146" w:name="limitations"/>
    <w:p>
      <w:pPr>
        <w:pStyle w:val="Heading2"/>
      </w:pPr>
      <w:r>
        <w:t xml:space="preserve">5. Limitations</w:t>
      </w:r>
    </w:p>
    <w:p>
      <w:pPr>
        <w:pStyle w:val="Compact"/>
        <w:numPr>
          <w:ilvl w:val="0"/>
          <w:numId w:val="1021"/>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1"/>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21"/>
        </w:numPr>
      </w:pPr>
      <w:r>
        <w:rPr>
          <w:b/>
          <w:bCs/>
        </w:rPr>
        <w:t xml:space="preserve">Sparse events</w:t>
      </w:r>
      <w:r>
        <w:t xml:space="preserve">: When event counts are small, hazard estimation and parameter fitting can be unstable.</w:t>
      </w:r>
    </w:p>
    <w:p>
      <w:pPr>
        <w:pStyle w:val="Compact"/>
        <w:numPr>
          <w:ilvl w:val="0"/>
          <w:numId w:val="1021"/>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1"/>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1"/>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w:t>
      </w:r>
      <w:r>
        <w:t xml:space="preserve"> </w:t>
      </w:r>
      <m:oMath>
        <m:acc>
          <m:accPr>
            <m:chr m:val="̂"/>
          </m:accPr>
          <m:e>
            <m:r>
              <m:t>θ</m:t>
            </m:r>
          </m:e>
        </m:acc>
      </m:oMath>
      <w:r>
        <w:t xml:space="preserve"> </w:t>
      </w:r>
      <w:r>
        <w:t xml:space="preserve">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3"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2"/>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2"/>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2"/>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2"/>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3"/>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3"/>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3"/>
        </w:numPr>
      </w:pPr>
      <w:r>
        <w:rPr>
          <w:b/>
          <w:bCs/>
        </w:rPr>
        <w:t xml:space="preserve">Sensitivity analyses</w:t>
      </w:r>
      <w:r>
        <w:t xml:space="preserve"> </w:t>
      </w:r>
      <w:r>
        <w:t xml:space="preserve">over plausible quiet windows and skip-weeks values.</w:t>
      </w:r>
    </w:p>
    <w:p>
      <w:pPr>
        <w:pStyle w:val="Compact"/>
        <w:numPr>
          <w:ilvl w:val="0"/>
          <w:numId w:val="1023"/>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3"/>
    <w:bookmarkStart w:id="144"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 trajectories tend to attenuate toward unity rather than diverge, reflecting loss of identifiability rather than false detection. This behavior is illustrated in the S7 overlap variant, where treatment and selection are deliberately confounded in time: KCOR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4"/>
    <w:bookmarkStart w:id="145"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5"/>
    <w:bookmarkEnd w:id="146"/>
    <w:bookmarkStart w:id="147"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47"/>
    <w:bookmarkStart w:id="158" w:name="declarations"/>
    <w:p>
      <w:pPr>
        <w:pStyle w:val="Heading2"/>
      </w:pPr>
      <w:r>
        <w:t xml:space="preserve">Declarations</w:t>
      </w:r>
    </w:p>
    <w:bookmarkStart w:id="148"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6 and 7) use aggregated cohort summaries derived from Czech Republic administrative data; no record-level data are shared in this manuscript.</w:t>
      </w:r>
      <w:r>
        <w:rPr>
          <w:vertAlign w:val="superscript"/>
        </w:rPr>
        <w:t xml:space="preserve">4</w:t>
      </w:r>
    </w:p>
    <w:bookmarkEnd w:id="148"/>
    <w:bookmarkStart w:id="149" w:name="consent-for-publication"/>
    <w:p>
      <w:pPr>
        <w:pStyle w:val="Heading3"/>
      </w:pPr>
      <w:r>
        <w:t xml:space="preserve">Consent for publication</w:t>
      </w:r>
    </w:p>
    <w:p>
      <w:pPr>
        <w:pStyle w:val="FirstParagraph"/>
      </w:pPr>
      <w:r>
        <w:t xml:space="preserve">Not applicable.</w:t>
      </w:r>
    </w:p>
    <w:bookmarkEnd w:id="149"/>
    <w:bookmarkStart w:id="150" w:name="data-availability"/>
    <w:p>
      <w:pPr>
        <w:pStyle w:val="Heading3"/>
      </w:pPr>
      <w:r>
        <w:t xml:space="preserve">Data availability</w:t>
      </w:r>
    </w:p>
    <w:p>
      <w:pPr>
        <w:pStyle w:val="Compact"/>
        <w:numPr>
          <w:ilvl w:val="0"/>
          <w:numId w:val="1024"/>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4"/>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4"/>
        </w:numPr>
      </w:pPr>
      <w:r>
        <w:t xml:space="preserve">The reference implementation includes example datasets in KCOR_CMR format for reproducibility.</w:t>
      </w:r>
    </w:p>
    <w:p>
      <w:pPr>
        <w:pStyle w:val="Compact"/>
        <w:numPr>
          <w:ilvl w:val="0"/>
          <w:numId w:val="1024"/>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0"/>
    <w:bookmarkStart w:id="153" w:name="code-availability"/>
    <w:p>
      <w:pPr>
        <w:pStyle w:val="Heading3"/>
      </w:pPr>
      <w:r>
        <w:t xml:space="preserve">Code availability</w:t>
      </w:r>
    </w:p>
    <w:p>
      <w:pPr>
        <w:pStyle w:val="Compact"/>
        <w:numPr>
          <w:ilvl w:val="0"/>
          <w:numId w:val="1025"/>
        </w:numPr>
      </w:pPr>
      <w:r>
        <w:t xml:space="preserve">The KCOR reference implementation and complete validation suite are available in the project repository.</w:t>
      </w:r>
    </w:p>
    <w:p>
      <w:pPr>
        <w:pStyle w:val="Compact"/>
        <w:numPr>
          <w:ilvl w:val="0"/>
          <w:numId w:val="1025"/>
        </w:numPr>
      </w:pPr>
      <w:r>
        <w:t xml:space="preserve">Repository URL:</w:t>
      </w:r>
      <w:r>
        <w:t xml:space="preserve"> </w:t>
      </w:r>
      <w:hyperlink r:id="rId151">
        <w:r>
          <w:rPr>
            <w:rStyle w:val="Hyperlink"/>
          </w:rPr>
          <w:t xml:space="preserve">https://github.com/skirsch/KCOR</w:t>
        </w:r>
      </w:hyperlink>
    </w:p>
    <w:p>
      <w:pPr>
        <w:pStyle w:val="Compact"/>
        <w:numPr>
          <w:ilvl w:val="0"/>
          <w:numId w:val="1025"/>
        </w:numPr>
      </w:pPr>
      <w:r>
        <w:t xml:space="preserve">Zenodo DOI:</w:t>
      </w:r>
      <w:r>
        <w:t xml:space="preserve"> </w:t>
      </w:r>
      <w:hyperlink r:id="rId152">
        <w:r>
          <w:rPr>
            <w:rStyle w:val="Hyperlink"/>
          </w:rPr>
          <w:t xml:space="preserve">10.5281/zenodo.18050329</w:t>
        </w:r>
      </w:hyperlink>
    </w:p>
    <w:bookmarkEnd w:id="153"/>
    <w:bookmarkStart w:id="154" w:name="competing-interests"/>
    <w:p>
      <w:pPr>
        <w:pStyle w:val="Heading3"/>
      </w:pPr>
      <w:r>
        <w:t xml:space="preserve">Competing interests</w:t>
      </w:r>
    </w:p>
    <w:p>
      <w:pPr>
        <w:pStyle w:val="FirstParagraph"/>
      </w:pPr>
      <w:r>
        <w:t xml:space="preserve">The author is a board member of the Vaccine Safety Research Foundation.</w:t>
      </w:r>
    </w:p>
    <w:bookmarkEnd w:id="154"/>
    <w:bookmarkStart w:id="155" w:name="funding"/>
    <w:p>
      <w:pPr>
        <w:pStyle w:val="Heading3"/>
      </w:pPr>
      <w:r>
        <w:t xml:space="preserve">Funding</w:t>
      </w:r>
    </w:p>
    <w:p>
      <w:pPr>
        <w:pStyle w:val="FirstParagraph"/>
      </w:pPr>
      <w:r>
        <w:t xml:space="preserve">This research received no external funding.</w:t>
      </w:r>
    </w:p>
    <w:bookmarkEnd w:id="155"/>
    <w:bookmarkStart w:id="156"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6"/>
    <w:bookmarkStart w:id="157" w:name="acknowledgements"/>
    <w:p>
      <w:pPr>
        <w:pStyle w:val="Heading3"/>
      </w:pPr>
      <w:r>
        <w:t xml:space="preserve">Acknowledgements</w:t>
      </w:r>
    </w:p>
    <w:p>
      <w:pPr>
        <w:pStyle w:val="FirstParagraph"/>
      </w:pPr>
      <w:r>
        <w:t xml:space="preserve">The author thanks HART group chair Dr. Clare Craig for helpful discussions and methodological feedback during the development of this work. All errors remain the author’s responsibility.</w:t>
      </w:r>
    </w:p>
    <w:bookmarkEnd w:id="157"/>
    <w:bookmarkEnd w:id="158"/>
    <w:bookmarkStart w:id="167" w:name="references"/>
    <w:p>
      <w:pPr>
        <w:pStyle w:val="Heading2"/>
      </w:pPr>
      <w:r>
        <w:t xml:space="preserve">References</w:t>
      </w:r>
    </w:p>
    <w:bookmarkStart w:id="166" w:name="refs"/>
    <w:bookmarkStart w:id="160"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59">
        <w:r>
          <w:rPr>
            <w:rStyle w:val="Hyperlink"/>
          </w:rPr>
          <w:t xml:space="preserve">10.2307/2061224</w:t>
        </w:r>
      </w:hyperlink>
    </w:p>
    <w:bookmarkEnd w:id="160"/>
    <w:bookmarkStart w:id="162"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1">
        <w:r>
          <w:rPr>
            <w:rStyle w:val="Hyperlink"/>
          </w:rPr>
          <w:t xml:space="preserve">10.2147/CLEP.S468572</w:t>
        </w:r>
      </w:hyperlink>
    </w:p>
    <w:bookmarkEnd w:id="162"/>
    <w:bookmarkStart w:id="164"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3">
        <w:r>
          <w:rPr>
            <w:rStyle w:val="Hyperlink"/>
          </w:rPr>
          <w:t xml:space="preserve">10.7554/eLife.103690</w:t>
        </w:r>
      </w:hyperlink>
    </w:p>
    <w:bookmarkEnd w:id="164"/>
    <w:bookmarkStart w:id="165"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65"/>
    <w:bookmarkEnd w:id="166"/>
    <w:bookmarkEnd w:id="167"/>
    <w:bookmarkStart w:id="201"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73" w:name="appendix-a.-mathematical-derivations"/>
    <w:p>
      <w:pPr>
        <w:pStyle w:val="Heading3"/>
      </w:pPr>
      <w:r>
        <w:t xml:space="preserve">Appendix A. Mathematical derivations</w:t>
      </w:r>
    </w:p>
    <w:bookmarkStart w:id="168"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68"/>
    <w:bookmarkStart w:id="169"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(see Equation (5) in the main text).</w:t>
      </w:r>
    </w:p>
    <w:bookmarkEnd w:id="169"/>
    <w:bookmarkStart w:id="170"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70"/>
    <w:bookmarkStart w:id="171"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r>
          <m:t>θ</m:t>
        </m:r>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71"/>
    <w:bookmarkStart w:id="172"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72"/>
    <w:bookmarkEnd w:id="173"/>
    <w:bookmarkStart w:id="186" w:name="appendix-b.-control-test-specifications"/>
    <w:p>
      <w:pPr>
        <w:pStyle w:val="Heading3"/>
      </w:pPr>
      <w:r>
        <w:t xml:space="preserve">Appendix B. Control-test specifications</w:t>
      </w:r>
    </w:p>
    <w:bookmarkStart w:id="174" w:name="X2180becb792c7366d1a2d9abe674c7e8eb8a3b6"/>
    <w:p>
      <w:pPr>
        <w:pStyle w:val="Heading4"/>
      </w:pPr>
      <w:r>
        <w:t xml:space="preserve">B.1 Negative control: synthetic gamma-frailty null</w:t>
      </w:r>
    </w:p>
    <w:p>
      <w:pPr>
        <w:pStyle w:val="FirstParagraph"/>
      </w:pPr>
      <w:r>
        <w:t xml:space="preserve">The synthetic negative control (Figure 5) is generated using:</w:t>
      </w:r>
    </w:p>
    <w:p>
      <w:pPr>
        <w:pStyle w:val="Compact"/>
        <w:numPr>
          <w:ilvl w:val="0"/>
          <w:numId w:val="1026"/>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6"/>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6"/>
        </w:numPr>
      </w:pPr>
      <w:r>
        <w:rPr>
          <w:b/>
          <w:bCs/>
        </w:rPr>
        <w:t xml:space="preserve">Cohort A weights</w:t>
      </w:r>
      <w:r>
        <w:t xml:space="preserve">: Equal weights across 5 frailty groups (0.2 each)</w:t>
      </w:r>
    </w:p>
    <w:p>
      <w:pPr>
        <w:pStyle w:val="Compact"/>
        <w:numPr>
          <w:ilvl w:val="0"/>
          <w:numId w:val="1026"/>
        </w:numPr>
      </w:pPr>
      <w:r>
        <w:rPr>
          <w:b/>
          <w:bCs/>
        </w:rPr>
        <w:t xml:space="preserve">Cohort B weights</w:t>
      </w:r>
      <w:r>
        <w:t xml:space="preserve">: Shifted weights [0.30, 0.20, 0.20, 0.20, 0.10]</w:t>
      </w:r>
    </w:p>
    <w:p>
      <w:pPr>
        <w:pStyle w:val="Compact"/>
        <w:numPr>
          <w:ilvl w:val="0"/>
          <w:numId w:val="1026"/>
        </w:numPr>
      </w:pPr>
      <w:r>
        <w:rPr>
          <w:b/>
          <w:bCs/>
        </w:rPr>
        <w:t xml:space="preserve">Frailty values</w:t>
      </w:r>
      <w:r>
        <w:t xml:space="preserve">: [1, 2, 4, 6, 10] (relative frailty multipliers)</w:t>
      </w:r>
    </w:p>
    <w:p>
      <w:pPr>
        <w:pStyle w:val="Compact"/>
        <w:numPr>
          <w:ilvl w:val="0"/>
          <w:numId w:val="1026"/>
        </w:numPr>
      </w:pPr>
      <w:r>
        <w:rPr>
          <w:b/>
          <w:bCs/>
        </w:rPr>
        <w:t xml:space="preserve">Base weekly probability</w:t>
      </w:r>
      <w:r>
        <w:t xml:space="preserve">: 0.01</w:t>
      </w:r>
    </w:p>
    <w:p>
      <w:pPr>
        <w:pStyle w:val="Compact"/>
        <w:numPr>
          <w:ilvl w:val="0"/>
          <w:numId w:val="1026"/>
        </w:numPr>
      </w:pPr>
      <w:r>
        <w:rPr>
          <w:b/>
          <w:bCs/>
        </w:rPr>
        <w:t xml:space="preserve">Weekly log-slope</w:t>
      </w:r>
      <w:r>
        <w:t xml:space="preserve">: 0.0 (constant baseline during quiet periods)</w:t>
      </w:r>
    </w:p>
    <w:p>
      <w:pPr>
        <w:pStyle w:val="Compact"/>
        <w:numPr>
          <w:ilvl w:val="0"/>
          <w:numId w:val="1026"/>
        </w:numPr>
      </w:pPr>
      <w:r>
        <w:rPr>
          <w:b/>
          <w:bCs/>
        </w:rPr>
        <w:t xml:space="preserve">Skip weeks</w:t>
      </w:r>
      <w:r>
        <w:t xml:space="preserve">: 2</w:t>
      </w:r>
    </w:p>
    <w:p>
      <w:pPr>
        <w:pStyle w:val="Compact"/>
        <w:numPr>
          <w:ilvl w:val="0"/>
          <w:numId w:val="1026"/>
        </w:numPr>
      </w:pPr>
      <w:r>
        <w:rPr>
          <w:b/>
          <w:bCs/>
        </w:rPr>
        <w:t xml:space="preserve">Normalization weeks</w:t>
      </w:r>
      <w:r>
        <w:t xml:space="preserve">: 4</w:t>
      </w:r>
    </w:p>
    <w:p>
      <w:pPr>
        <w:pStyle w:val="Compact"/>
        <w:numPr>
          <w:ilvl w:val="0"/>
          <w:numId w:val="1026"/>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74"/>
    <w:bookmarkStart w:id="175" w:name="X6ca5a97e85e9ee460a15280db933ceb5c1ed112"/>
    <w:p>
      <w:pPr>
        <w:pStyle w:val="Heading4"/>
      </w:pPr>
      <w:r>
        <w:t xml:space="preserve">B.2 Negative control: empirical age-shift construction</w:t>
      </w:r>
    </w:p>
    <w:p>
      <w:pPr>
        <w:pStyle w:val="FirstParagraph"/>
      </w:pPr>
      <w:r>
        <w:t xml:space="preserve">The empirical negative control (Figures 6 and 7) is generated using:</w:t>
      </w:r>
    </w:p>
    <w:p>
      <w:pPr>
        <w:pStyle w:val="Compact"/>
        <w:numPr>
          <w:ilvl w:val="0"/>
          <w:numId w:val="1027"/>
        </w:numPr>
      </w:pPr>
      <w:r>
        <w:rPr>
          <w:b/>
          <w:bCs/>
        </w:rPr>
        <w:t xml:space="preserve">Data source</w:t>
      </w:r>
      <w:r>
        <w:t xml:space="preserve">: Czech Republic administrative mortality and vaccination data, aggregated into KCOR_CMR format</w:t>
      </w:r>
    </w:p>
    <w:p>
      <w:pPr>
        <w:pStyle w:val="Compact"/>
        <w:numPr>
          <w:ilvl w:val="0"/>
          <w:numId w:val="1027"/>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7"/>
        </w:numPr>
      </w:pPr>
      <w:r>
        <w:rPr>
          <w:b/>
          <w:bCs/>
        </w:rPr>
        <w:t xml:space="preserve">Construction</w:t>
      </w:r>
      <w:r>
        <w:t xml:space="preserve">: Age strata remapped to pseudo-doses within same vaccination category</w:t>
      </w:r>
    </w:p>
    <w:p>
      <w:pPr>
        <w:pStyle w:val="Compact"/>
        <w:numPr>
          <w:ilvl w:val="0"/>
          <w:numId w:val="1027"/>
        </w:numPr>
      </w:pPr>
      <w:r>
        <w:rPr>
          <w:b/>
          <w:bCs/>
        </w:rPr>
        <w:t xml:space="preserve">Age mapping</w:t>
      </w:r>
      <w:r>
        <w:t xml:space="preserve">:</w:t>
      </w:r>
    </w:p>
    <w:p>
      <w:pPr>
        <w:pStyle w:val="Compact"/>
        <w:numPr>
          <w:ilvl w:val="1"/>
          <w:numId w:val="1028"/>
        </w:numPr>
      </w:pPr>
      <w:r>
        <w:t xml:space="preserve">Dose 0 → YoB {1930, 1935}</w:t>
      </w:r>
    </w:p>
    <w:p>
      <w:pPr>
        <w:pStyle w:val="Compact"/>
        <w:numPr>
          <w:ilvl w:val="1"/>
          <w:numId w:val="1028"/>
        </w:numPr>
      </w:pPr>
      <w:r>
        <w:t xml:space="preserve">Dose 1 → YoB {1940, 1945}</w:t>
      </w:r>
    </w:p>
    <w:p>
      <w:pPr>
        <w:pStyle w:val="Compact"/>
        <w:numPr>
          <w:ilvl w:val="1"/>
          <w:numId w:val="1028"/>
        </w:numPr>
      </w:pPr>
      <w:r>
        <w:t xml:space="preserve">Dose 2 → YoB {1950, 1955}</w:t>
      </w:r>
    </w:p>
    <w:p>
      <w:pPr>
        <w:pStyle w:val="Compact"/>
        <w:numPr>
          <w:ilvl w:val="0"/>
          <w:numId w:val="1027"/>
        </w:numPr>
      </w:pPr>
      <w:r>
        <w:rPr>
          <w:b/>
          <w:bCs/>
        </w:rPr>
        <w:t xml:space="preserve">Output YoB</w:t>
      </w:r>
      <w:r>
        <w:t xml:space="preserve">: Fixed at 1950 (unvax cohort) or 1940 (vax cohort)</w:t>
      </w:r>
    </w:p>
    <w:p>
      <w:pPr>
        <w:pStyle w:val="Compact"/>
        <w:numPr>
          <w:ilvl w:val="0"/>
          <w:numId w:val="1027"/>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75"/>
    <w:bookmarkStart w:id="176" w:name="b.3-positive-control-injected-effect"/>
    <w:p>
      <w:pPr>
        <w:pStyle w:val="Heading4"/>
      </w:pPr>
      <w:r>
        <w:t xml:space="preserve">B.3 Positive control: injected effect</w:t>
      </w:r>
    </w:p>
    <w:p>
      <w:pPr>
        <w:pStyle w:val="FirstParagraph"/>
      </w:pPr>
      <w:r>
        <w:t xml:space="preserve">The positive control (Figure 8 and Table 10) is generated using:</w:t>
      </w:r>
    </w:p>
    <w:p>
      <w:pPr>
        <w:pStyle w:val="Compact"/>
        <w:numPr>
          <w:ilvl w:val="0"/>
          <w:numId w:val="1029"/>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9"/>
        </w:numPr>
      </w:pPr>
      <w:r>
        <w:rPr>
          <w:b/>
          <w:bCs/>
        </w:rPr>
        <w:t xml:space="preserve">Initial cohort size</w:t>
      </w:r>
      <w:r>
        <w:t xml:space="preserve">: 100,000 per cohort</w:t>
      </w:r>
    </w:p>
    <w:p>
      <w:pPr>
        <w:pStyle w:val="Compact"/>
        <w:numPr>
          <w:ilvl w:val="0"/>
          <w:numId w:val="1029"/>
        </w:numPr>
      </w:pPr>
      <w:r>
        <w:rPr>
          <w:b/>
          <w:bCs/>
        </w:rPr>
        <w:t xml:space="preserve">Baseline hazard</w:t>
      </w:r>
      <w:r>
        <w:t xml:space="preserve">: 0.002 per week</w:t>
      </w:r>
    </w:p>
    <w:p>
      <w:pPr>
        <w:pStyle w:val="Compact"/>
        <w:numPr>
          <w:ilvl w:val="0"/>
          <w:numId w:val="1029"/>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9"/>
        </w:numPr>
      </w:pPr>
      <w:r>
        <w:rPr>
          <w:b/>
          <w:bCs/>
        </w:rPr>
        <w:t xml:space="preserve">Effect window</w:t>
      </w:r>
      <w:r>
        <w:t xml:space="preserve">: weeks 20–80</w:t>
      </w:r>
    </w:p>
    <w:p>
      <w:pPr>
        <w:pStyle w:val="Compact"/>
        <w:numPr>
          <w:ilvl w:val="0"/>
          <w:numId w:val="1029"/>
        </w:numPr>
      </w:pPr>
      <w:r>
        <w:rPr>
          <w:b/>
          <w:bCs/>
        </w:rPr>
        <w:t xml:space="preserve">Hazard multipliers</w:t>
      </w:r>
      <w:r>
        <w:t xml:space="preserve">:</w:t>
      </w:r>
    </w:p>
    <w:p>
      <w:pPr>
        <w:pStyle w:val="Compact"/>
        <w:numPr>
          <w:ilvl w:val="1"/>
          <w:numId w:val="1030"/>
        </w:numPr>
      </w:pPr>
      <w:r>
        <w:t xml:space="preserve">Harm scenario:</w:t>
      </w:r>
      <w:r>
        <w:t xml:space="preserve"> </w:t>
      </w:r>
      <m:oMath>
        <m:r>
          <m:t>r</m:t>
        </m:r>
        <m:r>
          <m:rPr>
            <m:sty m:val="p"/>
          </m:rPr>
          <m:t>=</m:t>
        </m:r>
        <m:r>
          <m:t>1.2</m:t>
        </m:r>
      </m:oMath>
    </w:p>
    <w:p>
      <w:pPr>
        <w:pStyle w:val="Compact"/>
        <w:numPr>
          <w:ilvl w:val="1"/>
          <w:numId w:val="1030"/>
        </w:numPr>
      </w:pPr>
      <w:r>
        <w:t xml:space="preserve">Benefit scenario:</w:t>
      </w:r>
      <w:r>
        <w:t xml:space="preserve"> </w:t>
      </w:r>
      <m:oMath>
        <m:r>
          <m:t>r</m:t>
        </m:r>
        <m:r>
          <m:rPr>
            <m:sty m:val="p"/>
          </m:rPr>
          <m:t>=</m:t>
        </m:r>
        <m:r>
          <m:t>0.8</m:t>
        </m:r>
      </m:oMath>
    </w:p>
    <w:p>
      <w:pPr>
        <w:pStyle w:val="Compact"/>
        <w:numPr>
          <w:ilvl w:val="0"/>
          <w:numId w:val="1029"/>
        </w:numPr>
      </w:pPr>
      <w:r>
        <w:rPr>
          <w:b/>
          <w:bCs/>
        </w:rPr>
        <w:t xml:space="preserve">Random seed</w:t>
      </w:r>
      <w:r>
        <w:t xml:space="preserve">: 42</w:t>
      </w:r>
    </w:p>
    <w:p>
      <w:pPr>
        <w:pStyle w:val="Compact"/>
        <w:numPr>
          <w:ilvl w:val="0"/>
          <w:numId w:val="1029"/>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76"/>
    <w:bookmarkStart w:id="177" w:name="b.4-sensitivity-analysis-parameters"/>
    <w:p>
      <w:pPr>
        <w:pStyle w:val="Heading4"/>
      </w:pPr>
      <w:r>
        <w:t xml:space="preserve">B.4 Sensitivity analysis parameters</w:t>
      </w:r>
    </w:p>
    <w:p>
      <w:pPr>
        <w:pStyle w:val="FirstParagraph"/>
      </w:pPr>
      <w:r>
        <w:t xml:space="preserve">The sensitivity analysis (Figure 9) varies:</w:t>
      </w:r>
    </w:p>
    <w:p>
      <w:pPr>
        <w:pStyle w:val="Compact"/>
        <w:numPr>
          <w:ilvl w:val="0"/>
          <w:numId w:val="1031"/>
        </w:numPr>
      </w:pPr>
      <w:r>
        <w:rPr>
          <w:b/>
          <w:bCs/>
        </w:rPr>
        <w:t xml:space="preserve">Baseline weeks</w:t>
      </w:r>
      <w:r>
        <w:t xml:space="preserve">: [2, 3, 4, 5, 6, 7, 8]</w:t>
      </w:r>
    </w:p>
    <w:p>
      <w:pPr>
        <w:pStyle w:val="Compact"/>
        <w:numPr>
          <w:ilvl w:val="0"/>
          <w:numId w:val="1031"/>
        </w:numPr>
      </w:pPr>
      <w:r>
        <w:rPr>
          <w:b/>
          <w:bCs/>
        </w:rPr>
        <w:t xml:space="preserve">Quiet-start offsets</w:t>
      </w:r>
      <w:r>
        <w:t xml:space="preserve">: [-12, -8, -4, 0, +4, +8, +12] weeks from 2022-24</w:t>
      </w:r>
    </w:p>
    <w:p>
      <w:pPr>
        <w:pStyle w:val="Compact"/>
        <w:numPr>
          <w:ilvl w:val="0"/>
          <w:numId w:val="1031"/>
        </w:numPr>
      </w:pPr>
      <w:r>
        <w:rPr>
          <w:b/>
          <w:bCs/>
        </w:rPr>
        <w:t xml:space="preserve">Quiet-window end</w:t>
      </w:r>
      <w:r>
        <w:t xml:space="preserve">: Fixed at 2024-16</w:t>
      </w:r>
    </w:p>
    <w:p>
      <w:pPr>
        <w:pStyle w:val="Compact"/>
        <w:numPr>
          <w:ilvl w:val="0"/>
          <w:numId w:val="1031"/>
        </w:numPr>
      </w:pPr>
      <w:r>
        <w:rPr>
          <w:b/>
          <w:bCs/>
        </w:rPr>
        <w:t xml:space="preserve">Dose pairs</w:t>
      </w:r>
      <w:r>
        <w:t xml:space="preserve">: 1 vs 0, 2 vs 0, 2 vs 1</w:t>
      </w:r>
    </w:p>
    <w:p>
      <w:pPr>
        <w:pStyle w:val="Compact"/>
        <w:numPr>
          <w:ilvl w:val="0"/>
          <w:numId w:val="1031"/>
        </w:numPr>
      </w:pPr>
      <w:r>
        <w:rPr>
          <w:b/>
          <w:bCs/>
        </w:rPr>
        <w:t xml:space="preserve">Cohorts</w:t>
      </w:r>
      <w:r>
        <w:t xml:space="preserve">: 2021_24</w:t>
      </w:r>
    </w:p>
    <w:p>
      <w:pPr>
        <w:pStyle w:val="FirstParagraph"/>
      </w:pPr>
      <w:r>
        <w:t xml:space="preserve">Output grids show KCOR values for each parameter combination.</w:t>
      </w:r>
    </w:p>
    <w:bookmarkEnd w:id="177"/>
    <w:bookmarkStart w:id="178"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2"/>
        </w:numPr>
      </w:pPr>
      <w:r>
        <w:rPr>
          <w:b/>
          <w:bCs/>
        </w:rPr>
        <w:t xml:space="preserve">Mid-sampled cohort</w:t>
      </w:r>
      <w:r>
        <w:t xml:space="preserve">: frailty restricted to central quantiles (e.g., 25th–75th percentile) and renormalized to mean 1.</w:t>
      </w:r>
    </w:p>
    <w:p>
      <w:pPr>
        <w:pStyle w:val="Compact"/>
        <w:numPr>
          <w:ilvl w:val="0"/>
          <w:numId w:val="1032"/>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3"/>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3"/>
        </w:numPr>
      </w:pPr>
      <w:r>
        <w:rPr>
          <w:b/>
          <w:bCs/>
        </w:rPr>
        <w:t xml:space="preserve">Base frailty distribution</w:t>
      </w:r>
      <w:r>
        <w:t xml:space="preserve">: Log-normal with mean 1, variance 0.5</w:t>
      </w:r>
    </w:p>
    <w:p>
      <w:pPr>
        <w:pStyle w:val="Compact"/>
        <w:numPr>
          <w:ilvl w:val="0"/>
          <w:numId w:val="1033"/>
        </w:numPr>
      </w:pPr>
      <w:r>
        <w:rPr>
          <w:b/>
          <w:bCs/>
        </w:rPr>
        <w:t xml:space="preserve">Mid-quantile cohort</w:t>
      </w:r>
      <w:r>
        <w:t xml:space="preserve">: 25th–75th percentile</w:t>
      </w:r>
    </w:p>
    <w:p>
      <w:pPr>
        <w:pStyle w:val="Compact"/>
        <w:numPr>
          <w:ilvl w:val="0"/>
          <w:numId w:val="1033"/>
        </w:numPr>
      </w:pPr>
      <w:r>
        <w:rPr>
          <w:b/>
          <w:bCs/>
        </w:rPr>
        <w:t xml:space="preserve">Tail-mixture cohort</w:t>
      </w:r>
      <w:r>
        <w:t xml:space="preserve">: [0–15th] + [85th–100th] percentiles, equal weights</w:t>
      </w:r>
    </w:p>
    <w:p>
      <w:pPr>
        <w:pStyle w:val="Compact"/>
        <w:numPr>
          <w:ilvl w:val="0"/>
          <w:numId w:val="1033"/>
        </w:numPr>
      </w:pPr>
      <w:r>
        <w:rPr>
          <w:b/>
          <w:bCs/>
        </w:rPr>
        <w:t xml:space="preserve">Baseline hazard</w:t>
      </w:r>
      <w:r>
        <w:t xml:space="preserve">: 0.002 per week (constant)</w:t>
      </w:r>
    </w:p>
    <w:p>
      <w:pPr>
        <w:pStyle w:val="Compact"/>
        <w:numPr>
          <w:ilvl w:val="0"/>
          <w:numId w:val="1033"/>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3"/>
        </w:numPr>
      </w:pPr>
      <w:r>
        <w:rPr>
          <w:b/>
          <w:bCs/>
        </w:rPr>
        <w:t xml:space="preserve">Effect window</w:t>
      </w:r>
      <w:r>
        <w:t xml:space="preserve">: weeks 20–80</w:t>
      </w:r>
    </w:p>
    <w:p>
      <w:pPr>
        <w:pStyle w:val="Compact"/>
        <w:numPr>
          <w:ilvl w:val="0"/>
          <w:numId w:val="1033"/>
        </w:numPr>
      </w:pPr>
      <w:r>
        <w:rPr>
          <w:b/>
          <w:bCs/>
        </w:rPr>
        <w:t xml:space="preserve">Random seed</w:t>
      </w:r>
      <w:r>
        <w:t xml:space="preserve">: 42</w:t>
      </w:r>
    </w:p>
    <w:bookmarkEnd w:id="178"/>
    <w:bookmarkStart w:id="185"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79"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79"/>
    <w:bookmarkStart w:id="180" w:name="frailty-structure"/>
    <w:p>
      <w:pPr>
        <w:pStyle w:val="Heading5"/>
      </w:pPr>
      <w:r>
        <w:t xml:space="preserve">Frailty structure</w:t>
      </w:r>
    </w:p>
    <w:p>
      <w:pPr>
        <w:pStyle w:val="Compact"/>
        <w:numPr>
          <w:ilvl w:val="0"/>
          <w:numId w:val="1034"/>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4"/>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80"/>
    <w:bookmarkStart w:id="181"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35"/>
        </w:numPr>
      </w:pPr>
      <w:r>
        <w:t xml:space="preserve">Step change (constant multiplicative factor),</w:t>
      </w:r>
    </w:p>
    <w:p>
      <w:pPr>
        <w:pStyle w:val="Compact"/>
        <w:numPr>
          <w:ilvl w:val="0"/>
          <w:numId w:val="1035"/>
        </w:numPr>
      </w:pPr>
      <w:r>
        <w:t xml:space="preserve">Linear ramp,</w:t>
      </w:r>
    </w:p>
    <w:p>
      <w:pPr>
        <w:pStyle w:val="Compact"/>
        <w:numPr>
          <w:ilvl w:val="0"/>
          <w:numId w:val="1035"/>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81"/>
    <w:bookmarkStart w:id="182"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82"/>
    <w:bookmarkStart w:id="183"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36"/>
        </w:numPr>
      </w:pPr>
      <w:r>
        <w:t xml:space="preserve">KCOR remains approximately flat and near unity during the quiet window,</w:t>
      </w:r>
    </w:p>
    <w:p>
      <w:pPr>
        <w:pStyle w:val="Compact"/>
        <w:numPr>
          <w:ilvl w:val="0"/>
          <w:numId w:val="1036"/>
        </w:numPr>
      </w:pPr>
      <w:r>
        <w:t xml:space="preserve">KCOR deviates in the correct direction and magnitude during the treatment window,</w:t>
      </w:r>
    </w:p>
    <w:p>
      <w:pPr>
        <w:pStyle w:val="Compact"/>
        <w:numPr>
          <w:ilvl w:val="0"/>
          <w:numId w:val="1036"/>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183"/>
    <w:bookmarkStart w:id="184"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184"/>
    <w:bookmarkEnd w:id="185"/>
    <w:bookmarkEnd w:id="186"/>
    <w:bookmarkStart w:id="191" w:name="X3fb27f9d14d988b0afc4c757bd6d2a45d2ae0b5"/>
    <w:p>
      <w:pPr>
        <w:pStyle w:val="Heading3"/>
      </w:pPr>
      <w:r>
        <w:t xml:space="preserve">Appendix C. Additional figures and diagnostics</w:t>
      </w:r>
    </w:p>
    <w:bookmarkStart w:id="187"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7"/>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7"/>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7"/>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187"/>
    <w:bookmarkStart w:id="188"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8"/>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8"/>
        </w:numPr>
      </w:pPr>
      <w:r>
        <w:rPr>
          <w:b/>
          <w:bCs/>
        </w:rPr>
        <w:t xml:space="preserve">Outliers</w:t>
      </w:r>
      <w:r>
        <w:t xml:space="preserve">: Individual weeks with large residuals may indicate data quality issues or external shocks.</w:t>
      </w:r>
    </w:p>
    <w:p>
      <w:pPr>
        <w:pStyle w:val="Compact"/>
        <w:numPr>
          <w:ilvl w:val="0"/>
          <w:numId w:val="1038"/>
        </w:numPr>
      </w:pPr>
      <w:r>
        <w:rPr>
          <w:b/>
          <w:bCs/>
        </w:rPr>
        <w:t xml:space="preserve">Autocorrelation</w:t>
      </w:r>
      <w:r>
        <w:t xml:space="preserve">: Strong autocorrelation in residuals suggests the model is missing time-varying structure.</w:t>
      </w:r>
    </w:p>
    <w:bookmarkEnd w:id="188"/>
    <w:bookmarkStart w:id="189"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9"/>
        </w:numPr>
      </w:pPr>
      <w:r>
        <w:rPr>
          <w:b/>
          <w:bCs/>
        </w:rPr>
        <w:t xml:space="preserve">Quiet-window perturbation</w:t>
      </w:r>
      <w:r>
        <w:t xml:space="preserve">: Shift the quiet-window start/end by ±4 weeks and re-fit. Stable parameters should vary by &lt; 10%.</w:t>
      </w:r>
    </w:p>
    <w:p>
      <w:pPr>
        <w:pStyle w:val="Compact"/>
        <w:numPr>
          <w:ilvl w:val="0"/>
          <w:numId w:val="1039"/>
        </w:numPr>
      </w:pPr>
      <w:r>
        <w:rPr>
          <w:b/>
          <w:bCs/>
        </w:rPr>
        <w:t xml:space="preserve">Skip-weeks sensitivity</w:t>
      </w:r>
      <w:r>
        <w:t xml:space="preserve">: Vary SKIP_WEEKS from 0 to 8 and verify KCOR trajectories remain qualitatively similar.</w:t>
      </w:r>
    </w:p>
    <w:p>
      <w:pPr>
        <w:pStyle w:val="Compact"/>
        <w:numPr>
          <w:ilvl w:val="0"/>
          <w:numId w:val="1039"/>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9) provides a systematic assessment of parameter stability.</w:t>
      </w:r>
    </w:p>
    <w:bookmarkEnd w:id="189"/>
    <w:bookmarkStart w:id="190"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0"/>
        </w:numPr>
      </w:pPr>
      <w:r>
        <w:t xml:space="preserve">Avoid major epidemic waves or external mortality shocks</w:t>
      </w:r>
    </w:p>
    <w:p>
      <w:pPr>
        <w:pStyle w:val="Compact"/>
        <w:numPr>
          <w:ilvl w:val="0"/>
          <w:numId w:val="1040"/>
        </w:numPr>
      </w:pPr>
      <w:r>
        <w:t xml:space="preserve">Contain sufficient event counts for stable estimation</w:t>
      </w:r>
    </w:p>
    <w:p>
      <w:pPr>
        <w:pStyle w:val="Compact"/>
        <w:numPr>
          <w:ilvl w:val="0"/>
          <w:numId w:val="1040"/>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190"/>
    <w:bookmarkEnd w:id="191"/>
    <w:bookmarkStart w:id="200"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192"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1"/>
        </w:numPr>
      </w:pPr>
      <w:r>
        <w:t xml:space="preserve">Inconsistencies in cohort risk sets (e.g., unexplained increases in at-risk counts).</w:t>
      </w:r>
    </w:p>
    <w:p>
      <w:pPr>
        <w:pStyle w:val="Compact"/>
        <w:numPr>
          <w:ilvl w:val="0"/>
          <w:numId w:val="1041"/>
        </w:numPr>
      </w:pPr>
      <w:r>
        <w:t xml:space="preserve">Early-time hazard suppression or inflation inconsistent with selection or depletion geometry.</w:t>
      </w:r>
    </w:p>
    <w:p>
      <w:pPr>
        <w:pStyle w:val="Compact"/>
        <w:numPr>
          <w:ilvl w:val="0"/>
          <w:numId w:val="1041"/>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192"/>
    <w:bookmarkStart w:id="193"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2"/>
        </w:numPr>
      </w:pPr>
      <w:r>
        <w:t xml:space="preserve">Calendar-time hazard spikes or drops that appear in only one cohort.</w:t>
      </w:r>
    </w:p>
    <w:p>
      <w:pPr>
        <w:pStyle w:val="Compact"/>
        <w:numPr>
          <w:ilvl w:val="0"/>
          <w:numId w:val="1042"/>
        </w:numPr>
      </w:pPr>
      <w:r>
        <w:t xml:space="preserve">Misalignment of major mortality shocks (e.g., epidemic waves) across cohorts.</w:t>
      </w:r>
    </w:p>
    <w:p>
      <w:pPr>
        <w:pStyle w:val="Compact"/>
        <w:numPr>
          <w:ilvl w:val="0"/>
          <w:numId w:val="1042"/>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193"/>
    <w:bookmarkStart w:id="194"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3"/>
        </w:numPr>
      </w:pPr>
      <w:r>
        <w:t xml:space="preserve">Strongly structured residuals in cumulative-hazard space inconsistent with depletion.</w:t>
      </w:r>
    </w:p>
    <w:p>
      <w:pPr>
        <w:pStyle w:val="Compact"/>
        <w:numPr>
          <w:ilvl w:val="0"/>
          <w:numId w:val="1043"/>
        </w:numPr>
      </w:pPr>
      <w:r>
        <w:t xml:space="preserve">Instability of fitted frailty parameters not attributable to window placement.</w:t>
      </w:r>
    </w:p>
    <w:p>
      <w:pPr>
        <w:pStyle w:val="Compact"/>
        <w:numPr>
          <w:ilvl w:val="0"/>
          <w:numId w:val="1043"/>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194"/>
    <w:bookmarkStart w:id="195"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44"/>
        </w:numPr>
      </w:pPr>
      <w:r>
        <w:t xml:space="preserve">Poor fit of the gamma-frailty cumulative-hazard model during the quiet window.</w:t>
      </w:r>
    </w:p>
    <w:p>
      <w:pPr>
        <w:pStyle w:val="Compact"/>
        <w:numPr>
          <w:ilvl w:val="0"/>
          <w:numId w:val="1044"/>
        </w:numPr>
      </w:pPr>
      <w:r>
        <w:t xml:space="preserve">Systematic residual curvature after frailty normalization.</w:t>
      </w:r>
    </w:p>
    <w:p>
      <w:pPr>
        <w:pStyle w:val="Compact"/>
        <w:numPr>
          <w:ilvl w:val="0"/>
          <w:numId w:val="1044"/>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195"/>
    <w:bookmarkStart w:id="196"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45"/>
        </w:numPr>
      </w:pPr>
      <w:r>
        <w:t xml:space="preserve">Failure of KCOR(t) trajectories to stabilize or asymptote following frailty normalization.</w:t>
      </w:r>
    </w:p>
    <w:p>
      <w:pPr>
        <w:pStyle w:val="Compact"/>
        <w:numPr>
          <w:ilvl w:val="0"/>
          <w:numId w:val="1045"/>
        </w:numPr>
      </w:pPr>
      <w:r>
        <w:t xml:space="preserve">Persistent nonzero slope in KCOR(t), indicating residual curvature after normalization.</w:t>
      </w:r>
    </w:p>
    <w:p>
      <w:pPr>
        <w:pStyle w:val="Compact"/>
        <w:numPr>
          <w:ilvl w:val="0"/>
          <w:numId w:val="1045"/>
        </w:numPr>
      </w:pPr>
      <w:r>
        <w:t xml:space="preserve">Instability of fitted frailty parameters (θ) under small perturbations of quiet-window boundaries.</w:t>
      </w:r>
    </w:p>
    <w:p>
      <w:pPr>
        <w:pStyle w:val="Compact"/>
        <w:numPr>
          <w:ilvl w:val="0"/>
          <w:numId w:val="1045"/>
        </w:numPr>
      </w:pPr>
      <w:r>
        <w:t xml:space="preserve">Failure of depletion-neutralized cumulative hazards to become approximately linear during the quiet window.</w:t>
      </w:r>
    </w:p>
    <w:p>
      <w:pPr>
        <w:pStyle w:val="Compact"/>
        <w:numPr>
          <w:ilvl w:val="0"/>
          <w:numId w:val="1045"/>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bookmarkEnd w:id="196"/>
    <w:bookmarkStart w:id="197"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197"/>
    <w:bookmarkStart w:id="198"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 trajectories.</w:t>
      </w:r>
    </w:p>
    <w:p>
      <w:pPr>
        <w:pStyle w:val="BodyText"/>
      </w:pPr>
      <w:r>
        <w:t xml:space="preserve">Importantly, 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198"/>
    <w:bookmarkStart w:id="199"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199"/>
    <w:bookmarkEnd w:id="200"/>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67" Target="media/rId67.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130" Target="media/rId130.png" /><Relationship Type="http://schemas.openxmlformats.org/officeDocument/2006/relationships/image" Id="rId126" Target="media/rId126.png" /><Relationship Type="http://schemas.openxmlformats.org/officeDocument/2006/relationships/image" Id="rId113" Target="media/rId113.png" /><Relationship Type="http://schemas.openxmlformats.org/officeDocument/2006/relationships/image" Id="rId122" Target="media/rId122.png" /><Relationship Type="http://schemas.openxmlformats.org/officeDocument/2006/relationships/image" Id="rId118" Target="media/rId118.png" /><Relationship Type="http://schemas.openxmlformats.org/officeDocument/2006/relationships/hyperlink" Id="rId161" Target="https://doi.org/10.2147/CLEP.S468572" TargetMode="External" /><Relationship Type="http://schemas.openxmlformats.org/officeDocument/2006/relationships/hyperlink" Id="rId159" Target="https://doi.org/10.2307/2061224" TargetMode="External" /><Relationship Type="http://schemas.openxmlformats.org/officeDocument/2006/relationships/hyperlink" Id="rId152" Target="https://doi.org/10.5281/zenodo.18050329" TargetMode="External" /><Relationship Type="http://schemas.openxmlformats.org/officeDocument/2006/relationships/hyperlink" Id="rId163" Target="https://doi.org/10.7554/eLife.103690" TargetMode="External" /><Relationship Type="http://schemas.openxmlformats.org/officeDocument/2006/relationships/hyperlink" Id="rId151"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1" Target="https://doi.org/10.2147/CLEP.S468572" TargetMode="External" /><Relationship Type="http://schemas.openxmlformats.org/officeDocument/2006/relationships/hyperlink" Id="rId159" Target="https://doi.org/10.2307/2061224" TargetMode="External" /><Relationship Type="http://schemas.openxmlformats.org/officeDocument/2006/relationships/hyperlink" Id="rId152" Target="https://doi.org/10.5281/zenodo.18050329" TargetMode="External" /><Relationship Type="http://schemas.openxmlformats.org/officeDocument/2006/relationships/hyperlink" Id="rId163" Target="https://doi.org/10.7554/eLife.103690" TargetMode="External" /><Relationship Type="http://schemas.openxmlformats.org/officeDocument/2006/relationships/hyperlink" Id="rId151"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2026-01-01T03:59:05Z</dcterms:created>
  <dcterms:modified xsi:type="dcterms:W3CDTF">2026-01-01T03:59:05Z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