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92.png" ContentType="image/png"/>
  <Override PartName="/word/media/rId96.png" ContentType="image/png"/>
  <Override PartName="/word/media/rId72.png" ContentType="image/png"/>
  <Override PartName="/word/media/rId76.png" ContentType="image/png"/>
  <Override PartName="/word/media/rId66.png" ContentType="image/png"/>
  <Override PartName="/word/media/rId86.png" ContentType="image/png"/>
  <Override PartName="/word/media/rId104.png" ContentType="image/png"/>
  <Override PartName="/word/media/rId127.png" ContentType="image/png"/>
  <Override PartName="/word/media/rId123.png" ContentType="image/png"/>
  <Override PartName="/word/media/rId110.png" ContentType="image/png"/>
  <Override PartName="/word/media/rId119.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0" w:name="X7e352faca4f4abc41f11b7392747c843df7c7d0"/>
    <w:p>
      <w:pPr>
        <w:pStyle w:val="Heading1"/>
      </w:pPr>
      <w:r>
        <w:t xml:space="preserve">KCOR: Depletion-Neutralized Cohort Comparison via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This paper contributes a generalizable estimator for retrospective cohort comparisons under non-proportional hazards induced by selection-driven depletion of susceptibles.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 Simulation studies confirm that KCOR remains stable under selection-only regimes and reliably detects injected cumulative effects when present.</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while standard Cox regression can yield strongly non-null hazard ratios despite a true null effect.</w:t>
      </w:r>
    </w:p>
    <w:bookmarkEnd w:id="11"/>
    <w:bookmarkStart w:id="22"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4"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r>
        <w:t xml:space="preserve">.</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4"/>
    <w:bookmarkStart w:id="18"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5"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5"/>
    <w:bookmarkStart w:id="17"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tbl. 1 summarizes these findings.</w:t>
      </w:r>
    </w:p>
    <w:bookmarkStart w:id="16"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6"/>
    <w:bookmarkEnd w:id="17"/>
    <w:bookmarkEnd w:id="18"/>
    <w:bookmarkStart w:id="20"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19"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9"/>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p>
      <w:pPr>
        <w:pStyle w:val="BodyText"/>
      </w:pPr>
      <w:r>
        <w:rPr>
          <w:b/>
          <w:bCs/>
        </w:rPr>
        <w:t xml:space="preserve">Table 1. Positioning KCOR among retrospective methods (corrected).</w:t>
      </w:r>
      <w:r>
        <w:br/>
      </w: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 {#tbl:positioning}</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fig.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20"/>
    <w:bookmarkStart w:id="21"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after an optional stabilization skip period.</w:t>
      </w:r>
    </w:p>
    <w:p>
      <w:pPr>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rPr>
            <m:sty m:val="p"/>
          </m:rPr>
          <m:t>log</m:t>
        </m:r>
        <m:r>
          <m:rPr>
            <m:sty m:val="p"/>
          </m:rPr>
          <m:t>(</m:t>
        </m:r>
        <m:r>
          <m:t>1</m:t>
        </m:r>
        <m:r>
          <m:rPr>
            <m:sty m:val="p"/>
          </m:rPr>
          <m:t>+</m:t>
        </m:r>
        <m:sSub>
          <m:e>
            <m:r>
              <m:t>θ</m:t>
            </m:r>
          </m:e>
          <m:sub>
            <m:r>
              <m:t>d</m:t>
            </m:r>
          </m:sub>
        </m:sSub>
        <m:sSub>
          <m:e>
            <m:r>
              <m:t>k</m:t>
            </m:r>
          </m:e>
          <m:sub>
            <m:r>
              <m:t>d</m:t>
            </m:r>
          </m:sub>
        </m:sSub>
        <m:r>
          <m:t>t</m:t>
        </m:r>
        <m:r>
          <m:rPr>
            <m:sty m:val="p"/>
          </m:rPr>
          <m:t>)</m:t>
        </m:r>
      </m:oMath>
      <w:r>
        <w:t xml:space="preserve"> </w:t>
      </w:r>
      <w:r>
        <w:t xml:space="preserve">to observed cumulative hazards.</w:t>
      </w:r>
    </w:p>
    <w:p>
      <w:pPr>
        <w:numPr>
          <w:ilvl w:val="0"/>
          <w:numId w:val="1005"/>
        </w:numPr>
      </w:pPr>
      <w:r>
        <w:rPr>
          <w:b/>
          <w:bCs/>
        </w:rPr>
        <w:t xml:space="preserve">Gamma inversion</w:t>
      </w:r>
      <w:r>
        <w:t xml:space="preserve">: The fitted frailty parameters are used to invert the gamma-frailty identity, transforming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oMath>
      <w:r>
        <w:t xml:space="preserve">.</w:t>
      </w:r>
    </w:p>
    <w:p>
      <w:pPr>
        <w:numPr>
          <w:ilvl w:val="0"/>
          <w:numId w:val="1005"/>
        </w:numPr>
      </w:pPr>
      <w:r>
        <w:rPr>
          <w:b/>
          <w:bCs/>
        </w:rPr>
        <w:t xml:space="preserve">KCOR ratio</w:t>
      </w:r>
      <w:r>
        <w:t xml:space="preserve">: Cohorts are compared via the ratio of depletion-neutralized cumulative hazards: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w:t>
      </w:r>
    </w:p>
    <w:p>
      <w:pPr>
        <w:numPr>
          <w:ilvl w:val="0"/>
          <w:numId w:val="1005"/>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1"/>
    <w:bookmarkEnd w:id="22"/>
    <w:bookmarkStart w:id="83" w:name="methods"/>
    <w:p>
      <w:pPr>
        <w:pStyle w:val="Heading2"/>
      </w:pPr>
      <w:r>
        <w:t xml:space="preserve">2. Methods</w:t>
      </w:r>
    </w:p>
    <w:p>
      <w:pPr>
        <w:pStyle w:val="FirstParagraph"/>
      </w:pPr>
      <w:r>
        <w:t xml:space="preserve">Table tbl. 3 defines the notation used throughout this section.</w:t>
      </w:r>
    </w:p>
    <w:bookmarkStart w:id="23" w:name="tbl:notation"/>
    <w:p>
      <w:pPr>
        <w:pStyle w:val="TableCaption"/>
      </w:pPr>
      <w:r>
        <w:t xml:space="preserve">Table 3: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3: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3"/>
    <w:p>
      <w:pPr>
        <w:pStyle w:val="BodyText"/>
      </w:pPr>
      <w:r>
        <w:t xml:space="preserve">For COVID-19 vaccination analyses, intervention count corresponds to the number of vaccine doses received; more generally, this can index any discrete exposure level.</w:t>
      </w:r>
    </w:p>
    <w:bookmarkStart w:id="3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6"/>
        </w:numPr>
      </w:pPr>
      <w:r>
        <w:rPr>
          <w:b/>
          <w:bCs/>
        </w:rPr>
        <w:t xml:space="preserve">Level effects</w:t>
      </w:r>
      <w:r>
        <w:t xml:space="preserve">: multiplicative shifts in hazard that are constant over time.</w:t>
      </w:r>
    </w:p>
    <w:p>
      <w:pPr>
        <w:pStyle w:val="Compact"/>
        <w:numPr>
          <w:ilvl w:val="0"/>
          <w:numId w:val="1006"/>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fig. 2 provides a schematic overview of the KCOR workflow.</w:t>
      </w:r>
    </w:p>
    <w:bookmarkStart w:id="24"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period 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bookmarkEnd w:id="24"/>
    <w:bookmarkStart w:id="25"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07"/>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07"/>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07"/>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07"/>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07"/>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limits the scope of inference but does not invalidate the KCOR estimator itself. Formal diagnostics underlying these checks, including frailty-parameter coherence and stability, are detailed in Appendix D.</w:t>
      </w:r>
    </w:p>
    <w:bookmarkEnd w:id="25"/>
    <w:bookmarkStart w:id="26" w:name="Xc1b0e04e56855481db261cf53694dff2f44b845"/>
    <w:p>
      <w:pPr>
        <w:pStyle w:val="Heading4"/>
      </w:pPr>
      <w:r>
        <w:t xml:space="preserve">2.1.2a Multiplicity and ensemble interpretation</w:t>
      </w:r>
    </w:p>
    <w:p>
      <w:pPr>
        <w:pStyle w:val="FirstParagraph"/>
      </w:pPr>
      <w:r>
        <w:t xml:space="preserve">KCOR is not intended as a mass univariate hypothesis-testing framework. When applied across multiple age strata, enrollment periods, or dose comparisons, resulting KCOR trajectories should be interpreted as correlated views of a shared underlying process rather than as independent statistical tests. Accordingly, inference emphasizes diagnostic coherence, temporal stability, and consistency of cumulative-outcome patterns across strata, rather than reliance on nominal significance thresholds or formal multiple-comparison corrections.</w:t>
      </w:r>
    </w:p>
    <w:bookmarkEnd w:id="26"/>
    <w:bookmarkStart w:id="27" w:name="identifiability-and-scope-of-inference"/>
    <w:p>
      <w:pPr>
        <w:pStyle w:val="Heading4"/>
      </w:pPr>
      <w:r>
        <w:t xml:space="preserve">2.1.3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27"/>
    <w:bookmarkStart w:id="28" w:name="X2ff639dda5c76ee12c1be373d6ab806d9726741"/>
    <w:p>
      <w:pPr>
        <w:pStyle w:val="Heading4"/>
      </w:pPr>
      <w:r>
        <w:t xml:space="preserve">2.1.4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28"/>
    <w:bookmarkStart w:id="29" w:name="X19be1cc8b4f22674f4fa31b60c80ceca3407093"/>
    <w:p>
      <w:pPr>
        <w:pStyle w:val="Heading4"/>
      </w:pPr>
      <w:r>
        <w:t xml:space="preserve">2.1.5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 (</w:t>
      </w:r>
      <m:oMath>
        <m:acc>
          <m:accPr>
            <m:chr m:val="̂"/>
          </m:accPr>
          <m:e>
            <m:r>
              <m:t>θ</m:t>
            </m:r>
          </m:e>
        </m:acc>
        <m:r>
          <m:rPr>
            <m:sty m:val="p"/>
          </m:rPr>
          <m:t>≈</m:t>
        </m:r>
        <m:r>
          <m:t>0</m:t>
        </m:r>
      </m:oMath>
      <w:r>
        <w:t xml:space="preserve">) 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29"/>
    <w:bookmarkEnd w:id="30"/>
    <w:bookmarkStart w:id="32"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8"/>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8"/>
        </w:numPr>
      </w:pPr>
      <w:r>
        <w:t xml:space="preserve">No censoring or cohort switching is permitted in the primary estimand.</w:t>
      </w:r>
    </w:p>
    <w:p>
      <w:pPr>
        <w:pStyle w:val="Compact"/>
        <w:numPr>
          <w:ilvl w:val="0"/>
          <w:numId w:val="1008"/>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31"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9"/>
        </w:numPr>
      </w:pPr>
      <w:r>
        <w:t xml:space="preserve">Record-level data</w:t>
      </w:r>
      <w:r>
        <w:br/>
      </w:r>
    </w:p>
    <w:p>
      <w:pPr>
        <w:pStyle w:val="Compact"/>
        <w:numPr>
          <w:ilvl w:val="0"/>
          <w:numId w:val="1009"/>
        </w:numPr>
      </w:pPr>
      <w:r>
        <w:t xml:space="preserve">Aggregated outcome summary data</w:t>
      </w:r>
      <w:r>
        <w:br/>
      </w:r>
    </w:p>
    <w:p>
      <w:pPr>
        <w:pStyle w:val="Compact"/>
        <w:numPr>
          <w:ilvl w:val="0"/>
          <w:numId w:val="1009"/>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31"/>
    <w:bookmarkEnd w:id="32"/>
    <w:bookmarkStart w:id="36"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33"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33"/>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34"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34"/>
    </w:p>
    <w:bookmarkStart w:id="35" w:name="discrete-time-and-tied-events"/>
    <w:p>
      <w:pPr>
        <w:pStyle w:val="Heading4"/>
      </w:pPr>
      <w:r>
        <w:t xml:space="preserve">2.3.1 Discrete time and tied events</w:t>
      </w:r>
    </w:p>
    <w:p>
      <w:pPr>
        <w:pStyle w:val="FirstParagraph"/>
      </w:pPr>
      <w:r>
        <w:t xml:space="preserve">KCOR is formulated in discrete time using aggregated event counts and therefore naturally accommodates tied event times. For population registry data, weekly or similarly coarse time bins are generally appropriate and reduce noise without sacrificing identifiability. Finer binning does not improve depletion normalization and may destabilize frailty estimation when event counts per bin are small. Bin width should be guided by diagnostic stability rather than temporal resolution alone.</w:t>
      </w:r>
    </w:p>
    <w:bookmarkEnd w:id="35"/>
    <w:bookmarkEnd w:id="36"/>
    <w:bookmarkStart w:id="49" w:name="Xe033a348c5bd6b05b57c8d9f7299f5850ccd667"/>
    <w:p>
      <w:pPr>
        <w:pStyle w:val="Heading3"/>
      </w:pPr>
      <w:r>
        <w:t xml:space="preserve">2.4 Selection model: gamma frailty and the cumulative-hazard identity</w:t>
      </w:r>
    </w:p>
    <w:bookmarkStart w:id="38"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37"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37"/>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38"/>
    <w:bookmarkStart w:id="46"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39"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39"/>
    </w:p>
    <w:p>
      <w:pPr>
        <w:pStyle w:val="FirstParagraph"/>
      </w:pPr>
      <w:r>
        <w:t xml:space="preserve">Integrating over gamma frailty yields a closed-form relationship between the observed cohort cumulative hazard and the baseline cumulative hazard:</w:t>
      </w:r>
    </w:p>
    <w:p>
      <w:pPr>
        <w:pStyle w:val="BodyText"/>
      </w:pPr>
      <w:bookmarkStart w:id="40"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40"/>
    </w:p>
    <w:p>
      <w:pPr>
        <w:pStyle w:val="FirstParagraph"/>
      </w:pPr>
      <w:r>
        <w:t xml:space="preserve">This identity can be inverted exactly:</w:t>
      </w:r>
    </w:p>
    <w:p>
      <w:pPr>
        <w:pStyle w:val="BodyText"/>
      </w:pPr>
      <w:bookmarkStart w:id="41"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41"/>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 Figure fig. 1 illustrates this logic schematically.</w:t>
      </w:r>
    </w:p>
    <w:bookmarkStart w:id="45"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43" name="Picture"/>
            <a:graphic>
              <a:graphicData uri="http://schemas.openxmlformats.org/drawingml/2006/picture">
                <pic:pic>
                  <pic:nvPicPr>
                    <pic:cNvPr descr="figures/fig1_kcor_v6_schematic.png" id="44" name="Picture"/>
                    <pic:cNvPicPr>
                      <a:picLocks noChangeArrowheads="1" noChangeAspect="1"/>
                    </pic:cNvPicPr>
                  </pic:nvPicPr>
                  <pic:blipFill>
                    <a:blip r:embed="rId42"/>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45"/>
    <w:bookmarkEnd w:id="46"/>
    <w:bookmarkStart w:id="48"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47"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47"/>
    </w:p>
    <w:p>
      <w:pPr>
        <w:pStyle w:val="FirstParagraph"/>
      </w:pPr>
      <w:r>
        <w:t xml:space="preserve">This choice minimizes degrees of freedom and forces curvature during quiet periods to be explained by selection (frailty) rather than by an explicit time-varying baseline.</w:t>
      </w:r>
    </w:p>
    <w:bookmarkEnd w:id="48"/>
    <w:bookmarkEnd w:id="49"/>
    <w:bookmarkStart w:id="54"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50"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50"/>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51"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51"/>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3"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10"/>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0"/>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0"/>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52"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52"/>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11"/>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3"/>
    <w:bookmarkEnd w:id="54"/>
    <w:bookmarkStart w:id="59"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55"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55"/>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measurable depletion undergo an upward correction.</w:t>
      </w:r>
    </w:p>
    <w:p>
      <w:pPr>
        <w:pStyle w:val="BodyText"/>
      </w:pPr>
      <w:r>
        <w:t xml:space="preserve">An adjusted hazard may be recovered by differencing:</w:t>
      </w:r>
    </w:p>
    <w:p>
      <w:pPr>
        <w:pStyle w:val="BodyText"/>
      </w:pPr>
      <w:bookmarkStart w:id="56"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56"/>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7"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7"/>
    <w:bookmarkStart w:id="58"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2"/>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2"/>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2"/>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2"/>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58"/>
    <w:bookmarkEnd w:id="59"/>
    <w:bookmarkStart w:id="61"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60"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60"/>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61"/>
    <w:bookmarkStart w:id="63"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62"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62"/>
    </w:p>
    <w:p>
      <w:pPr>
        <w:pStyle w:val="FirstParagraph"/>
      </w:pPr>
      <w:r>
        <w:t xml:space="preserve">This is a cumulative comparison in hazard space after removing cohort-specific selection-induced depletion dynamics estimated during quiet periods.</w:t>
      </w:r>
    </w:p>
    <w:bookmarkEnd w:id="63"/>
    <w:bookmarkStart w:id="64"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3"/>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3"/>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4"/>
    <w:bookmarkStart w:id="70" w:name="Xf552aaad3b83b889e2d08c64d65c17176bae771"/>
    <w:p>
      <w:pPr>
        <w:pStyle w:val="Heading3"/>
      </w:pPr>
      <w:r>
        <w:t xml:space="preserve">2.10 Algorithm summary and reproducibility checklist</w:t>
      </w:r>
    </w:p>
    <w:p>
      <w:pPr>
        <w:pStyle w:val="FirstParagraph"/>
      </w:pPr>
      <w:r>
        <w:t xml:space="preserve">Table tbl. 4 summarizes the complete KCOR v6 pipeline.</w:t>
      </w:r>
    </w:p>
    <w:bookmarkStart w:id="65" w:name="tbl:KCOR_algorithm"/>
    <w:p>
      <w:pPr>
        <w:pStyle w:val="TableCaption"/>
      </w:pPr>
      <w:r>
        <w:t xml:space="preserve">Table 4: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4: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5"/>
    <w:bookmarkStart w:id="69"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67" name="Picture"/>
            <a:graphic>
              <a:graphicData uri="http://schemas.openxmlformats.org/drawingml/2006/picture">
                <pic:pic>
                  <pic:nvPicPr>
                    <pic:cNvPr descr="figures/fig_kcor_workflow.png" id="68" name="Picture"/>
                    <pic:cNvPicPr>
                      <a:picLocks noChangeArrowheads="1" noChangeAspect="1"/>
                    </pic:cNvPicPr>
                  </pic:nvPicPr>
                  <pic:blipFill>
                    <a:blip r:embed="rId66"/>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69"/>
    <w:bookmarkEnd w:id="70"/>
    <w:bookmarkStart w:id="82" w:name="relationship-to-cox-proportional-hazards"/>
    <w:p>
      <w:pPr>
        <w:pStyle w:val="Heading3"/>
      </w:pPr>
      <w:r>
        <w:t xml:space="preserve">2.11 Relationship to Cox proportional hazards</w:t>
      </w:r>
    </w:p>
    <w:p>
      <w:pPr>
        <w:pStyle w:val="FirstParagraph"/>
      </w:pPr>
      <w:r>
        <w:t xml:space="preserve">Cox proportional hazards models estimate instantaneous hazard under the assumption of time-invariant hazard ratios. In observational cohorts with selective uptake and frailty heterogeneity, this assumption is structurally violated, leading to time-varying hazard ratios and cumulative hazard trajectories inconsistent with observed data. Cox estimates are therefore presented here solely for diagnostic illustration to demonstrate assumption failure, not as a competing causal estimator.</w:t>
      </w:r>
    </w:p>
    <w:bookmarkStart w:id="80" w:name="X3af45993d90b0829bcc5fa36f447ebd1f6c3bc8"/>
    <w:p>
      <w:pPr>
        <w:pStyle w:val="Heading4"/>
      </w:pPr>
      <w:r>
        <w:t xml:space="preserve">2.11.1 Demonstration: Cox bias under frailty heterogeneity with no treatment effect</w:t>
      </w:r>
    </w:p>
    <w:p>
      <w:pPr>
        <w:pStyle w:val="FirstParagraph"/>
      </w:pPr>
      <w:r>
        <w:t xml:space="preserve">To illustrate the behavior of Cox proportional hazards regression in the presence of selection-induced depletion, we conducted a controlled synthetic experiment in which the</w:t>
      </w:r>
      <w:r>
        <w:t xml:space="preserve"> </w:t>
      </w:r>
      <w:r>
        <w:rPr>
          <w:b/>
          <w:bCs/>
        </w:rPr>
        <w:t xml:space="preserve">true causal effect is known to be zero by construction</w:t>
      </w:r>
      <w:r>
        <w:t xml:space="preserve">. This demonstration isolates the effect of latent frailty heterogeneity on standard Cox estimates and contrasts it with KCOR under identical conditions.</w:t>
      </w:r>
    </w:p>
    <w:p>
      <w:pPr>
        <w:pStyle w:val="BodyText"/>
      </w:pPr>
      <w:r>
        <w:rPr>
          <w:b/>
          <w:bCs/>
        </w:rPr>
        <w:t xml:space="preserve">Data-generating process.</w:t>
      </w:r>
    </w:p>
    <w:p>
      <w:pPr>
        <w:pStyle w:val="BodyText"/>
      </w:pPr>
      <w:r>
        <w:t xml:space="preserve">We simulated two cohorts of equal size exposed to the same baseline hazard function over time. Individual event times were generated from a shared baseline hazard</w:t>
      </w:r>
      <w:r>
        <w:t xml:space="preserve"> </w:t>
      </w:r>
      <m:oMath>
        <m:sSub>
          <m:e>
            <m:r>
              <m:t>h</m:t>
            </m:r>
          </m:e>
          <m:sub>
            <m:r>
              <m:t>0</m:t>
            </m:r>
          </m:sub>
        </m:sSub>
        <m:r>
          <m:rPr>
            <m:sty m:val="p"/>
          </m:rPr>
          <m:t>(</m:t>
        </m:r>
        <m:r>
          <m:t>t</m:t>
        </m:r>
        <m:r>
          <m:rPr>
            <m:sty m:val="p"/>
          </m:rPr>
          <m:t>)</m:t>
        </m:r>
      </m:oMath>
      <w:r>
        <w:t xml:space="preserve">, optionally Gompertz or constant, multiplied by an individual-specific frailty term</w:t>
      </w:r>
      <w:r>
        <w:t xml:space="preserve"> </w:t>
      </w:r>
      <m:oMath>
        <m:r>
          <m:t>z</m:t>
        </m:r>
      </m:oMath>
      <w:r>
        <w:t xml:space="preserve">, where</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regression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were included.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w:t>
      </w:r>
      <w:r>
        <w:t xml:space="preserve"> </w:t>
      </w:r>
      <m:oMath>
        <m:acc>
          <m:accPr>
            <m:chr m:val="̂"/>
          </m:accPr>
          <m:e>
            <m:r>
              <m:t>H</m:t>
            </m:r>
          </m:e>
        </m:acc>
        <m:r>
          <m:rPr>
            <m:sty m:val="p"/>
          </m:rPr>
          <m:t>(</m:t>
        </m:r>
        <m:r>
          <m:t>t</m:t>
        </m:r>
        <m:r>
          <m:rPr>
            <m:sty m:val="p"/>
          </m:rPr>
          <m:t>)</m:t>
        </m:r>
      </m:oMath>
      <w:r>
        <w:t xml:space="preserve"> </w:t>
      </w:r>
      <w:r>
        <w:t xml:space="preserve">were estimated nonparametrically using the Nelson–Aalen estimator, then mapped to depletion-neutralized baseline cumulative hazards via the gamma-frailty inversion prior to computing KCOR(t). Although the data-generating process specifies individual hazards, cumulative hazards were estimated from simulated event-time data using Nelson–Aalen to mirror the information available to analysts in observational registry studies, rather than exploiting simulator-only knowledge. Frailty parameters were estimated during a prespecified quiet window, followed by cumulative-hazard normalization and computation of KCOR(t). Post-normalization slope and asymptotic KCOR 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14"/>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14"/>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despite the absence of any causal effect. The direction and magnitude of the apparent effect depended on the follow-up horizon and degree of frailty heterogeneity. In contrast, KCOR 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even when no treatment effect exists, while KCOR correctly returns a null result under the same conditions.</w:t>
      </w:r>
    </w:p>
    <w:bookmarkStart w:id="71" w:name="tbl:cox_bias_demo"/>
    <w:p>
      <w:pPr>
        <w:pStyle w:val="TableCaption"/>
      </w:pPr>
      <w:r>
        <w:t xml:space="preserve">Table 5: Cox vs KCOR under a synthetic null with increasing frailty heterogeneity. Two cohorts are simulated with identical baseline hazards and no treatment effect;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 KCOR 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5: Cox vs KCOR under a synthetic null with increasing frailty heterogeneity. Two cohorts are simulated with identical baseline hazards and no treatment effect; cohorts differ only in gamma frailty variance (\theta). Despite the true hazard ratio being 1 by construction, Cox regression produces increasingly non-null hazard ratios as \theta increases, reflecting depletion-induced non-proportional hazards. KCOR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1"/>
    <w:bookmarkStart w:id="75" w:name="fig:cox_bias_hr"/>
    <w:p>
      <w:pPr>
        <w:pStyle w:val="CaptionedFigure"/>
      </w:pPr>
      <w:r>
        <w:drawing>
          <wp:inline>
            <wp:extent cx="5334000" cy="3975680"/>
            <wp:effectExtent b="0" l="0" r="0" t="0"/>
            <wp:docPr descr="Figure 3: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3" name="Picture"/>
            <a:graphic>
              <a:graphicData uri="http://schemas.openxmlformats.org/drawingml/2006/picture">
                <pic:pic>
                  <pic:nvPicPr>
                    <pic:cNvPr descr="figures/fig_cox_bias_hr_vs_theta.png" id="74" name="Picture"/>
                    <pic:cNvPicPr>
                      <a:picLocks noChangeArrowheads="1" noChangeAspect="1"/>
                    </pic:cNvPicPr>
                  </pic:nvPicPr>
                  <pic:blipFill>
                    <a:blip r:embed="rId72"/>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5"/>
    <w:bookmarkStart w:id="79" w:name="fig:cox_bias_kcor"/>
    <w:p>
      <w:pPr>
        <w:pStyle w:val="CaptionedFigure"/>
      </w:pPr>
      <w:r>
        <w:drawing>
          <wp:inline>
            <wp:extent cx="5334000" cy="3975680"/>
            <wp:effectExtent b="0" l="0" r="0" t="0"/>
            <wp:docPr descr="Figure 4: KCOR remains null under a synthetic null across increasing frailty heterogeneity. KCOR asymptotes remain near 1 across \theta in the same simulations, consistent with correct null behavior after depletion normalization." title="" id="77" name="Picture"/>
            <a:graphic>
              <a:graphicData uri="http://schemas.openxmlformats.org/drawingml/2006/picture">
                <pic:pic>
                  <pic:nvPicPr>
                    <pic:cNvPr descr="figures/fig_cox_bias_kcor_vs_theta.png" id="78" name="Picture"/>
                    <pic:cNvPicPr>
                      <a:picLocks noChangeArrowheads="1" noChangeAspect="1"/>
                    </pic:cNvPicPr>
                  </pic:nvPicPr>
                  <pic:blipFill>
                    <a:blip r:embed="rId76"/>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4: KCOR remains null under a synthetic null across increasing frailty heterogeneity. KCOR asymptotes remain near 1 across</w:t>
      </w:r>
      <w:r>
        <w:t xml:space="preserve"> </w:t>
      </w:r>
      <m:oMath>
        <m:r>
          <m:t>θ</m:t>
        </m:r>
      </m:oMath>
      <w:r>
        <w:t xml:space="preserve"> </w:t>
      </w:r>
      <w:r>
        <w:t xml:space="preserve">in the same simulations, consistent with correct null behavior after depletion normalization.</w:t>
      </w:r>
    </w:p>
    <w:bookmarkEnd w:id="79"/>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bookmarkEnd w:id="80"/>
    <w:bookmarkStart w:id="81"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comparison is beyond scope; the synthetic null demonstration illustrates the specific failure mode KCOR is designed to address.</w:t>
      </w:r>
    </w:p>
    <w:bookmarkEnd w:id="81"/>
    <w:bookmarkEnd w:id="82"/>
    <w:bookmarkEnd w:id="83"/>
    <w:bookmarkStart w:id="134"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5"/>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5"/>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tbl>
      <w:tblPr>
        <w:tblStyle w:val="Table"/>
        <w:tblW w:type="pct" w:w="5000"/>
        <w:tblLayout w:type="fixed"/>
        <w:tblLook w:firstRow="1" w:lastRow="0" w:firstColumn="0" w:lastColumn="0" w:noHBand="0" w:noVBand="0" w:val="0020"/>
      </w:tblPr>
      <w:tblGrid>
        <w:gridCol w:w="2436"/>
        <w:gridCol w:w="2741"/>
        <w:gridCol w:w="2741"/>
      </w:tblGrid>
      <w:tr>
        <w:trPr>
          <w:tblHeader w:val="on"/>
        </w:trPr>
        <w:tc>
          <w:tcPr/>
          <w:p>
            <w:pPr>
              <w:pStyle w:val="Compact"/>
            </w:pPr>
            <w:r>
              <w:t xml:space="preserve">Age band (years)</w:t>
            </w:r>
          </w:p>
        </w:tc>
        <w:tc>
          <w:tcPr/>
          <w:p>
            <w:pPr>
              <w:pStyle w:val="Compact"/>
              <w:jc w:val="right"/>
            </w:pPr>
            <m:oMath>
              <m:acc>
                <m:accPr>
                  <m:chr m:val="̂"/>
                </m:accPr>
                <m:e>
                  <m:r>
                    <m:t>θ</m:t>
                  </m:r>
                </m:e>
              </m:acc>
            </m:oMath>
            <w:r>
              <w:t xml:space="preserve"> </w:t>
            </w:r>
            <w:r>
              <w:t xml:space="preserve">Dose 0</w:t>
            </w:r>
          </w:p>
        </w:tc>
        <w:tc>
          <w:tcPr/>
          <w:p>
            <w:pPr>
              <w:pStyle w:val="Compact"/>
              <w:jc w:val="right"/>
            </w:pPr>
            <m:oMath>
              <m:acc>
                <m:accPr>
                  <m:chr m:val="̂"/>
                </m:accPr>
                <m:e>
                  <m:r>
                    <m:t>θ</m:t>
                  </m:r>
                </m:e>
              </m:acc>
            </m:oMath>
            <w:r>
              <w:t xml:space="preserve"> </w:t>
            </w:r>
            <w:r>
              <w:t xml:space="preserve">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p>
      <w:pPr>
        <w:pStyle w:val="BodyText"/>
      </w:pPr>
      <w:r>
        <w:t xml:space="preserve">Table 2. Estimated gamma-frailty variance (</w:t>
      </w:r>
      <m:oMath>
        <m:acc>
          <m:accPr>
            <m:chr m:val="̂"/>
          </m:accPr>
          <m:e>
            <m:r>
              <m:t>θ</m:t>
            </m:r>
          </m:e>
        </m:acc>
      </m:oMath>
      <w:r>
        <w:t xml:space="preserve">) by age band and vaccination status for Czech cohorts enrolled in 2021_24. {#tbl:frailty_diagnostics}</w:t>
      </w:r>
    </w:p>
    <w:p>
      <w:pPr>
        <w:pStyle w:val="BodyText"/>
      </w:pPr>
      <w:r>
        <w:rPr>
          <w:b/>
          <w:bCs/>
        </w:rPr>
        <w:t xml:space="preserve">Notes:</w:t>
      </w:r>
      <w:r>
        <w:t xml:space="preserve"> </w:t>
      </w:r>
      <w:r>
        <w:t xml:space="preserve">-</w:t>
      </w:r>
      <w:r>
        <w:t xml:space="preserve"> </w:t>
      </w:r>
      <m:oMath>
        <m:acc>
          <m:accPr>
            <m:chr m:val="̂"/>
          </m:accPr>
          <m:e>
            <m:r>
              <m:t>θ</m:t>
            </m:r>
          </m:e>
        </m:acc>
      </m:oMath>
      <w:r>
        <w:t xml:space="preserve"> </w:t>
      </w:r>
      <w:r>
        <w:t xml:space="preserve">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w:t>
      </w:r>
      <w:r>
        <w:t xml:space="preserve"> </w:t>
      </w:r>
      <m:oMath>
        <m:acc>
          <m:accPr>
            <m:chr m:val="̂"/>
          </m:accPr>
          <m:e>
            <m:r>
              <m:t>θ</m:t>
            </m:r>
          </m:e>
        </m:acc>
      </m:oMath>
      <w:r>
        <w:t xml:space="preserve"> </w:t>
      </w:r>
      <w:r>
        <w:t xml:space="preserve">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3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m:oMath>
        <m:acc>
          <m:accPr>
            <m:chr m:val="̂"/>
          </m:accPr>
          <m:e>
            <m:r>
              <m:t>θ</m:t>
            </m:r>
          </m:e>
        </m:acc>
      </m:oMath>
      <w:r>
        <w:t xml:space="preserve"> </w:t>
      </w:r>
      <w:r>
        <w:t xml:space="preserve">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m:oMath>
        <m:acc>
          <m:accPr>
            <m:chr m:val="̂"/>
          </m:accPr>
          <m:e>
            <m:r>
              <m:t>θ</m:t>
            </m:r>
          </m:e>
        </m:acc>
      </m:oMath>
      <w:r>
        <w:t xml:space="preserve"> </w:t>
      </w:r>
      <w:r>
        <w:t xml:space="preserve">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BodyText"/>
      </w:pPr>
      <w:r>
        <w:rPr>
          <w:b/>
          <w:bCs/>
        </w:rPr>
        <w:t xml:space="preserve">Interpretation:</w:t>
      </w:r>
      <w:r>
        <w:t xml:space="preserve"> </w:t>
      </w:r>
      <w:r>
        <w:t xml:space="preserve">Unvaccinated cohorts exhibit frailty heterogeneity (</w:t>
      </w:r>
      <m:oMath>
        <m:acc>
          <m:accPr>
            <m:chr m:val="̂"/>
          </m:accPr>
          <m:e>
            <m:r>
              <m:t>θ</m:t>
            </m:r>
          </m:e>
        </m:acc>
        <m:r>
          <m:rPr>
            <m:sty m:val="p"/>
          </m:rPr>
          <m:t>&gt;</m:t>
        </m:r>
        <m:r>
          <m:t>0</m:t>
        </m:r>
      </m:oMath>
      <w:r>
        <w:t xml:space="preserve">), while Dose 2 cohorts show near-zero estimated frailty (</w:t>
      </w:r>
      <m:oMath>
        <m:acc>
          <m:accPr>
            <m:chr m:val="̂"/>
          </m:accPr>
          <m:e>
            <m:r>
              <m:t>θ</m:t>
            </m:r>
          </m:e>
        </m:acc>
        <m:r>
          <m:rPr>
            <m:sty m:val="p"/>
          </m:rPr>
          <m:t>≈</m:t>
        </m:r>
        <m:r>
          <m:t>0</m:t>
        </m:r>
      </m:oMath>
      <w:r>
        <w:t xml:space="preserve">) across all age bands, consistent with selective uptake prior to follow-up. Frailty variance is largest at younger ages, where low baseline mortality amplifies the impact of heterogeneity on cumulative hazard curvature, and declines at older ages where mortality is compressed and survivors are more homogeneous. Because Table 2 demonstrates selection-induced heterogeneity, unadjusted cumulative outcome contrasts are expected to conflate depletion effects with any true treatment differences; Table 3 therefore reports raw cumulative hazards solely as a pre-normalization diagnostic. KCOR normalization removes the depletion component, enabling interpretable comparison of the remaining differences.</w:t>
      </w:r>
    </w:p>
    <w:tbl>
      <w:tblPr>
        <w:tblStyle w:val="Table"/>
        <w:tblW w:type="pct" w:w="5000"/>
        <w:tblLayout w:type="fixed"/>
        <w:tblLook w:firstRow="1" w:lastRow="0" w:firstColumn="0" w:lastColumn="0" w:noHBand="0" w:noVBand="0" w:val="0020"/>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0.022731</w:t>
            </w:r>
          </w:p>
        </w:tc>
        <w:tc>
          <w:tcPr/>
          <w:p>
            <w:pPr>
              <w:pStyle w:val="Compact"/>
              <w:jc w:val="right"/>
            </w:pPr>
            <w:r>
              <w:t xml:space="preserve">0.012510</w:t>
            </w:r>
          </w:p>
        </w:tc>
        <w:tc>
          <w:tcPr/>
          <w:p>
            <w:pPr>
              <w:pStyle w:val="Compact"/>
              <w:jc w:val="right"/>
            </w:pPr>
            <w:r>
              <w:t xml:space="preserve">1.8171</w:t>
            </w:r>
          </w:p>
        </w:tc>
      </w:tr>
      <w:tr>
        <w:tc>
          <w:tcPr/>
          <w:p>
            <w:pPr>
              <w:pStyle w:val="Compact"/>
            </w:pPr>
            <w:r>
              <w:t xml:space="preserve">50–59</w:t>
            </w:r>
          </w:p>
        </w:tc>
        <w:tc>
          <w:tcPr/>
          <w:p>
            <w:pPr>
              <w:pStyle w:val="Compact"/>
              <w:jc w:val="right"/>
            </w:pPr>
            <w:r>
              <w:t xml:space="preserve">0.060750</w:t>
            </w:r>
          </w:p>
        </w:tc>
        <w:tc>
          <w:tcPr/>
          <w:p>
            <w:pPr>
              <w:pStyle w:val="Compact"/>
              <w:jc w:val="right"/>
            </w:pPr>
            <w:r>
              <w:t xml:space="preserve">0.035750</w:t>
            </w:r>
          </w:p>
        </w:tc>
        <w:tc>
          <w:tcPr/>
          <w:p>
            <w:pPr>
              <w:pStyle w:val="Compact"/>
              <w:jc w:val="right"/>
            </w:pPr>
            <w:r>
              <w:t xml:space="preserve">1.6993</w:t>
            </w:r>
          </w:p>
        </w:tc>
      </w:tr>
      <w:tr>
        <w:tc>
          <w:tcPr/>
          <w:p>
            <w:pPr>
              <w:pStyle w:val="Compact"/>
            </w:pPr>
            <w:r>
              <w:t xml:space="preserve">60–69</w:t>
            </w:r>
          </w:p>
        </w:tc>
        <w:tc>
          <w:tcPr/>
          <w:p>
            <w:pPr>
              <w:pStyle w:val="Compact"/>
              <w:jc w:val="right"/>
            </w:pPr>
            <w:r>
              <w:t xml:space="preserve">0.204957</w:t>
            </w:r>
          </w:p>
        </w:tc>
        <w:tc>
          <w:tcPr/>
          <w:p>
            <w:pPr>
              <w:pStyle w:val="Compact"/>
              <w:jc w:val="right"/>
            </w:pPr>
            <w:r>
              <w:t xml:space="preserve">0.083450</w:t>
            </w:r>
          </w:p>
        </w:tc>
        <w:tc>
          <w:tcPr/>
          <w:p>
            <w:pPr>
              <w:pStyle w:val="Compact"/>
              <w:jc w:val="right"/>
            </w:pPr>
            <w:r>
              <w:t xml:space="preserve">2.4561</w:t>
            </w:r>
          </w:p>
        </w:tc>
      </w:tr>
      <w:tr>
        <w:tc>
          <w:tcPr/>
          <w:p>
            <w:pPr>
              <w:pStyle w:val="Compact"/>
            </w:pPr>
            <w:r>
              <w:t xml:space="preserve">70+</w:t>
            </w:r>
          </w:p>
        </w:tc>
        <w:tc>
          <w:tcPr/>
          <w:p>
            <w:pPr>
              <w:pStyle w:val="Compact"/>
              <w:jc w:val="right"/>
            </w:pPr>
            <w:r>
              <w:t xml:space="preserve">1.347411</w:t>
            </w:r>
          </w:p>
        </w:tc>
        <w:tc>
          <w:tcPr/>
          <w:p>
            <w:pPr>
              <w:pStyle w:val="Compact"/>
              <w:jc w:val="right"/>
            </w:pPr>
            <w:r>
              <w:t xml:space="preserve">0.869921</w:t>
            </w:r>
          </w:p>
        </w:tc>
        <w:tc>
          <w:tcPr/>
          <w:p>
            <w:pPr>
              <w:pStyle w:val="Compact"/>
              <w:jc w:val="right"/>
            </w:pPr>
            <w:r>
              <w:t xml:space="preserve">1.5489</w:t>
            </w:r>
          </w:p>
        </w:tc>
      </w:tr>
    </w:tbl>
    <w:p>
      <w:pPr>
        <w:pStyle w:val="BodyText"/>
      </w:pPr>
      <w:r>
        <w:t xml:space="preserve">Table 3. Ratio of observed cumulative mortality hazards for unvaccinated (Dose 0) versus fully vaccinated (Dose 2) Czech cohorts enrolled in 2021_24. {#tbl:raw_cumulative_outcomes}</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Start w:id="84" w:name="X9ac3801cf2efec47c3f62c9e1f18b5d55fb3142"/>
    <w:p>
      <w:pPr>
        <w:pStyle w:val="Heading4"/>
      </w:pPr>
      <w:r>
        <w:t xml:space="preserve">3.0.1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used in Tables 2 and 3 exemplify this regime: voluntary uptake led to asymmetric selection at enrollment, with vaccinated cohorts exhibiting minimal frailty heterogeneity (near-zero</w:t>
      </w:r>
      <w:r>
        <w:t xml:space="preserve"> </w:t>
      </w:r>
      <m:oMath>
        <m:acc>
          <m:accPr>
            <m:chr m:val="̂"/>
          </m:accPr>
          <m:e>
            <m:r>
              <m:t>θ</m:t>
            </m:r>
          </m:e>
        </m:acc>
      </m:oMath>
      <w:r>
        <w:t xml:space="preserve">) while unvaccinated cohorts retained substantial heterogeneity (</w:t>
      </w:r>
      <m:oMath>
        <m:acc>
          <m:accPr>
            <m:chr m:val="̂"/>
          </m:accPr>
          <m:e>
            <m:r>
              <m:t>θ</m:t>
            </m:r>
          </m:e>
        </m:acc>
        <m:r>
          <m:rPr>
            <m:sty m:val="p"/>
          </m:rPr>
          <m:t>&gt;</m:t>
        </m:r>
        <m:r>
          <m:t>0</m:t>
        </m:r>
      </m:oMath>
      <w:r>
        <w:t xml:space="preserve">).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84"/>
    <w:bookmarkStart w:id="85"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85"/>
    <w:bookmarkStart w:id="102" w:name="X250d2743dd947cd04209f9dc9cf02b545517230"/>
    <w:p>
      <w:pPr>
        <w:pStyle w:val="Heading3"/>
      </w:pPr>
      <w:r>
        <w:t xml:space="preserve">3.1 Negative controls: null under selection-induced curvature</w:t>
      </w:r>
    </w:p>
    <w:bookmarkStart w:id="91"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6"/>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6"/>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6"/>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90"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7"/>
        </w:numPr>
      </w:pPr>
      <w:r>
        <w:t xml:space="preserve">Time unit: weeks.</w:t>
      </w:r>
    </w:p>
    <w:p>
      <w:pPr>
        <w:pStyle w:val="Compact"/>
        <w:numPr>
          <w:ilvl w:val="0"/>
          <w:numId w:val="1017"/>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7"/>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7"/>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fig. 5 shows this construction.</w:t>
      </w:r>
    </w:p>
    <w:bookmarkStart w:id="89" w:name="fig:neg_control_synthetic"/>
    <w:p>
      <w:pPr>
        <w:pStyle w:val="CaptionedFigure"/>
      </w:pPr>
      <w:r>
        <w:drawing>
          <wp:inline>
            <wp:extent cx="5334000" cy="3852333"/>
            <wp:effectExtent b="0" l="0" r="0" t="0"/>
            <wp:docPr descr="Figure 5: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87" name="Picture"/>
            <a:graphic>
              <a:graphicData uri="http://schemas.openxmlformats.org/drawingml/2006/picture">
                <pic:pic>
                  <pic:nvPicPr>
                    <pic:cNvPr descr="figures/fig_neg_control_synthetic.png" id="88" name="Picture"/>
                    <pic:cNvPicPr>
                      <a:picLocks noChangeArrowheads="1" noChangeAspect="1"/>
                    </pic:cNvPicPr>
                  </pic:nvPicPr>
                  <pic:blipFill>
                    <a:blip r:embed="rId86"/>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89"/>
    <w:bookmarkEnd w:id="90"/>
    <w:bookmarkEnd w:id="91"/>
    <w:bookmarkStart w:id="101"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fig. 6 and fig.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5" w:name="fig:neg_control_10yr"/>
    <w:p>
      <w:pPr>
        <w:pStyle w:val="CaptionedFigure"/>
      </w:pPr>
      <w:r>
        <w:drawing>
          <wp:inline>
            <wp:extent cx="5334000" cy="2773680"/>
            <wp:effectExtent b="0" l="0" r="0" t="0"/>
            <wp:docPr descr="Figure 6: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93" name="Picture"/>
            <a:graphic>
              <a:graphicData uri="http://schemas.openxmlformats.org/drawingml/2006/picture">
                <pic:pic>
                  <pic:nvPicPr>
                    <pic:cNvPr descr="figures/fig2_neg_control_10yr_age_diff.png" id="94" name="Picture"/>
                    <pic:cNvPicPr>
                      <a:picLocks noChangeArrowheads="1" noChangeAspect="1"/>
                    </pic:cNvPicPr>
                  </pic:nvPicPr>
                  <pic:blipFill>
                    <a:blip r:embed="rId92"/>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6: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95"/>
    <w:bookmarkStart w:id="99" w:name="fig:neg_control_20yr"/>
    <w:p>
      <w:pPr>
        <w:pStyle w:val="CaptionedFigure"/>
      </w:pPr>
      <w:r>
        <w:drawing>
          <wp:inline>
            <wp:extent cx="5334000" cy="2810466"/>
            <wp:effectExtent b="0" l="0" r="0" t="0"/>
            <wp:docPr descr="Figure 7: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97" name="Picture"/>
            <a:graphic>
              <a:graphicData uri="http://schemas.openxmlformats.org/drawingml/2006/picture">
                <pic:pic>
                  <pic:nvPicPr>
                    <pic:cNvPr descr="figures/fig3_neg_control_20yr_age_diff.png" id="98" name="Picture"/>
                    <pic:cNvPicPr>
                      <a:picLocks noChangeArrowheads="1" noChangeAspect="1"/>
                    </pic:cNvPicPr>
                  </pic:nvPicPr>
                  <pic:blipFill>
                    <a:blip r:embed="rId96"/>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7: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99"/>
    <w:p>
      <w:pPr>
        <w:pStyle w:val="BodyText"/>
      </w:pPr>
      <w:r>
        <w:t xml:space="preserve">Table tbl. 6 provides numeric summaries.</w:t>
      </w:r>
    </w:p>
    <w:bookmarkStart w:id="100" w:name="tbl:neg_control_summary"/>
    <w:p>
      <w:pPr>
        <w:pStyle w:val="TableCaption"/>
      </w:pPr>
      <w:r>
        <w:t xml:space="preserve">Table 6: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6: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0"/>
    <w:bookmarkEnd w:id="101"/>
    <w:bookmarkEnd w:id="102"/>
    <w:bookmarkStart w:id="109"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103"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103"/>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fig. 8 and Table tbl. 7 confirm this behavior.</w:t>
      </w:r>
    </w:p>
    <w:bookmarkStart w:id="107" w:name="fig:pos_control_injected"/>
    <w:p>
      <w:pPr>
        <w:pStyle w:val="CaptionedFigure"/>
      </w:pPr>
      <w:r>
        <w:drawing>
          <wp:inline>
            <wp:extent cx="5334000" cy="4253184"/>
            <wp:effectExtent b="0" l="0" r="0" t="0"/>
            <wp:docPr descr="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105" name="Picture"/>
            <a:graphic>
              <a:graphicData uri="http://schemas.openxmlformats.org/drawingml/2006/picture">
                <pic:pic>
                  <pic:nvPicPr>
                    <pic:cNvPr descr="figures/fig_pos_control_injected.png" id="106" name="Picture"/>
                    <pic:cNvPicPr>
                      <a:picLocks noChangeArrowheads="1" noChangeAspect="1"/>
                    </pic:cNvPicPr>
                  </pic:nvPicPr>
                  <pic:blipFill>
                    <a:blip r:embed="rId104"/>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107"/>
    <w:bookmarkStart w:id="108" w:name="tbl:pos_control_summary"/>
    <w:p>
      <w:pPr>
        <w:pStyle w:val="TableCaption"/>
      </w:pPr>
      <w:r>
        <w:t xml:space="preserve">Table 7: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7: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08"/>
    <w:bookmarkEnd w:id="109"/>
    <w:bookmarkStart w:id="114"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8"/>
        </w:numPr>
      </w:pPr>
      <w:r>
        <w:t xml:space="preserve">Quiet-window selection (calendar ISO-week bounds)</w:t>
      </w:r>
    </w:p>
    <w:p>
      <w:pPr>
        <w:pStyle w:val="Compact"/>
        <w:numPr>
          <w:ilvl w:val="0"/>
          <w:numId w:val="1018"/>
        </w:numPr>
      </w:pPr>
      <w:r>
        <w:t xml:space="preserve">Stabilization skip (early-bin handling)</w:t>
      </w:r>
    </w:p>
    <w:p>
      <w:pPr>
        <w:pStyle w:val="Compact"/>
        <w:numPr>
          <w:ilvl w:val="0"/>
          <w:numId w:val="1018"/>
        </w:numPr>
      </w:pPr>
      <w:r>
        <w:t xml:space="preserve">Time-binning resolution</w:t>
      </w:r>
    </w:p>
    <w:p>
      <w:pPr>
        <w:pStyle w:val="Compact"/>
        <w:numPr>
          <w:ilvl w:val="0"/>
          <w:numId w:val="1018"/>
        </w:numPr>
      </w:pPr>
      <w:r>
        <w:t xml:space="preserve">Age stratification and/or stratified analyses where appropriate</w:t>
      </w:r>
    </w:p>
    <w:p>
      <w:pPr>
        <w:pStyle w:val="Compact"/>
        <w:numPr>
          <w:ilvl w:val="0"/>
          <w:numId w:val="1018"/>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fig. 9 summarizes KCOR stability across the parameter grid.</w:t>
      </w:r>
    </w:p>
    <w:bookmarkStart w:id="113" w:name="fig:sensitivity_overview"/>
    <w:p>
      <w:pPr>
        <w:pStyle w:val="CaptionedFigure"/>
      </w:pPr>
      <w:r>
        <w:drawing>
          <wp:inline>
            <wp:extent cx="5334000" cy="1571483"/>
            <wp:effectExtent b="0" l="0" r="0" t="0"/>
            <wp:docPr descr="Figure 9: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111" name="Picture"/>
            <a:graphic>
              <a:graphicData uri="http://schemas.openxmlformats.org/drawingml/2006/picture">
                <pic:pic>
                  <pic:nvPicPr>
                    <pic:cNvPr descr="figures/fig_sensitivity_overview.png" id="112" name="Picture"/>
                    <pic:cNvPicPr>
                      <a:picLocks noChangeArrowheads="1" noChangeAspect="1"/>
                    </pic:cNvPicPr>
                  </pic:nvPicPr>
                  <pic:blipFill>
                    <a:blip r:embed="rId110"/>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9: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113"/>
    <w:p>
      <w:pPr>
        <w:pStyle w:val="BodyText"/>
      </w:pPr>
      <w:r>
        <w:t xml:space="preserve">Across all tested parameter ranges, KCOR values remained within approximately ±5% of unity, indicating stability under reasonable variations in fitting choices.</w:t>
      </w:r>
    </w:p>
    <w:bookmarkEnd w:id="114"/>
    <w:bookmarkStart w:id="131"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fig. 10 and fig. 11 below.</w:t>
      </w:r>
    </w:p>
    <w:p>
      <w:pPr>
        <w:pStyle w:val="BodyText"/>
      </w:pPr>
      <w:r>
        <w:rPr>
          <w:b/>
          <w:bCs/>
        </w:rPr>
        <w:t xml:space="preserve">Joint frailty and treatment-effect simulation (S7).</w:t>
      </w:r>
      <w:r>
        <w:br/>
      </w:r>
      <w:r>
        <w:t xml:space="preserve">Figure fig. 12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 trajectories no longer stabilize during the nominal quiet period, and fit diagnostics degrade (Figure fig. 13), including increased cumulative-hazard fit error and reduced post-normalization linearity. In these cases, KCOR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18" w:name="fig:sim_grid_overview"/>
    <w:p>
      <w:pPr>
        <w:pStyle w:val="CaptionedFigure"/>
      </w:pPr>
      <w:r>
        <w:drawing>
          <wp:inline>
            <wp:extent cx="5334000" cy="4246345"/>
            <wp:effectExtent b="0" l="0" r="0" t="0"/>
            <wp:docPr descr="Figure 10: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116" name="Picture"/>
            <a:graphic>
              <a:graphicData uri="http://schemas.openxmlformats.org/drawingml/2006/picture">
                <pic:pic>
                  <pic:nvPicPr>
                    <pic:cNvPr descr="figures/fig_sim_grid_overview.png" id="117" name="Picture"/>
                    <pic:cNvPicPr>
                      <a:picLocks noChangeArrowheads="1" noChangeAspect="1"/>
                    </pic:cNvPicPr>
                  </pic:nvPicPr>
                  <pic:blipFill>
                    <a:blip r:embed="rId115"/>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10: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118"/>
    <w:bookmarkStart w:id="122" w:name="fig:sim_grid_diagnostics"/>
    <w:p>
      <w:pPr>
        <w:pStyle w:val="CaptionedFigure"/>
      </w:pPr>
      <w:r>
        <w:drawing>
          <wp:inline>
            <wp:extent cx="5334000" cy="2491716"/>
            <wp:effectExtent b="0" l="0" r="0" t="0"/>
            <wp:docPr descr="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20" name="Picture"/>
            <a:graphic>
              <a:graphicData uri="http://schemas.openxmlformats.org/drawingml/2006/picture">
                <pic:pic>
                  <pic:nvPicPr>
                    <pic:cNvPr descr="figures/fig_sim_grid_diagnostics.png" id="121" name="Picture"/>
                    <pic:cNvPicPr>
                      <a:picLocks noChangeArrowheads="1" noChangeAspect="1"/>
                    </pic:cNvPicPr>
                  </pic:nvPicPr>
                  <pic:blipFill>
                    <a:blip r:embed="rId119"/>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22"/>
    <w:bookmarkStart w:id="126" w:name="fig:s7_overview"/>
    <w:p>
      <w:pPr>
        <w:pStyle w:val="CaptionedFigure"/>
      </w:pPr>
      <w:r>
        <w:drawing>
          <wp:inline>
            <wp:extent cx="5334000" cy="1389920"/>
            <wp:effectExtent b="0" l="0" r="0" t="0"/>
            <wp:docPr descr="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24" name="Picture"/>
            <a:graphic>
              <a:graphicData uri="http://schemas.openxmlformats.org/drawingml/2006/picture">
                <pic:pic>
                  <pic:nvPicPr>
                    <pic:cNvPr descr="figures/fig_s7_overview.png" id="125" name="Picture"/>
                    <pic:cNvPicPr>
                      <a:picLocks noChangeArrowheads="1" noChangeAspect="1"/>
                    </pic:cNvPicPr>
                  </pic:nvPicPr>
                  <pic:blipFill>
                    <a:blip r:embed="rId123"/>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26"/>
    <w:bookmarkStart w:id="130" w:name="fig:s7_diagnostics"/>
    <w:p>
      <w:pPr>
        <w:pStyle w:val="CaptionedFigure"/>
      </w:pPr>
      <w:r>
        <w:drawing>
          <wp:inline>
            <wp:extent cx="5334000" cy="4432289"/>
            <wp:effectExtent b="0" l="0" r="0" t="0"/>
            <wp:docPr descr="Figure 13: S7 simulation diagnostics: Fitted frailty variance parameters (\theta_0, \theta_1), fit quality (RMSE), and convergence status across S7 scenarios. The overlap variant shows degraded fit quality, correctly signaling violation of temporal separability assumptions." title="" id="128" name="Picture"/>
            <a:graphic>
              <a:graphicData uri="http://schemas.openxmlformats.org/drawingml/2006/picture">
                <pic:pic>
                  <pic:nvPicPr>
                    <pic:cNvPr descr="figures/fig_s7_diagnostics.png" id="129" name="Picture"/>
                    <pic:cNvPicPr>
                      <a:picLocks noChangeArrowheads="1" noChangeAspect="1"/>
                    </pic:cNvPicPr>
                  </pic:nvPicPr>
                  <pic:blipFill>
                    <a:blip r:embed="rId127"/>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Figure 13: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30"/>
    <w:bookmarkEnd w:id="131"/>
    <w:bookmarkStart w:id="132"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bookmarkEnd w:id="132"/>
    <w:bookmarkStart w:id="133"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bookmarkEnd w:id="133"/>
    <w:bookmarkEnd w:id="134"/>
    <w:bookmarkStart w:id="139"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5"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 Whereas Cox regression infers treatment effects through fitted model coefficients, KCOR uses modeling only to normalize selection effects, allowing causal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19"/>
        </w:numPr>
      </w:pPr>
      <w:r>
        <w:t xml:space="preserve">selection-induced depletion dynamics can be estimated during quiet periods using a gamma-frailty mixture model, and</w:t>
      </w:r>
    </w:p>
    <w:p>
      <w:pPr>
        <w:pStyle w:val="Compact"/>
        <w:numPr>
          <w:ilvl w:val="0"/>
          <w:numId w:val="1019"/>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35"/>
    <w:bookmarkStart w:id="136"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6"/>
    <w:bookmarkStart w:id="137"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0"/>
        </w:numPr>
      </w:pPr>
      <w:r>
        <w:t xml:space="preserve">Enrollment definition and justification</w:t>
      </w:r>
    </w:p>
    <w:p>
      <w:pPr>
        <w:pStyle w:val="Compact"/>
        <w:numPr>
          <w:ilvl w:val="0"/>
          <w:numId w:val="1020"/>
        </w:numPr>
      </w:pPr>
      <w:r>
        <w:t xml:space="preserve">Risk set definitions and event-time binning</w:t>
      </w:r>
    </w:p>
    <w:p>
      <w:pPr>
        <w:pStyle w:val="Compact"/>
        <w:numPr>
          <w:ilvl w:val="0"/>
          <w:numId w:val="1020"/>
        </w:numPr>
      </w:pPr>
      <w:r>
        <w:t xml:space="preserve">Quiet-window definition and justification</w:t>
      </w:r>
    </w:p>
    <w:p>
      <w:pPr>
        <w:pStyle w:val="Compact"/>
        <w:numPr>
          <w:ilvl w:val="0"/>
          <w:numId w:val="1020"/>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20"/>
        </w:numPr>
      </w:pPr>
      <w:r>
        <w:t xml:space="preserve">Skip/stabilization rule and robustness to nearby values</w:t>
      </w:r>
    </w:p>
    <w:p>
      <w:pPr>
        <w:pStyle w:val="Compact"/>
        <w:numPr>
          <w:ilvl w:val="0"/>
          <w:numId w:val="1020"/>
        </w:numPr>
      </w:pPr>
      <w:r>
        <w:t xml:space="preserve">Predefined negative/positive controls used for validation</w:t>
      </w:r>
    </w:p>
    <w:p>
      <w:pPr>
        <w:pStyle w:val="Compact"/>
        <w:numPr>
          <w:ilvl w:val="0"/>
          <w:numId w:val="1020"/>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37"/>
    <w:bookmarkStart w:id="138"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38"/>
    <w:bookmarkEnd w:id="139"/>
    <w:bookmarkStart w:id="143" w:name="limitations"/>
    <w:p>
      <w:pPr>
        <w:pStyle w:val="Heading2"/>
      </w:pPr>
      <w:r>
        <w:t xml:space="preserve">5. Limitations</w:t>
      </w:r>
    </w:p>
    <w:p>
      <w:pPr>
        <w:pStyle w:val="Compact"/>
        <w:numPr>
          <w:ilvl w:val="0"/>
          <w:numId w:val="1021"/>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1"/>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21"/>
        </w:numPr>
      </w:pPr>
      <w:r>
        <w:rPr>
          <w:b/>
          <w:bCs/>
        </w:rPr>
        <w:t xml:space="preserve">Sparse events</w:t>
      </w:r>
      <w:r>
        <w:t xml:space="preserve">: When event counts are small, hazard estimation and parameter fitting can be unstable.</w:t>
      </w:r>
    </w:p>
    <w:p>
      <w:pPr>
        <w:pStyle w:val="Compact"/>
        <w:numPr>
          <w:ilvl w:val="0"/>
          <w:numId w:val="1021"/>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1"/>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1"/>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w:t>
      </w:r>
      <w:r>
        <w:t xml:space="preserve"> </w:t>
      </w:r>
      <m:oMath>
        <m:acc>
          <m:accPr>
            <m:chr m:val="̂"/>
          </m:accPr>
          <m:e>
            <m:r>
              <m:t>θ</m:t>
            </m:r>
          </m:e>
        </m:acc>
      </m:oMath>
      <w:r>
        <w:t xml:space="preserve"> </w:t>
      </w:r>
      <w:r>
        <w:t xml:space="preserve">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0"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2"/>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2"/>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2"/>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2"/>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3"/>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3"/>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3"/>
        </w:numPr>
      </w:pPr>
      <w:r>
        <w:rPr>
          <w:b/>
          <w:bCs/>
        </w:rPr>
        <w:t xml:space="preserve">Sensitivity analyses</w:t>
      </w:r>
      <w:r>
        <w:t xml:space="preserve"> </w:t>
      </w:r>
      <w:r>
        <w:t xml:space="preserve">over plausible quiet windows and skip-weeks values.</w:t>
      </w:r>
    </w:p>
    <w:p>
      <w:pPr>
        <w:pStyle w:val="Compact"/>
        <w:numPr>
          <w:ilvl w:val="0"/>
          <w:numId w:val="1023"/>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0"/>
    <w:bookmarkStart w:id="141"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 trajectories tend to attenuate toward unity rather than diverge, reflecting loss of identifiability rather than false detection. This behavior is illustrated in the S7 overlap variant, where treatment and selection are deliberately confounded in time: KCOR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1"/>
    <w:bookmarkStart w:id="142"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2"/>
    <w:bookmarkEnd w:id="143"/>
    <w:bookmarkStart w:id="144"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44"/>
    <w:bookmarkStart w:id="155" w:name="declarations"/>
    <w:p>
      <w:pPr>
        <w:pStyle w:val="Heading2"/>
      </w:pPr>
      <w:r>
        <w:t xml:space="preserve">Declarations</w:t>
      </w:r>
    </w:p>
    <w:bookmarkStart w:id="145"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fig. 6 and fig. 7) use aggregated cohort summaries derived from Czech Republic administrative data; no record-level data are shared in this manuscript.</w:t>
      </w:r>
      <w:r>
        <w:rPr>
          <w:vertAlign w:val="superscript"/>
        </w:rPr>
        <w:t xml:space="preserve">4</w:t>
      </w:r>
    </w:p>
    <w:bookmarkEnd w:id="145"/>
    <w:bookmarkStart w:id="146" w:name="consent-for-publication"/>
    <w:p>
      <w:pPr>
        <w:pStyle w:val="Heading3"/>
      </w:pPr>
      <w:r>
        <w:t xml:space="preserve">Consent for publication</w:t>
      </w:r>
    </w:p>
    <w:p>
      <w:pPr>
        <w:pStyle w:val="FirstParagraph"/>
      </w:pPr>
      <w:r>
        <w:t xml:space="preserve">Not applicable.</w:t>
      </w:r>
    </w:p>
    <w:bookmarkEnd w:id="146"/>
    <w:bookmarkStart w:id="147" w:name="data-availability"/>
    <w:p>
      <w:pPr>
        <w:pStyle w:val="Heading3"/>
      </w:pPr>
      <w:r>
        <w:t xml:space="preserve">Data availability</w:t>
      </w:r>
    </w:p>
    <w:p>
      <w:pPr>
        <w:pStyle w:val="Compact"/>
        <w:numPr>
          <w:ilvl w:val="0"/>
          <w:numId w:val="1024"/>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4"/>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4"/>
        </w:numPr>
      </w:pPr>
      <w:r>
        <w:t xml:space="preserve">The reference implementation includes example datasets in KCOR_CMR format for reproducibility.</w:t>
      </w:r>
    </w:p>
    <w:p>
      <w:pPr>
        <w:pStyle w:val="Compact"/>
        <w:numPr>
          <w:ilvl w:val="0"/>
          <w:numId w:val="1024"/>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47"/>
    <w:bookmarkStart w:id="150" w:name="code-availability"/>
    <w:p>
      <w:pPr>
        <w:pStyle w:val="Heading3"/>
      </w:pPr>
      <w:r>
        <w:t xml:space="preserve">Code availability</w:t>
      </w:r>
    </w:p>
    <w:p>
      <w:pPr>
        <w:pStyle w:val="Compact"/>
        <w:numPr>
          <w:ilvl w:val="0"/>
          <w:numId w:val="1025"/>
        </w:numPr>
      </w:pPr>
      <w:r>
        <w:t xml:space="preserve">The KCOR v6 reference implementation and complete validation suite are available in the project repository.</w:t>
      </w:r>
    </w:p>
    <w:p>
      <w:pPr>
        <w:pStyle w:val="Compact"/>
        <w:numPr>
          <w:ilvl w:val="0"/>
          <w:numId w:val="1025"/>
        </w:numPr>
      </w:pPr>
      <w:r>
        <w:t xml:space="preserve">Repository URL:</w:t>
      </w:r>
      <w:r>
        <w:t xml:space="preserve"> </w:t>
      </w:r>
      <w:hyperlink r:id="rId148">
        <w:r>
          <w:rPr>
            <w:rStyle w:val="Hyperlink"/>
          </w:rPr>
          <w:t xml:space="preserve">https://github.com/skirsch/KCOR</w:t>
        </w:r>
      </w:hyperlink>
    </w:p>
    <w:p>
      <w:pPr>
        <w:pStyle w:val="Compact"/>
        <w:numPr>
          <w:ilvl w:val="0"/>
          <w:numId w:val="1025"/>
        </w:numPr>
      </w:pPr>
      <w:r>
        <w:t xml:space="preserve">Zenodo DOI:</w:t>
      </w:r>
      <w:r>
        <w:t xml:space="preserve"> </w:t>
      </w:r>
      <w:hyperlink r:id="rId149">
        <w:r>
          <w:rPr>
            <w:rStyle w:val="Hyperlink"/>
          </w:rPr>
          <w:t xml:space="preserve">10.5281/zenodo.18050329</w:t>
        </w:r>
      </w:hyperlink>
    </w:p>
    <w:bookmarkEnd w:id="150"/>
    <w:bookmarkStart w:id="151" w:name="competing-interests"/>
    <w:p>
      <w:pPr>
        <w:pStyle w:val="Heading3"/>
      </w:pPr>
      <w:r>
        <w:t xml:space="preserve">Competing interests</w:t>
      </w:r>
    </w:p>
    <w:p>
      <w:pPr>
        <w:pStyle w:val="FirstParagraph"/>
      </w:pPr>
      <w:r>
        <w:t xml:space="preserve">The author is a board member of the Vaccine Safety Research Foundation.</w:t>
      </w:r>
    </w:p>
    <w:bookmarkEnd w:id="151"/>
    <w:bookmarkStart w:id="152" w:name="funding"/>
    <w:p>
      <w:pPr>
        <w:pStyle w:val="Heading3"/>
      </w:pPr>
      <w:r>
        <w:t xml:space="preserve">Funding</w:t>
      </w:r>
    </w:p>
    <w:p>
      <w:pPr>
        <w:pStyle w:val="FirstParagraph"/>
      </w:pPr>
      <w:r>
        <w:t xml:space="preserve">This research received no external funding.</w:t>
      </w:r>
    </w:p>
    <w:bookmarkEnd w:id="152"/>
    <w:bookmarkStart w:id="153"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3"/>
    <w:bookmarkStart w:id="154" w:name="acknowledgements"/>
    <w:p>
      <w:pPr>
        <w:pStyle w:val="Heading3"/>
      </w:pPr>
      <w:r>
        <w:t xml:space="preserve">Acknowledgements</w:t>
      </w:r>
    </w:p>
    <w:p>
      <w:pPr>
        <w:pStyle w:val="FirstParagraph"/>
      </w:pPr>
      <w:r>
        <w:t xml:space="preserve">The author thanks HART group chair Dr. Clare Craig for helpful discussions and methodological feedback during the development of this work. All errors remain the author’s responsibility.</w:t>
      </w:r>
    </w:p>
    <w:bookmarkEnd w:id="154"/>
    <w:bookmarkEnd w:id="155"/>
    <w:bookmarkStart w:id="164" w:name="references"/>
    <w:p>
      <w:pPr>
        <w:pStyle w:val="Heading2"/>
      </w:pPr>
      <w:r>
        <w:t xml:space="preserve">References</w:t>
      </w:r>
    </w:p>
    <w:bookmarkStart w:id="163" w:name="refs"/>
    <w:bookmarkStart w:id="157"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56">
        <w:r>
          <w:rPr>
            <w:rStyle w:val="Hyperlink"/>
          </w:rPr>
          <w:t xml:space="preserve">10.2307/2061224</w:t>
        </w:r>
      </w:hyperlink>
    </w:p>
    <w:bookmarkEnd w:id="157"/>
    <w:bookmarkStart w:id="159"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58">
        <w:r>
          <w:rPr>
            <w:rStyle w:val="Hyperlink"/>
          </w:rPr>
          <w:t xml:space="preserve">10.2147/CLEP.S468572</w:t>
        </w:r>
      </w:hyperlink>
    </w:p>
    <w:bookmarkEnd w:id="159"/>
    <w:bookmarkStart w:id="161"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0">
        <w:r>
          <w:rPr>
            <w:rStyle w:val="Hyperlink"/>
          </w:rPr>
          <w:t xml:space="preserve">10.7554/eLife.103690</w:t>
        </w:r>
      </w:hyperlink>
    </w:p>
    <w:bookmarkEnd w:id="161"/>
    <w:bookmarkStart w:id="162"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62"/>
    <w:bookmarkEnd w:id="163"/>
    <w:bookmarkEnd w:id="164"/>
    <w:bookmarkStart w:id="198"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70" w:name="appendix-a.-mathematical-derivations"/>
    <w:p>
      <w:pPr>
        <w:pStyle w:val="Heading3"/>
      </w:pPr>
      <w:r>
        <w:t xml:space="preserve">Appendix A. Mathematical derivations</w:t>
      </w:r>
    </w:p>
    <w:bookmarkStart w:id="165"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65"/>
    <w:bookmarkStart w:id="166"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 5 in the main text).</w:t>
      </w:r>
    </w:p>
    <w:bookmarkEnd w:id="166"/>
    <w:bookmarkStart w:id="167"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67"/>
    <w:bookmarkStart w:id="168"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r>
          <m:t>θ</m:t>
        </m:r>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68"/>
    <w:bookmarkStart w:id="169"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69"/>
    <w:bookmarkEnd w:id="170"/>
    <w:bookmarkStart w:id="183" w:name="appendix-b.-control-test-specifications"/>
    <w:p>
      <w:pPr>
        <w:pStyle w:val="Heading3"/>
      </w:pPr>
      <w:r>
        <w:t xml:space="preserve">Appendix B. Control-test specifications</w:t>
      </w:r>
    </w:p>
    <w:bookmarkStart w:id="171" w:name="X2180becb792c7366d1a2d9abe674c7e8eb8a3b6"/>
    <w:p>
      <w:pPr>
        <w:pStyle w:val="Heading4"/>
      </w:pPr>
      <w:r>
        <w:t xml:space="preserve">B.1 Negative control: synthetic gamma-frailty null</w:t>
      </w:r>
    </w:p>
    <w:p>
      <w:pPr>
        <w:pStyle w:val="FirstParagraph"/>
      </w:pPr>
      <w:r>
        <w:t xml:space="preserve">The synthetic negative control (Figure fig. 5) is generated using:</w:t>
      </w:r>
    </w:p>
    <w:p>
      <w:pPr>
        <w:pStyle w:val="Compact"/>
        <w:numPr>
          <w:ilvl w:val="0"/>
          <w:numId w:val="1026"/>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6"/>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6"/>
        </w:numPr>
      </w:pPr>
      <w:r>
        <w:rPr>
          <w:b/>
          <w:bCs/>
        </w:rPr>
        <w:t xml:space="preserve">Cohort A weights</w:t>
      </w:r>
      <w:r>
        <w:t xml:space="preserve">: Equal weights across 5 frailty groups (0.2 each)</w:t>
      </w:r>
    </w:p>
    <w:p>
      <w:pPr>
        <w:pStyle w:val="Compact"/>
        <w:numPr>
          <w:ilvl w:val="0"/>
          <w:numId w:val="1026"/>
        </w:numPr>
      </w:pPr>
      <w:r>
        <w:rPr>
          <w:b/>
          <w:bCs/>
        </w:rPr>
        <w:t xml:space="preserve">Cohort B weights</w:t>
      </w:r>
      <w:r>
        <w:t xml:space="preserve">: Shifted weights [0.30, 0.20, 0.20, 0.20, 0.10]</w:t>
      </w:r>
    </w:p>
    <w:p>
      <w:pPr>
        <w:pStyle w:val="Compact"/>
        <w:numPr>
          <w:ilvl w:val="0"/>
          <w:numId w:val="1026"/>
        </w:numPr>
      </w:pPr>
      <w:r>
        <w:rPr>
          <w:b/>
          <w:bCs/>
        </w:rPr>
        <w:t xml:space="preserve">Frailty values</w:t>
      </w:r>
      <w:r>
        <w:t xml:space="preserve">: [1, 2, 4, 6, 10] (relative frailty multipliers)</w:t>
      </w:r>
    </w:p>
    <w:p>
      <w:pPr>
        <w:pStyle w:val="Compact"/>
        <w:numPr>
          <w:ilvl w:val="0"/>
          <w:numId w:val="1026"/>
        </w:numPr>
      </w:pPr>
      <w:r>
        <w:rPr>
          <w:b/>
          <w:bCs/>
        </w:rPr>
        <w:t xml:space="preserve">Base weekly probability</w:t>
      </w:r>
      <w:r>
        <w:t xml:space="preserve">: 0.01</w:t>
      </w:r>
    </w:p>
    <w:p>
      <w:pPr>
        <w:pStyle w:val="Compact"/>
        <w:numPr>
          <w:ilvl w:val="0"/>
          <w:numId w:val="1026"/>
        </w:numPr>
      </w:pPr>
      <w:r>
        <w:rPr>
          <w:b/>
          <w:bCs/>
        </w:rPr>
        <w:t xml:space="preserve">Weekly log-slope</w:t>
      </w:r>
      <w:r>
        <w:t xml:space="preserve">: 0.0 (constant baseline during quiet periods)</w:t>
      </w:r>
    </w:p>
    <w:p>
      <w:pPr>
        <w:pStyle w:val="Compact"/>
        <w:numPr>
          <w:ilvl w:val="0"/>
          <w:numId w:val="1026"/>
        </w:numPr>
      </w:pPr>
      <w:r>
        <w:rPr>
          <w:b/>
          <w:bCs/>
        </w:rPr>
        <w:t xml:space="preserve">Skip weeks</w:t>
      </w:r>
      <w:r>
        <w:t xml:space="preserve">: 2</w:t>
      </w:r>
    </w:p>
    <w:p>
      <w:pPr>
        <w:pStyle w:val="Compact"/>
        <w:numPr>
          <w:ilvl w:val="0"/>
          <w:numId w:val="1026"/>
        </w:numPr>
      </w:pPr>
      <w:r>
        <w:rPr>
          <w:b/>
          <w:bCs/>
        </w:rPr>
        <w:t xml:space="preserve">Normalization weeks</w:t>
      </w:r>
      <w:r>
        <w:t xml:space="preserve">: 4</w:t>
      </w:r>
    </w:p>
    <w:p>
      <w:pPr>
        <w:pStyle w:val="Compact"/>
        <w:numPr>
          <w:ilvl w:val="0"/>
          <w:numId w:val="1026"/>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71"/>
    <w:bookmarkStart w:id="172" w:name="X6ca5a97e85e9ee460a15280db933ceb5c1ed112"/>
    <w:p>
      <w:pPr>
        <w:pStyle w:val="Heading4"/>
      </w:pPr>
      <w:r>
        <w:t xml:space="preserve">B.2 Negative control: empirical age-shift construction</w:t>
      </w:r>
    </w:p>
    <w:p>
      <w:pPr>
        <w:pStyle w:val="FirstParagraph"/>
      </w:pPr>
      <w:r>
        <w:t xml:space="preserve">The empirical negative control (Figures fig. 6 and fig. 7) is generated using:</w:t>
      </w:r>
    </w:p>
    <w:p>
      <w:pPr>
        <w:pStyle w:val="Compact"/>
        <w:numPr>
          <w:ilvl w:val="0"/>
          <w:numId w:val="1027"/>
        </w:numPr>
      </w:pPr>
      <w:r>
        <w:rPr>
          <w:b/>
          <w:bCs/>
        </w:rPr>
        <w:t xml:space="preserve">Data source</w:t>
      </w:r>
      <w:r>
        <w:t xml:space="preserve">: Czech Republic administrative mortality and vaccination data, aggregated into KCOR_CMR format</w:t>
      </w:r>
    </w:p>
    <w:p>
      <w:pPr>
        <w:pStyle w:val="Compact"/>
        <w:numPr>
          <w:ilvl w:val="0"/>
          <w:numId w:val="1027"/>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7"/>
        </w:numPr>
      </w:pPr>
      <w:r>
        <w:rPr>
          <w:b/>
          <w:bCs/>
        </w:rPr>
        <w:t xml:space="preserve">Construction</w:t>
      </w:r>
      <w:r>
        <w:t xml:space="preserve">: Age strata remapped to pseudo-doses within same vaccination category</w:t>
      </w:r>
    </w:p>
    <w:p>
      <w:pPr>
        <w:pStyle w:val="Compact"/>
        <w:numPr>
          <w:ilvl w:val="0"/>
          <w:numId w:val="1027"/>
        </w:numPr>
      </w:pPr>
      <w:r>
        <w:rPr>
          <w:b/>
          <w:bCs/>
        </w:rPr>
        <w:t xml:space="preserve">Age mapping</w:t>
      </w:r>
      <w:r>
        <w:t xml:space="preserve">:</w:t>
      </w:r>
    </w:p>
    <w:p>
      <w:pPr>
        <w:pStyle w:val="Compact"/>
        <w:numPr>
          <w:ilvl w:val="1"/>
          <w:numId w:val="1028"/>
        </w:numPr>
      </w:pPr>
      <w:r>
        <w:t xml:space="preserve">Dose 0 → YoB {1930, 1935}</w:t>
      </w:r>
    </w:p>
    <w:p>
      <w:pPr>
        <w:pStyle w:val="Compact"/>
        <w:numPr>
          <w:ilvl w:val="1"/>
          <w:numId w:val="1028"/>
        </w:numPr>
      </w:pPr>
      <w:r>
        <w:t xml:space="preserve">Dose 1 → YoB {1940, 1945}</w:t>
      </w:r>
    </w:p>
    <w:p>
      <w:pPr>
        <w:pStyle w:val="Compact"/>
        <w:numPr>
          <w:ilvl w:val="1"/>
          <w:numId w:val="1028"/>
        </w:numPr>
      </w:pPr>
      <w:r>
        <w:t xml:space="preserve">Dose 2 → YoB {1950, 1955}</w:t>
      </w:r>
    </w:p>
    <w:p>
      <w:pPr>
        <w:pStyle w:val="Compact"/>
        <w:numPr>
          <w:ilvl w:val="0"/>
          <w:numId w:val="1027"/>
        </w:numPr>
      </w:pPr>
      <w:r>
        <w:rPr>
          <w:b/>
          <w:bCs/>
        </w:rPr>
        <w:t xml:space="preserve">Output YoB</w:t>
      </w:r>
      <w:r>
        <w:t xml:space="preserve">: Fixed at 1950 (unvax cohort) or 1940 (vax cohort)</w:t>
      </w:r>
    </w:p>
    <w:p>
      <w:pPr>
        <w:pStyle w:val="Compact"/>
        <w:numPr>
          <w:ilvl w:val="0"/>
          <w:numId w:val="1027"/>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72"/>
    <w:bookmarkStart w:id="173" w:name="b.3-positive-control-injected-effect"/>
    <w:p>
      <w:pPr>
        <w:pStyle w:val="Heading4"/>
      </w:pPr>
      <w:r>
        <w:t xml:space="preserve">B.3 Positive control: injected effect</w:t>
      </w:r>
    </w:p>
    <w:p>
      <w:pPr>
        <w:pStyle w:val="FirstParagraph"/>
      </w:pPr>
      <w:r>
        <w:t xml:space="preserve">The positive control (Figure fig. 8 and Table tbl. 7) is generated using:</w:t>
      </w:r>
    </w:p>
    <w:p>
      <w:pPr>
        <w:pStyle w:val="Compact"/>
        <w:numPr>
          <w:ilvl w:val="0"/>
          <w:numId w:val="1029"/>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9"/>
        </w:numPr>
      </w:pPr>
      <w:r>
        <w:rPr>
          <w:b/>
          <w:bCs/>
        </w:rPr>
        <w:t xml:space="preserve">Initial cohort size</w:t>
      </w:r>
      <w:r>
        <w:t xml:space="preserve">: 100,000 per cohort</w:t>
      </w:r>
    </w:p>
    <w:p>
      <w:pPr>
        <w:pStyle w:val="Compact"/>
        <w:numPr>
          <w:ilvl w:val="0"/>
          <w:numId w:val="1029"/>
        </w:numPr>
      </w:pPr>
      <w:r>
        <w:rPr>
          <w:b/>
          <w:bCs/>
        </w:rPr>
        <w:t xml:space="preserve">Baseline hazard</w:t>
      </w:r>
      <w:r>
        <w:t xml:space="preserve">: 0.002 per week</w:t>
      </w:r>
    </w:p>
    <w:p>
      <w:pPr>
        <w:pStyle w:val="Compact"/>
        <w:numPr>
          <w:ilvl w:val="0"/>
          <w:numId w:val="1029"/>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9"/>
        </w:numPr>
      </w:pPr>
      <w:r>
        <w:rPr>
          <w:b/>
          <w:bCs/>
        </w:rPr>
        <w:t xml:space="preserve">Effect window</w:t>
      </w:r>
      <w:r>
        <w:t xml:space="preserve">: weeks 20–80</w:t>
      </w:r>
    </w:p>
    <w:p>
      <w:pPr>
        <w:pStyle w:val="Compact"/>
        <w:numPr>
          <w:ilvl w:val="0"/>
          <w:numId w:val="1029"/>
        </w:numPr>
      </w:pPr>
      <w:r>
        <w:rPr>
          <w:b/>
          <w:bCs/>
        </w:rPr>
        <w:t xml:space="preserve">Hazard multipliers</w:t>
      </w:r>
      <w:r>
        <w:t xml:space="preserve">:</w:t>
      </w:r>
    </w:p>
    <w:p>
      <w:pPr>
        <w:pStyle w:val="Compact"/>
        <w:numPr>
          <w:ilvl w:val="1"/>
          <w:numId w:val="1030"/>
        </w:numPr>
      </w:pPr>
      <w:r>
        <w:t xml:space="preserve">Harm scenario:</w:t>
      </w:r>
      <w:r>
        <w:t xml:space="preserve"> </w:t>
      </w:r>
      <m:oMath>
        <m:r>
          <m:t>r</m:t>
        </m:r>
        <m:r>
          <m:rPr>
            <m:sty m:val="p"/>
          </m:rPr>
          <m:t>=</m:t>
        </m:r>
        <m:r>
          <m:t>1.2</m:t>
        </m:r>
      </m:oMath>
    </w:p>
    <w:p>
      <w:pPr>
        <w:pStyle w:val="Compact"/>
        <w:numPr>
          <w:ilvl w:val="1"/>
          <w:numId w:val="1030"/>
        </w:numPr>
      </w:pPr>
      <w:r>
        <w:t xml:space="preserve">Benefit scenario:</w:t>
      </w:r>
      <w:r>
        <w:t xml:space="preserve"> </w:t>
      </w:r>
      <m:oMath>
        <m:r>
          <m:t>r</m:t>
        </m:r>
        <m:r>
          <m:rPr>
            <m:sty m:val="p"/>
          </m:rPr>
          <m:t>=</m:t>
        </m:r>
        <m:r>
          <m:t>0.8</m:t>
        </m:r>
      </m:oMath>
    </w:p>
    <w:p>
      <w:pPr>
        <w:pStyle w:val="Compact"/>
        <w:numPr>
          <w:ilvl w:val="0"/>
          <w:numId w:val="1029"/>
        </w:numPr>
      </w:pPr>
      <w:r>
        <w:rPr>
          <w:b/>
          <w:bCs/>
        </w:rPr>
        <w:t xml:space="preserve">Random seed</w:t>
      </w:r>
      <w:r>
        <w:t xml:space="preserve">: 42</w:t>
      </w:r>
    </w:p>
    <w:p>
      <w:pPr>
        <w:pStyle w:val="Compact"/>
        <w:numPr>
          <w:ilvl w:val="0"/>
          <w:numId w:val="1029"/>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73"/>
    <w:bookmarkStart w:id="174" w:name="b.4-sensitivity-analysis-parameters"/>
    <w:p>
      <w:pPr>
        <w:pStyle w:val="Heading4"/>
      </w:pPr>
      <w:r>
        <w:t xml:space="preserve">B.4 Sensitivity analysis parameters</w:t>
      </w:r>
    </w:p>
    <w:p>
      <w:pPr>
        <w:pStyle w:val="FirstParagraph"/>
      </w:pPr>
      <w:r>
        <w:t xml:space="preserve">The sensitivity analysis (Figure fig. 9) varies:</w:t>
      </w:r>
    </w:p>
    <w:p>
      <w:pPr>
        <w:pStyle w:val="Compact"/>
        <w:numPr>
          <w:ilvl w:val="0"/>
          <w:numId w:val="1031"/>
        </w:numPr>
      </w:pPr>
      <w:r>
        <w:rPr>
          <w:b/>
          <w:bCs/>
        </w:rPr>
        <w:t xml:space="preserve">Baseline weeks</w:t>
      </w:r>
      <w:r>
        <w:t xml:space="preserve">: [2, 3, 4, 5, 6, 7, 8]</w:t>
      </w:r>
    </w:p>
    <w:p>
      <w:pPr>
        <w:pStyle w:val="Compact"/>
        <w:numPr>
          <w:ilvl w:val="0"/>
          <w:numId w:val="1031"/>
        </w:numPr>
      </w:pPr>
      <w:r>
        <w:rPr>
          <w:b/>
          <w:bCs/>
        </w:rPr>
        <w:t xml:space="preserve">Quiet-start offsets</w:t>
      </w:r>
      <w:r>
        <w:t xml:space="preserve">: [-12, -8, -4, 0, +4, +8, +12] weeks from 2022-24</w:t>
      </w:r>
    </w:p>
    <w:p>
      <w:pPr>
        <w:pStyle w:val="Compact"/>
        <w:numPr>
          <w:ilvl w:val="0"/>
          <w:numId w:val="1031"/>
        </w:numPr>
      </w:pPr>
      <w:r>
        <w:rPr>
          <w:b/>
          <w:bCs/>
        </w:rPr>
        <w:t xml:space="preserve">Quiet-window end</w:t>
      </w:r>
      <w:r>
        <w:t xml:space="preserve">: Fixed at 2024-16</w:t>
      </w:r>
    </w:p>
    <w:p>
      <w:pPr>
        <w:pStyle w:val="Compact"/>
        <w:numPr>
          <w:ilvl w:val="0"/>
          <w:numId w:val="1031"/>
        </w:numPr>
      </w:pPr>
      <w:r>
        <w:rPr>
          <w:b/>
          <w:bCs/>
        </w:rPr>
        <w:t xml:space="preserve">Dose pairs</w:t>
      </w:r>
      <w:r>
        <w:t xml:space="preserve">: 1 vs 0, 2 vs 0, 2 vs 1</w:t>
      </w:r>
    </w:p>
    <w:p>
      <w:pPr>
        <w:pStyle w:val="Compact"/>
        <w:numPr>
          <w:ilvl w:val="0"/>
          <w:numId w:val="1031"/>
        </w:numPr>
      </w:pPr>
      <w:r>
        <w:rPr>
          <w:b/>
          <w:bCs/>
        </w:rPr>
        <w:t xml:space="preserve">Cohorts</w:t>
      </w:r>
      <w:r>
        <w:t xml:space="preserve">: 2021_24</w:t>
      </w:r>
    </w:p>
    <w:p>
      <w:pPr>
        <w:pStyle w:val="FirstParagraph"/>
      </w:pPr>
      <w:r>
        <w:t xml:space="preserve">Output grids show KCOR values for each parameter combination.</w:t>
      </w:r>
    </w:p>
    <w:bookmarkEnd w:id="174"/>
    <w:bookmarkStart w:id="175"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2"/>
        </w:numPr>
      </w:pPr>
      <w:r>
        <w:rPr>
          <w:b/>
          <w:bCs/>
        </w:rPr>
        <w:t xml:space="preserve">Mid-sampled cohort</w:t>
      </w:r>
      <w:r>
        <w:t xml:space="preserve">: frailty restricted to central quantiles (e.g., 25th–75th percentile) and renormalized to mean 1.</w:t>
      </w:r>
    </w:p>
    <w:p>
      <w:pPr>
        <w:pStyle w:val="Compact"/>
        <w:numPr>
          <w:ilvl w:val="0"/>
          <w:numId w:val="1032"/>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3"/>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3"/>
        </w:numPr>
      </w:pPr>
      <w:r>
        <w:rPr>
          <w:b/>
          <w:bCs/>
        </w:rPr>
        <w:t xml:space="preserve">Base frailty distribution</w:t>
      </w:r>
      <w:r>
        <w:t xml:space="preserve">: Log-normal with mean 1, variance 0.5</w:t>
      </w:r>
    </w:p>
    <w:p>
      <w:pPr>
        <w:pStyle w:val="Compact"/>
        <w:numPr>
          <w:ilvl w:val="0"/>
          <w:numId w:val="1033"/>
        </w:numPr>
      </w:pPr>
      <w:r>
        <w:rPr>
          <w:b/>
          <w:bCs/>
        </w:rPr>
        <w:t xml:space="preserve">Mid-quantile cohort</w:t>
      </w:r>
      <w:r>
        <w:t xml:space="preserve">: 25th–75th percentile</w:t>
      </w:r>
    </w:p>
    <w:p>
      <w:pPr>
        <w:pStyle w:val="Compact"/>
        <w:numPr>
          <w:ilvl w:val="0"/>
          <w:numId w:val="1033"/>
        </w:numPr>
      </w:pPr>
      <w:r>
        <w:rPr>
          <w:b/>
          <w:bCs/>
        </w:rPr>
        <w:t xml:space="preserve">Tail-mixture cohort</w:t>
      </w:r>
      <w:r>
        <w:t xml:space="preserve">: [0–15th] + [85th–100th] percentiles, equal weights</w:t>
      </w:r>
    </w:p>
    <w:p>
      <w:pPr>
        <w:pStyle w:val="Compact"/>
        <w:numPr>
          <w:ilvl w:val="0"/>
          <w:numId w:val="1033"/>
        </w:numPr>
      </w:pPr>
      <w:r>
        <w:rPr>
          <w:b/>
          <w:bCs/>
        </w:rPr>
        <w:t xml:space="preserve">Baseline hazard</w:t>
      </w:r>
      <w:r>
        <w:t xml:space="preserve">: 0.002 per week (constant)</w:t>
      </w:r>
    </w:p>
    <w:p>
      <w:pPr>
        <w:pStyle w:val="Compact"/>
        <w:numPr>
          <w:ilvl w:val="0"/>
          <w:numId w:val="1033"/>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3"/>
        </w:numPr>
      </w:pPr>
      <w:r>
        <w:rPr>
          <w:b/>
          <w:bCs/>
        </w:rPr>
        <w:t xml:space="preserve">Effect window</w:t>
      </w:r>
      <w:r>
        <w:t xml:space="preserve">: weeks 20–80</w:t>
      </w:r>
    </w:p>
    <w:p>
      <w:pPr>
        <w:pStyle w:val="Compact"/>
        <w:numPr>
          <w:ilvl w:val="0"/>
          <w:numId w:val="1033"/>
        </w:numPr>
      </w:pPr>
      <w:r>
        <w:rPr>
          <w:b/>
          <w:bCs/>
        </w:rPr>
        <w:t xml:space="preserve">Random seed</w:t>
      </w:r>
      <w:r>
        <w:t xml:space="preserve">: 42</w:t>
      </w:r>
    </w:p>
    <w:bookmarkEnd w:id="175"/>
    <w:bookmarkStart w:id="182"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76"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76"/>
    <w:bookmarkStart w:id="177" w:name="frailty-structure"/>
    <w:p>
      <w:pPr>
        <w:pStyle w:val="Heading5"/>
      </w:pPr>
      <w:r>
        <w:t xml:space="preserve">Frailty structure</w:t>
      </w:r>
    </w:p>
    <w:p>
      <w:pPr>
        <w:pStyle w:val="Compact"/>
        <w:numPr>
          <w:ilvl w:val="0"/>
          <w:numId w:val="1034"/>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4"/>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77"/>
    <w:bookmarkStart w:id="178"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35"/>
        </w:numPr>
      </w:pPr>
      <w:r>
        <w:t xml:space="preserve">Step change (constant multiplicative factor),</w:t>
      </w:r>
    </w:p>
    <w:p>
      <w:pPr>
        <w:pStyle w:val="Compact"/>
        <w:numPr>
          <w:ilvl w:val="0"/>
          <w:numId w:val="1035"/>
        </w:numPr>
      </w:pPr>
      <w:r>
        <w:t xml:space="preserve">Linear ramp,</w:t>
      </w:r>
    </w:p>
    <w:p>
      <w:pPr>
        <w:pStyle w:val="Compact"/>
        <w:numPr>
          <w:ilvl w:val="0"/>
          <w:numId w:val="1035"/>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78"/>
    <w:bookmarkStart w:id="179"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79"/>
    <w:bookmarkStart w:id="180"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36"/>
        </w:numPr>
      </w:pPr>
      <w:r>
        <w:t xml:space="preserve">KCOR remains approximately flat and near unity during the quiet window,</w:t>
      </w:r>
    </w:p>
    <w:p>
      <w:pPr>
        <w:pStyle w:val="Compact"/>
        <w:numPr>
          <w:ilvl w:val="0"/>
          <w:numId w:val="1036"/>
        </w:numPr>
      </w:pPr>
      <w:r>
        <w:t xml:space="preserve">KCOR deviates in the correct direction and magnitude during the treatment window,</w:t>
      </w:r>
    </w:p>
    <w:p>
      <w:pPr>
        <w:pStyle w:val="Compact"/>
        <w:numPr>
          <w:ilvl w:val="0"/>
          <w:numId w:val="1036"/>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180"/>
    <w:bookmarkStart w:id="181"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181"/>
    <w:bookmarkEnd w:id="182"/>
    <w:bookmarkEnd w:id="183"/>
    <w:bookmarkStart w:id="188" w:name="X3fb27f9d14d988b0afc4c757bd6d2a45d2ae0b5"/>
    <w:p>
      <w:pPr>
        <w:pStyle w:val="Heading3"/>
      </w:pPr>
      <w:r>
        <w:t xml:space="preserve">Appendix C. Additional figures and diagnostics</w:t>
      </w:r>
    </w:p>
    <w:bookmarkStart w:id="184"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7"/>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7"/>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7"/>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84"/>
    <w:bookmarkStart w:id="185"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8"/>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8"/>
        </w:numPr>
      </w:pPr>
      <w:r>
        <w:rPr>
          <w:b/>
          <w:bCs/>
        </w:rPr>
        <w:t xml:space="preserve">Outliers</w:t>
      </w:r>
      <w:r>
        <w:t xml:space="preserve">: Individual weeks with large residuals may indicate data quality issues or external shocks.</w:t>
      </w:r>
    </w:p>
    <w:p>
      <w:pPr>
        <w:pStyle w:val="Compact"/>
        <w:numPr>
          <w:ilvl w:val="0"/>
          <w:numId w:val="1038"/>
        </w:numPr>
      </w:pPr>
      <w:r>
        <w:rPr>
          <w:b/>
          <w:bCs/>
        </w:rPr>
        <w:t xml:space="preserve">Autocorrelation</w:t>
      </w:r>
      <w:r>
        <w:t xml:space="preserve">: Strong autocorrelation in residuals suggests the model is missing time-varying structure.</w:t>
      </w:r>
    </w:p>
    <w:bookmarkEnd w:id="185"/>
    <w:bookmarkStart w:id="186"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9"/>
        </w:numPr>
      </w:pPr>
      <w:r>
        <w:rPr>
          <w:b/>
          <w:bCs/>
        </w:rPr>
        <w:t xml:space="preserve">Quiet-window perturbation</w:t>
      </w:r>
      <w:r>
        <w:t xml:space="preserve">: Shift the quiet-window start/end by ±4 weeks and re-fit. Stable parameters should vary by &lt; 10%.</w:t>
      </w:r>
    </w:p>
    <w:p>
      <w:pPr>
        <w:pStyle w:val="Compact"/>
        <w:numPr>
          <w:ilvl w:val="0"/>
          <w:numId w:val="1039"/>
        </w:numPr>
      </w:pPr>
      <w:r>
        <w:rPr>
          <w:b/>
          <w:bCs/>
        </w:rPr>
        <w:t xml:space="preserve">Skip-weeks sensitivity</w:t>
      </w:r>
      <w:r>
        <w:t xml:space="preserve">: Vary SKIP_WEEKS from 0 to 8 and verify KCOR trajectories remain qualitatively similar.</w:t>
      </w:r>
    </w:p>
    <w:p>
      <w:pPr>
        <w:pStyle w:val="Compact"/>
        <w:numPr>
          <w:ilvl w:val="0"/>
          <w:numId w:val="1039"/>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9) provides a systematic assessment of parameter stability.</w:t>
      </w:r>
    </w:p>
    <w:bookmarkEnd w:id="186"/>
    <w:bookmarkStart w:id="187"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0"/>
        </w:numPr>
      </w:pPr>
      <w:r>
        <w:t xml:space="preserve">Avoid major epidemic waves or external mortality shocks</w:t>
      </w:r>
    </w:p>
    <w:p>
      <w:pPr>
        <w:pStyle w:val="Compact"/>
        <w:numPr>
          <w:ilvl w:val="0"/>
          <w:numId w:val="1040"/>
        </w:numPr>
      </w:pPr>
      <w:r>
        <w:t xml:space="preserve">Contain sufficient event counts for stable estimation</w:t>
      </w:r>
    </w:p>
    <w:p>
      <w:pPr>
        <w:pStyle w:val="Compact"/>
        <w:numPr>
          <w:ilvl w:val="0"/>
          <w:numId w:val="1040"/>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187"/>
    <w:bookmarkEnd w:id="188"/>
    <w:bookmarkStart w:id="197"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189"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1"/>
        </w:numPr>
      </w:pPr>
      <w:r>
        <w:t xml:space="preserve">Inconsistencies in cohort risk sets (e.g., unexplained increases in at-risk counts).</w:t>
      </w:r>
    </w:p>
    <w:p>
      <w:pPr>
        <w:pStyle w:val="Compact"/>
        <w:numPr>
          <w:ilvl w:val="0"/>
          <w:numId w:val="1041"/>
        </w:numPr>
      </w:pPr>
      <w:r>
        <w:t xml:space="preserve">Early-time hazard suppression or inflation inconsistent with selection or depletion geometry.</w:t>
      </w:r>
    </w:p>
    <w:p>
      <w:pPr>
        <w:pStyle w:val="Compact"/>
        <w:numPr>
          <w:ilvl w:val="0"/>
          <w:numId w:val="1041"/>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189"/>
    <w:bookmarkStart w:id="190"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2"/>
        </w:numPr>
      </w:pPr>
      <w:r>
        <w:t xml:space="preserve">Calendar-time hazard spikes or drops that appear in only one cohort.</w:t>
      </w:r>
    </w:p>
    <w:p>
      <w:pPr>
        <w:pStyle w:val="Compact"/>
        <w:numPr>
          <w:ilvl w:val="0"/>
          <w:numId w:val="1042"/>
        </w:numPr>
      </w:pPr>
      <w:r>
        <w:t xml:space="preserve">Misalignment of major mortality shocks (e.g., epidemic waves) across cohorts.</w:t>
      </w:r>
    </w:p>
    <w:p>
      <w:pPr>
        <w:pStyle w:val="Compact"/>
        <w:numPr>
          <w:ilvl w:val="0"/>
          <w:numId w:val="1042"/>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190"/>
    <w:bookmarkStart w:id="191"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3"/>
        </w:numPr>
      </w:pPr>
      <w:r>
        <w:t xml:space="preserve">Strongly structured residuals in cumulative-hazard space inconsistent with depletion.</w:t>
      </w:r>
    </w:p>
    <w:p>
      <w:pPr>
        <w:pStyle w:val="Compact"/>
        <w:numPr>
          <w:ilvl w:val="0"/>
          <w:numId w:val="1043"/>
        </w:numPr>
      </w:pPr>
      <w:r>
        <w:t xml:space="preserve">Instability of fitted frailty parameters not attributable to window placement.</w:t>
      </w:r>
    </w:p>
    <w:p>
      <w:pPr>
        <w:pStyle w:val="Compact"/>
        <w:numPr>
          <w:ilvl w:val="0"/>
          <w:numId w:val="1043"/>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191"/>
    <w:bookmarkStart w:id="192"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44"/>
        </w:numPr>
      </w:pPr>
      <w:r>
        <w:t xml:space="preserve">Poor fit of the gamma-frailty cumulative-hazard model during the quiet window.</w:t>
      </w:r>
    </w:p>
    <w:p>
      <w:pPr>
        <w:pStyle w:val="Compact"/>
        <w:numPr>
          <w:ilvl w:val="0"/>
          <w:numId w:val="1044"/>
        </w:numPr>
      </w:pPr>
      <w:r>
        <w:t xml:space="preserve">Systematic residual curvature after frailty normalization.</w:t>
      </w:r>
    </w:p>
    <w:p>
      <w:pPr>
        <w:pStyle w:val="Compact"/>
        <w:numPr>
          <w:ilvl w:val="0"/>
          <w:numId w:val="1044"/>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192"/>
    <w:bookmarkStart w:id="193"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45"/>
        </w:numPr>
      </w:pPr>
      <w:r>
        <w:t xml:space="preserve">Failure of KCOR(t) trajectories to stabilize or asymptote following frailty normalization.</w:t>
      </w:r>
    </w:p>
    <w:p>
      <w:pPr>
        <w:pStyle w:val="Compact"/>
        <w:numPr>
          <w:ilvl w:val="0"/>
          <w:numId w:val="1045"/>
        </w:numPr>
      </w:pPr>
      <w:r>
        <w:t xml:space="preserve">Persistent nonzero slope in KCOR(t), indicating residual curvature after normalization.</w:t>
      </w:r>
    </w:p>
    <w:p>
      <w:pPr>
        <w:pStyle w:val="Compact"/>
        <w:numPr>
          <w:ilvl w:val="0"/>
          <w:numId w:val="1045"/>
        </w:numPr>
      </w:pPr>
      <w:r>
        <w:t xml:space="preserve">Instability of fitted frailty parameters (θ) under small perturbations of quiet-window boundaries.</w:t>
      </w:r>
    </w:p>
    <w:p>
      <w:pPr>
        <w:pStyle w:val="Compact"/>
        <w:numPr>
          <w:ilvl w:val="0"/>
          <w:numId w:val="1045"/>
        </w:numPr>
      </w:pPr>
      <w:r>
        <w:t xml:space="preserve">Failure of depletion-neutralized cumulative hazards to become approximately linear during the quiet window.</w:t>
      </w:r>
    </w:p>
    <w:p>
      <w:pPr>
        <w:pStyle w:val="Compact"/>
        <w:numPr>
          <w:ilvl w:val="0"/>
          <w:numId w:val="1045"/>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bookmarkEnd w:id="193"/>
    <w:bookmarkStart w:id="194"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194"/>
    <w:bookmarkStart w:id="195"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 trajectories.</w:t>
      </w:r>
    </w:p>
    <w:p>
      <w:pPr>
        <w:pStyle w:val="BodyText"/>
      </w:pPr>
      <w:r>
        <w:t xml:space="preserve">Importantly, 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195"/>
    <w:bookmarkStart w:id="196"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196"/>
    <w:bookmarkEnd w:id="197"/>
    <w:bookmarkEnd w:id="198"/>
    <w:bookmarkStart w:id="199" w:name="figure-captions"/>
    <w:p>
      <w:pPr>
        <w:pStyle w:val="Heading2"/>
      </w:pPr>
      <w:r>
        <w:t xml:space="preserve">Figure Captions</w:t>
      </w:r>
    </w:p>
    <w:p>
      <w:pPr>
        <w:pStyle w:val="FirstParagraph"/>
      </w:pPr>
      <w:r>
        <w:rPr>
          <w:b/>
          <w:bCs/>
        </w:rPr>
        <w:t xml:space="preserve">Figure 1.</w:t>
      </w:r>
      <w:r>
        <w:t xml:space="preserve"> </w:t>
      </w:r>
      <w:r>
        <w:t xml:space="preserve">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 {#fig:kcor_v6_schematic}</w:t>
      </w:r>
    </w:p>
    <w:p>
      <w:pPr>
        <w:pStyle w:val="BodyText"/>
      </w:pPr>
      <w:r>
        <w:rPr>
          <w:b/>
          <w:bCs/>
        </w:rPr>
        <w:t xml:space="preserve">Figure 2.</w:t>
      </w:r>
      <w:r>
        <w:t xml:space="preserve"> </w:t>
      </w:r>
      <w:r>
        <w:t xml:space="preserve">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{#fig:kcor_workflow}</w:t>
      </w:r>
    </w:p>
    <w:p>
      <w:pPr>
        <w:pStyle w:val="BodyText"/>
      </w:pPr>
      <w:r>
        <w:rPr>
          <w:b/>
          <w:bCs/>
        </w:rPr>
        <w:t xml:space="preserve">Figure 3.</w:t>
      </w:r>
      <w:r>
        <w:t xml:space="preserve"> </w:t>
      </w:r>
      <w:r>
        <w:t xml:space="preserve">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{#fig:neg_control_synthetic}</w:t>
      </w:r>
    </w:p>
    <w:p>
      <w:pPr>
        <w:pStyle w:val="BodyText"/>
      </w:pPr>
      <w:r>
        <w:rPr>
          <w:b/>
          <w:bCs/>
        </w:rPr>
        <w:t xml:space="preserve">Figure 4.</w:t>
      </w:r>
      <w:r>
        <w:t xml:space="preserve"> </w:t>
      </w:r>
      <w:r>
        <w:t xml:space="preserve">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 {#fig:neg_control_10yr}</w:t>
      </w:r>
    </w:p>
    <w:p>
      <w:pPr>
        <w:pStyle w:val="BodyText"/>
      </w:pPr>
      <w:r>
        <w:rPr>
          <w:b/>
          <w:bCs/>
        </w:rPr>
        <w:t xml:space="preserve">Figure 5.</w:t>
      </w:r>
      <w:r>
        <w:t xml:space="preserve"> </w:t>
      </w:r>
      <w:r>
        <w:t xml:space="preserve">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{#fig:neg_control_20yr}</w:t>
      </w:r>
    </w:p>
    <w:p>
      <w:pPr>
        <w:pStyle w:val="BodyText"/>
      </w:pPr>
      <w:r>
        <w:rPr>
          <w:b/>
          <w:bCs/>
        </w:rPr>
        <w:t xml:space="preserve">Figure 6.</w:t>
      </w:r>
      <w:r>
        <w:t xml:space="preserve"> </w:t>
      </w:r>
      <w:r>
        <w:t xml:space="preserve">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{#fig:pos_control_injected}</w:t>
      </w:r>
    </w:p>
    <w:p>
      <w:pPr>
        <w:pStyle w:val="BodyText"/>
      </w:pPr>
      <w:r>
        <w:rPr>
          <w:b/>
          <w:bCs/>
        </w:rPr>
        <w:t xml:space="preserve">Figure 7.</w:t>
      </w:r>
      <w:r>
        <w:t xml:space="preserve"> </w:t>
      </w:r>
      <w:r>
        <w:t xml:space="preserve">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{#fig:sensitivity_overview}</w:t>
      </w:r>
    </w:p>
    <w:p>
      <w:pPr>
        <w:pStyle w:val="BodyText"/>
      </w:pPr>
      <w:r>
        <w:rPr>
          <w:b/>
          <w:bCs/>
        </w:rPr>
        <w:t xml:space="preserve">Figure 8.</w:t>
      </w:r>
      <w:r>
        <w:t xml:space="preserve"> </w:t>
      </w:r>
      <w:r>
        <w:t xml:space="preserve">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{#fig:sim_grid_overview}</w:t>
      </w:r>
    </w:p>
    <w:p>
      <w:pPr>
        <w:pStyle w:val="BodyText"/>
      </w:pPr>
      <w:r>
        <w:rPr>
          <w:b/>
          <w:bCs/>
        </w:rPr>
        <w:t xml:space="preserve">Figure 9.</w:t>
      </w:r>
      <w:r>
        <w:t xml:space="preserve"> </w:t>
      </w:r>
      <w:r>
        <w:t xml:space="preserve">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{#fig:sim_grid_diagnostics}</w:t>
      </w:r>
    </w:p>
    <w:p>
      <w:pPr>
        <w:pStyle w:val="BodyText"/>
      </w:pPr>
      <w:r>
        <w:rPr>
          <w:b/>
          <w:bCs/>
        </w:rPr>
        <w:t xml:space="preserve">Figure 10.</w:t>
      </w:r>
      <w:r>
        <w:t xml:space="preserve"> </w:t>
      </w:r>
      <w:r>
        <w:t xml:space="preserve">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{#fig:s7_overview}</w:t>
      </w:r>
    </w:p>
    <w:p>
      <w:pPr>
        <w:pStyle w:val="BodyText"/>
      </w:pPr>
      <w:r>
        <w:rPr>
          <w:b/>
          <w:bCs/>
        </w:rPr>
        <w:t xml:space="preserve">Figure 11.</w:t>
      </w:r>
      <w:r>
        <w:t xml:space="preserve"> </w:t>
      </w:r>
      <w:r>
        <w:t xml:space="preserve">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 {#fig:s7_diagnostics}</w:t>
      </w:r>
    </w:p>
    <w:p>
      <w:pPr>
        <w:pStyle w:val="BodyText"/>
      </w:pPr>
      <w:r>
        <w:rPr>
          <w:b/>
          <w:bCs/>
        </w:rPr>
        <w:t xml:space="preserve">Figure 12.</w:t>
      </w:r>
      <w:r>
        <w:t xml:space="preserve"> </w:t>
      </w:r>
      <w:r>
        <w:t xml:space="preserve">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 {#fig:cox_bias_hr}</w:t>
      </w:r>
    </w:p>
    <w:p>
      <w:pPr>
        <w:pStyle w:val="BodyText"/>
      </w:pPr>
      <w:r>
        <w:rPr>
          <w:b/>
          <w:bCs/>
        </w:rPr>
        <w:t xml:space="preserve">Figure 13.</w:t>
      </w:r>
      <w:r>
        <w:t xml:space="preserve"> </w:t>
      </w:r>
      <w:r>
        <w:t xml:space="preserve">KCOR remains null under a synthetic null across increasing frailty heterogeneity. KCOR asymptotes remain near 1 across</w:t>
      </w:r>
      <w:r>
        <w:t xml:space="preserve"> </w:t>
      </w:r>
      <m:oMath>
        <m:r>
          <m:t>θ</m:t>
        </m:r>
      </m:oMath>
      <w:r>
        <w:t xml:space="preserve"> </w:t>
      </w:r>
      <w:r>
        <w:t xml:space="preserve">in the same simulations, consistent with correct null behavior after depletion normalization. {#fig:cox_bias_kcor}</w:t>
      </w:r>
    </w:p>
    <w:bookmarkEnd w:id="199"/>
    <w:bookmarkEnd w:id="2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66" Target="media/rId66.png" /><Relationship Type="http://schemas.openxmlformats.org/officeDocument/2006/relationships/image" Id="rId86" Target="media/rId86.png" /><Relationship Type="http://schemas.openxmlformats.org/officeDocument/2006/relationships/image" Id="rId104" Target="media/rId104.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10" Target="media/rId110.png" /><Relationship Type="http://schemas.openxmlformats.org/officeDocument/2006/relationships/image" Id="rId119" Target="media/rId119.png" /><Relationship Type="http://schemas.openxmlformats.org/officeDocument/2006/relationships/image" Id="rId115" Target="media/rId115.png" /><Relationship Type="http://schemas.openxmlformats.org/officeDocument/2006/relationships/hyperlink" Id="rId158" Target="https://doi.org/10.2147/CLEP.S468572" TargetMode="External" /><Relationship Type="http://schemas.openxmlformats.org/officeDocument/2006/relationships/hyperlink" Id="rId156" Target="https://doi.org/10.2307/2061224" TargetMode="External" /><Relationship Type="http://schemas.openxmlformats.org/officeDocument/2006/relationships/hyperlink" Id="rId149" Target="https://doi.org/10.5281/zenodo.18050329" TargetMode="External" /><Relationship Type="http://schemas.openxmlformats.org/officeDocument/2006/relationships/hyperlink" Id="rId160" Target="https://doi.org/10.7554/eLife.103690" TargetMode="External" /><Relationship Type="http://schemas.openxmlformats.org/officeDocument/2006/relationships/hyperlink" Id="rId148"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58" Target="https://doi.org/10.2147/CLEP.S468572" TargetMode="External" /><Relationship Type="http://schemas.openxmlformats.org/officeDocument/2006/relationships/hyperlink" Id="rId156" Target="https://doi.org/10.2307/2061224" TargetMode="External" /><Relationship Type="http://schemas.openxmlformats.org/officeDocument/2006/relationships/hyperlink" Id="rId149" Target="https://doi.org/10.5281/zenodo.18050329" TargetMode="External" /><Relationship Type="http://schemas.openxmlformats.org/officeDocument/2006/relationships/hyperlink" Id="rId160" Target="https://doi.org/10.7554/eLife.103690" TargetMode="External" /><Relationship Type="http://schemas.openxmlformats.org/officeDocument/2006/relationships/hyperlink" Id="rId148"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2025-12-31T07:53:09Z</dcterms:created>
  <dcterms:modified xsi:type="dcterms:W3CDTF">2025-12-31T07:53:09Z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