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0.png" ContentType="image/png"/>
  <Override PartName="/word/media/rId94.png" ContentType="image/png"/>
  <Override PartName="/word/media/rId68.png" ContentType="image/png"/>
  <Override PartName="/word/media/rId72.png" ContentType="image/png"/>
  <Override PartName="/word/media/rId63.png" ContentType="image/png"/>
  <Override PartName="/word/media/rId84.png" ContentType="image/png"/>
  <Override PartName="/word/media/rId101.png" ContentType="image/png"/>
  <Override PartName="/word/media/rId124.png" ContentType="image/png"/>
  <Override PartName="/word/media/rId120.png" ContentType="image/png"/>
  <Override PartName="/word/media/rId106.png" ContentType="image/png"/>
  <Override PartName="/word/media/rId116.png" ContentType="image/png"/>
  <Override PartName="/word/media/rId112.png" ContentType="image/png"/>
  <Override PartName="/word/media/rId1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7" w:name="main"/>
    <w:bookmarkStart w:id="196" w:name="X8a6fbe8a8e8f2531b7e9694650a4d74c0ac5545"/>
    <w:p>
      <w:pPr>
        <w:pStyle w:val="Heading1"/>
      </w:pPr>
      <w:r>
        <w:t xml:space="preserve">KCOR: A Depletion-Neutralized Cohort Comparison Framework Using Gamma-Frailty Normalization Under Selection-Induced Cumulative Hazard Curvature</w:t>
      </w:r>
    </w:p>
    <w:bookmarkStart w:id="9" w:name="manuscript-metadata"/>
    <w:p>
      <w:pPr>
        <w:pStyle w:val="Heading2"/>
      </w:pPr>
      <w:r>
        <w:t xml:space="preserve">Manuscript metadata</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12,100 (excluding Abstract, References, and Supplementary material)</w:t>
      </w:r>
    </w:p>
    <w:p>
      <w:pPr>
        <w:pStyle w:val="Compact"/>
        <w:numPr>
          <w:ilvl w:val="0"/>
          <w:numId w:val="1001"/>
        </w:numPr>
      </w:pPr>
      <w:r>
        <w:rPr>
          <w:b/>
          <w:bCs/>
        </w:rPr>
        <w:t xml:space="preserve">Keywords</w:t>
      </w:r>
      <w:r>
        <w:t xml:space="preserve">: survival analysis; frailty models; non-proportional hazards; cumulative hazard; selection bias; retrospective cohort studies; observational studies; simulation study</w:t>
      </w:r>
    </w:p>
    <w:bookmarkEnd w:id="9"/>
    <w:bookmarkStart w:id="10" w:name="abstract"/>
    <w:p>
      <w:pPr>
        <w:pStyle w:val="Heading2"/>
      </w:pPr>
      <w:r>
        <w:t xml:space="preserve">Abstract</w:t>
      </w:r>
    </w:p>
    <w:p>
      <w:pPr>
        <w:pStyle w:val="FirstParagraph"/>
      </w:pPr>
      <w:r>
        <w:t xml:space="preserve">Retrospective cohort comparisons are widely used when randomized trials are infeasible, but selection-induced frailty heterogeneity can generate non-proportional hazards that invalidate standard survival estimands. We introduce the Kirsch Cumulative Outcomes Ratio (KCOR), a normalization-and-comparison framework designed to remove selection-induced depletion curvature from cumulative hazards prior to cohort comparison using minimal registry data (dates of birth, intervention, and event).</w:t>
      </w:r>
    </w:p>
    <w:p>
      <w:pPr>
        <w:pStyle w:val="BodyText"/>
      </w:pPr>
      <w:r>
        <w:t xml:space="preserve">KCOR estimates cohort-specific depletion parameters during prespecified epidemiologically quiet periods, transforms observed cumulative hazards into a depletion-neutralized space via gamma-frailty inversion, and defines a cumulative hazard ratio as the target estimand. Using simulation studies that vary frailty heterogeneity and selection strength, we evaluate KCOR alongside commonly used hazard- and survival-based estimands under both null and non-null conditions. Under selection-only regimes, KCOR remains centered near the null with stable trajectories, whereas Cox regression and related estimands exhibit systematic non-null behavior driven by residual depletion effects.</w:t>
      </w:r>
    </w:p>
    <w:p>
      <w:pPr>
        <w:pStyle w:val="BodyText"/>
      </w:pPr>
      <w:r>
        <w:t xml:space="preserve">KCOR is presented as a diagnostic and normalization framework rather than a causal identification strategy. Interpretation of KCOR trajectories is conditional on stated assumptions and validated through prespecified simulations, negative controls, and internal diagnostics.</w:t>
      </w:r>
    </w:p>
    <w:bookmarkEnd w:id="10"/>
    <w:bookmarkStart w:id="12" w:name="key-messages"/>
    <w:p>
      <w:pPr>
        <w:pStyle w:val="Heading2"/>
      </w:pPr>
      <w:r>
        <w:t xml:space="preserve">Key messages</w:t>
      </w:r>
    </w:p>
    <w:p>
      <w:pPr>
        <w:pStyle w:val="FirstParagraph"/>
      </w:pPr>
      <w:r>
        <w:t xml:space="preserve">• Selection-induced depletion under latent frailty heterogeneity precludes reliable use of proportional hazards–based methods in many retrospective cohort studies.</w:t>
      </w:r>
    </w:p>
    <w:p>
      <w:pPr>
        <w:pStyle w:val="BodyText"/>
      </w:pPr>
      <w:r>
        <w:t xml:space="preserve">• KCOR enables depletion-neutralized cumulative outcome comparisons using only minimal event-time information (e.g., dates of birth, intervention, and death), without requiring covariate completeness or proportional hazards assumptions.</w:t>
      </w:r>
    </w:p>
    <w:p>
      <w:pPr>
        <w:pStyle w:val="BodyText"/>
      </w:pPr>
      <w:r>
        <w:t xml:space="preserve">• Simulation studies show that KCOR remains stable under selection-only regimes, whereas proportional hazards–based Cox regression can produce non-null hazard ratios driven by selection-induced depletion rather than true signal.</w:t>
      </w:r>
    </w:p>
    <w:bookmarkStart w:id="11" w:name="methods-summary"/>
    <w:p>
      <w:pPr>
        <w:pStyle w:val="Heading3"/>
      </w:pPr>
      <w:r>
        <w:t xml:space="preserve">Methods Summary</w:t>
      </w:r>
    </w:p>
    <w:p>
      <w:pPr>
        <w:pStyle w:val="FirstParagraph"/>
      </w:pPr>
      <w:r>
        <w:t xml:space="preserve">KCOR is a cumulative-hazard normalization framework for retrospective cohort comparisons under selection-induced non-proportional hazards. The method requires minimal inputs (enrollment date, intervention date, outcome time) and proceeds as follows:</w:t>
      </w:r>
    </w:p>
    <w:p>
      <w:pPr>
        <w:numPr>
          <w:ilvl w:val="0"/>
          <w:numId w:val="1002"/>
        </w:numPr>
      </w:pPr>
      <w:r>
        <w:rPr>
          <w:b/>
          <w:bCs/>
        </w:rPr>
        <w:t xml:space="preserve">Input data</w:t>
      </w:r>
      <w:r>
        <w:t xml:space="preserve">: For each cohort, aggregate weekly counts of individuals alive and dead, indexed by enrollment date, birth year (or age group), and intervention status (dose/cohort label). Minimal required fields are dates of birth, intervention, and event (or censoring).</w:t>
      </w:r>
    </w:p>
    <w:p>
      <w:pPr>
        <w:numPr>
          <w:ilvl w:val="0"/>
          <w:numId w:val="1002"/>
        </w:numPr>
      </w:pPr>
      <w:r>
        <w:rPr>
          <w:b/>
          <w:bCs/>
        </w:rPr>
        <w:t xml:space="preserve">Compute observed hazards</w:t>
      </w:r>
      <w:r>
        <w:t xml:space="preserve">: From weekly alive/dead counts, compute weekly mortality rates and convert to discrete-time hazards using a midpoint approximation (Equation (11)). Accumulate to form observed cumulative hazards</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for each cohort</w:t>
      </w:r>
      <w:r>
        <w:t xml:space="preserve"> </w:t>
      </w:r>
      <m:oMath>
        <m:r>
          <m:t>d</m:t>
        </m:r>
      </m:oMath>
      <w:r>
        <w:t xml:space="preserve">.</w:t>
      </w:r>
    </w:p>
    <w:p>
      <w:pPr>
        <w:numPr>
          <w:ilvl w:val="0"/>
          <w:numId w:val="1002"/>
        </w:numPr>
      </w:pPr>
      <w:r>
        <w:rPr>
          <w:b/>
          <w:bCs/>
        </w:rPr>
        <w:t xml:space="preserve">Identify quiet window</w:t>
      </w:r>
      <w:r>
        <w:t xml:space="preserve">: Prespecify an epidemiologically quiet period (ISO weeks) during which external shocks and cohort-differential perturbations are minimal. This window is used exclusively for frailty parameter estimation.</w:t>
      </w:r>
    </w:p>
    <w:p>
      <w:pPr>
        <w:numPr>
          <w:ilvl w:val="0"/>
          <w:numId w:val="1002"/>
        </w:numPr>
      </w:pPr>
      <w:r>
        <w:rPr>
          <w:b/>
          <w:bCs/>
        </w:rPr>
        <w:t xml:space="preserve">Fit frailty curvature parameter</w:t>
      </w:r>
      <w:r>
        <w:t xml:space="preserve">: During the quiet window, fit gamma-frailty parameters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 using constrained nonlinear least squares in cumulative-hazard space (Equation (10)). The frailty variance parameter</w:t>
      </w:r>
      <w:r>
        <w:t xml:space="preserve"> </w:t>
      </w:r>
      <m:oMath>
        <m:sSub>
          <m:e>
            <m:r>
              <m:t>θ</m:t>
            </m:r>
          </m:e>
          <m:sub>
            <m:r>
              <m:t>d</m:t>
            </m:r>
          </m:sub>
        </m:sSub>
      </m:oMath>
      <w:r>
        <w:t xml:space="preserve"> </w:t>
      </w:r>
      <w:r>
        <w:t xml:space="preserve">captures selection-induced depletion curvature.</w:t>
      </w:r>
    </w:p>
    <w:p>
      <w:pPr>
        <w:numPr>
          <w:ilvl w:val="0"/>
          <w:numId w:val="1002"/>
        </w:numPr>
      </w:pPr>
      <w:r>
        <w:rPr>
          <w:b/>
          <w:bCs/>
        </w:rPr>
        <w:t xml:space="preserve">Compute adjusted cumulative hazard</w:t>
      </w:r>
      <w:r>
        <w:t xml:space="preserve">: Apply the gamma-frailty inversion (Equation (12)) to transform observed cumulative hazards into depletion-neutralized baseline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for the full follow-up period.</w:t>
      </w:r>
    </w:p>
    <w:p>
      <w:pPr>
        <w:numPr>
          <w:ilvl w:val="0"/>
          <w:numId w:val="1002"/>
        </w:numPr>
      </w:pPr>
      <w:r>
        <w:rPr>
          <w:b/>
          <w:bCs/>
        </w:rPr>
        <w:t xml:space="preserve">Compute KCOR trajectory</w:t>
      </w:r>
      <w:r>
        <w:t xml:space="preserve">: Form the ratio</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between cohorts. Interpret flatness (drift &lt; 5% per year) during quiet windows as successful depletion normalization; deviations during effect windows indicate treatment-related cohort differences when temporal separability holds.</w:t>
      </w:r>
    </w:p>
    <w:p>
      <w:pPr>
        <w:numPr>
          <w:ilvl w:val="0"/>
          <w:numId w:val="1002"/>
        </w:numPr>
      </w:pPr>
      <w:r>
        <w:rPr>
          <w:b/>
          <w:bCs/>
        </w:rPr>
        <w:t xml:space="preserve">Uncertainty quantification (optional)</w:t>
      </w:r>
      <w:r>
        <w:t xml:space="preserve">: For Monte Carlo confidence intervals, resample cohort data with replacement (stratified by cohort and stratum), re-estimate frailty parameters, recompute KCOR trajectories, and form percentile-based intervals (2.5th and 97.5th percentiles) at each time point. Recommended: 1000–2000 bootstrap replicates for stable percentile intervals.</w:t>
      </w:r>
    </w:p>
    <w:p>
      <w:pPr>
        <w:numPr>
          <w:ilvl w:val="0"/>
          <w:numId w:val="1002"/>
        </w:numPr>
      </w:pPr>
      <w:r>
        <w:rPr>
          <w:b/>
          <w:bCs/>
        </w:rPr>
        <w:t xml:space="preserve">Diagnostics</w:t>
      </w:r>
      <w:r>
        <w:t xml:space="preserve">: Assess quiet-window fit quality (RMSE in cumulative-hazard space), post-normalization linearity (R² from linear fit), and parameter stability under boundary perturbations. If diagnostics fail, treat KCOR as not identified rather than reporting potentially misleading contrasts.</w:t>
      </w:r>
    </w:p>
    <w:p>
      <w:r>
        <w:pict>
          <v:rect style="width:0;height:1.5pt" o:hralign="center" o:hrstd="t" o:hr="t"/>
        </w:pict>
      </w:r>
    </w:p>
    <w:bookmarkEnd w:id="11"/>
    <w:bookmarkEnd w:id="12"/>
    <w:bookmarkStart w:id="27" w:name="introduction"/>
    <w:p>
      <w:pPr>
        <w:pStyle w:val="Heading2"/>
      </w:pPr>
      <w:r>
        <w:t xml:space="preserve">1. Introduction</w:t>
      </w:r>
    </w:p>
    <w:bookmarkStart w:id="13"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Although mortality is used throughout this paper as a motivating and concrete example, the method applies more generally to any irreversible event process observed in a fixed cohort, including hospitalization, disease onset, or other terminal or absorbing states. Mortality is emphasized here because it is objectively defined, reliably recorded in many national datasets, and free from outcome-dependent ascertainment biases that complicate other endpoints.</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p>
      <w:pPr>
        <w:pStyle w:val="BodyText"/>
      </w:pPr>
      <w:r>
        <w:t xml:space="preserve">This manuscript is a methods paper. Real-world registry data are used solely to demonstrate estimator behavior, diagnostics, and failure modes under realistic selection-induced non-proportional hazards; no causal or policy conclusions are drawn.</w:t>
      </w:r>
    </w:p>
    <w:bookmarkEnd w:id="13"/>
    <w:bookmarkStart w:id="14"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of the cumulative hazard (reflecting time-varying hazard)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3"/>
        </w:numPr>
      </w:pPr>
      <w:r>
        <w:rPr>
          <w:b/>
          <w:bCs/>
        </w:rPr>
        <w:t xml:space="preserve">Cox PH</w:t>
      </w:r>
      <w:r>
        <w:t xml:space="preserve">: assumes hazards differ by a time-invariant multiplicative factor (proportional hazards).</w:t>
      </w:r>
    </w:p>
    <w:p>
      <w:pPr>
        <w:pStyle w:val="Compact"/>
        <w:numPr>
          <w:ilvl w:val="0"/>
          <w:numId w:val="1003"/>
        </w:numPr>
      </w:pPr>
      <w:r>
        <w:rPr>
          <w:b/>
          <w:bCs/>
        </w:rPr>
        <w:t xml:space="preserve">IPTW / matching</w:t>
      </w:r>
      <w:r>
        <w:t xml:space="preserve">: can balance measured covariates yet fail to balance unmeasured frailty and the resulting depletion dynamics.</w:t>
      </w:r>
    </w:p>
    <w:p>
      <w:pPr>
        <w:pStyle w:val="Compact"/>
        <w:numPr>
          <w:ilvl w:val="0"/>
          <w:numId w:val="1003"/>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The methodological problem addressed here is general. The COVID-19 period provides a natural empirical regime characterized by strong selection heterogeneity and non-proportional hazards, serving as a useful illustration for the proposed framework. However, KCOR is not specific to COVID, vaccination, or infectious disease. The estimator applies to any retrospective cohort comparison in which selection induces differential depletion dynamics that violate proportional hazards assumptions. KCOR refers to the method as presented here; earlier internal iterations are not material to the estimand or results and are omitted for clarity.</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4"/>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4"/>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4"/>
    <w:bookmarkStart w:id="19" w:name="X974696bf5bcaf66698b40c6142794e9a43502cb"/>
    <w:p>
      <w:pPr>
        <w:pStyle w:val="Heading3"/>
      </w:pPr>
      <w:r>
        <w:t xml:space="preserve">1.3 Related work: frailty, depletion of susceptibles, and selection-induced non-proportional hazards</w:t>
      </w:r>
    </w:p>
    <w:p>
      <w:pPr>
        <w:pStyle w:val="FirstParagraph"/>
      </w:pPr>
      <w:r>
        <w:t xml:space="preserve">The examples in this section are intended to be illustrative rather than exhaustive, and are chosen to demonstrate common patterns that arise in retrospective cohort data. They should not be interpreted as defining the scope of applicability of the method, which is agnostic to the specific intervention or event under study.</w:t>
      </w:r>
    </w:p>
    <w:p>
      <w:pPr>
        <w:pStyle w:val="BodyText"/>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p>
    <w:p>
      <w:pPr>
        <w:pStyle w:val="BodyText"/>
      </w:pPr>
      <w:r>
        <w:t xml:space="preserve">As a concrete illustration, 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w:t>
      </w:r>
      <w:r>
        <w:t xml:space="preserve">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To connect KCOR to common vaccine-effectiveness study designs, we additionally simulated rollout-style cohorts with time-localized epidemic hazard (</w:t>
      </w:r>
      <w:r>
        <w:t xml:space="preserve">‘waves’</w:t>
      </w:r>
      <w:r>
        <w:t xml:space="preserve">) and uptake correlated with latent frailty. In these settings, Cox regression can return extremely small p-values under a true null due to depletion and time-varying baseline hazard, whereas KCOR remains centered near the null cumulative contrast.</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Start w:id="15" w:name="X4d548de58a3c5c18844cb09c3f0315e94fedf3d"/>
    <w:p>
      <w:pPr>
        <w:pStyle w:val="Heading4"/>
      </w:pPr>
      <w:r>
        <w:t xml:space="preserve">1.3.1 Related work beyond proportional hazards: time-varying effects and flexible hazard modeling</w:t>
      </w:r>
    </w:p>
    <w:p>
      <w:pPr>
        <w:pStyle w:val="FirstParagraph"/>
      </w:pPr>
      <w:r>
        <w:rPr>
          <w:i/>
          <w:iCs/>
        </w:rPr>
        <w:t xml:space="preserve">The methods reviewed in this section primarily aim to improve estimation of the</w:t>
      </w:r>
      <w:r>
        <w:rPr>
          <w:i/>
          <w:iCs/>
        </w:rPr>
        <w:t xml:space="preserve"> </w:t>
      </w:r>
      <w:r>
        <w:rPr>
          <w:b/>
          <w:bCs/>
          <w:i/>
          <w:iCs/>
        </w:rPr>
        <w:t xml:space="preserve">observed hazard function</w:t>
      </w:r>
      <w:r>
        <w:rPr>
          <w:i/>
          <w:iCs/>
        </w:rPr>
        <w:t xml:space="preserve"> </w:t>
      </w:r>
      <w:r>
        <w:rPr>
          <w:i/>
          <w:iCs/>
        </w:rPr>
        <w:t xml:space="preserve">under non-proportionality; KCOR addresses a different problem—</w:t>
      </w:r>
      <w:r>
        <w:rPr>
          <w:b/>
          <w:bCs/>
          <w:i/>
          <w:iCs/>
        </w:rPr>
        <w:t xml:space="preserve">identification and removal of selection-induced depletion geometry prior to cohort comparison</w:t>
      </w:r>
      <w:r>
        <w:rPr>
          <w:i/>
          <w:iCs/>
        </w:rPr>
        <w:t xml:space="preserve">.</w:t>
      </w:r>
      <w:r>
        <w:t xml:space="preserve"> </w:t>
      </w:r>
      <w:r>
        <w:t xml:space="preserve">A large literature relaxes proportional hazards by allowing either (i) covariate effects to vary over time or (ii) the baseline hazard to be modeled flexibly. Representative examples include time-varying coefficient Cox models, flexible parametric survival models (e.g., spline-based log-cumulative hazard models), additive hazards models (Aalen-type formulations), landmarking and dynamic prediction approaches, and weighting-based approaches such as marginal structural models (MSMs) for time-varying confounding.</w:t>
      </w:r>
      <w:r>
        <w:rPr>
          <w:vertAlign w:val="superscript"/>
        </w:rPr>
        <w:t xml:space="preserve">4–11</w:t>
      </w:r>
      <w:r>
        <w:t xml:space="preserve"> </w:t>
      </w:r>
      <w:r>
        <w:t xml:space="preserve">These methods are most effective when the scientific target is an instantaneous contrast (e.g., a time-specific hazard ratio) and when sufficiently rich covariate histories are available to support identification. In settings with rich, time-updated covariate information that fully captures frailty-relevant heterogeneity, weighting or structural modeling approaches may partially mitigate depletion effects. KCOR is designed for the complementary and common regime in which such covariates are unavailable, unreliable, or post-treatment. In contrast, KCOR targets cumulative contrasts under explicit depletion normalization in cumulative-hazard space, rather than instantaneous hazard ratios conditional on survival.</w:t>
      </w:r>
    </w:p>
    <w:p>
      <w:pPr>
        <w:pStyle w:val="BodyText"/>
      </w:pPr>
      <w:r>
        <w:t xml:space="preserve">KCOR is motivated by a different failure mode that remains even when proportional hazards is relaxed: cohort-level</w:t>
      </w:r>
      <w:r>
        <w:t xml:space="preserve"> </w:t>
      </w:r>
      <w:r>
        <w:rPr>
          <w:i/>
          <w:iCs/>
        </w:rPr>
        <w:t xml:space="preserve">curvature</w:t>
      </w:r>
      <w:r>
        <w:t xml:space="preserve"> </w:t>
      </w:r>
      <w:r>
        <w:t xml:space="preserve">in cumulative-hazard space arising from selection-induced frailty heterogeneity and depletion of susceptibles. Allowing hazard ratios to vary over time can improve descriptive fit, but it does not by itself normalize depletion geometry or make cohorts exchangeable. Similarly, flexible baselines can absorb curvature without distinguishing whether it arises from latent selection/depletion versus genuine time-varying external hazards. KCOR therefore occupies a distinct role: it uses a mixture-model identity in cumulative-hazard space to estimate and invert selection-induced depletion dynamics during prespecified quiet periods, and then defines a cumulative comparison operator (KCOR) on the depletion-neutralized scale.</w:t>
      </w:r>
    </w:p>
    <w:p>
      <w:pPr>
        <w:pStyle w:val="BodyText"/>
      </w:pPr>
      <w:r>
        <w:rPr>
          <w:i/>
          <w:iCs/>
        </w:rPr>
        <w:t xml:space="preserve">This manuscript does not attempt to review the extensive literature on non-proportional hazards exhaustively; instead, it positions KCOR as complementary to these methods by addressing a distinct identifiability problem not resolved by hazard-level flexibility alone.</w:t>
      </w:r>
    </w:p>
    <w:p>
      <w:pPr>
        <w:pStyle w:val="BodyText"/>
      </w:pPr>
      <w:r>
        <w:rPr>
          <w:i/>
          <w:iCs/>
        </w:rPr>
        <w:t xml:space="preserve">Summary distinction.</w:t>
      </w:r>
      <w:r>
        <w:t xml:space="preserve"> </w:t>
      </w:r>
      <w:r>
        <w:t xml:space="preserve">KCOR differs from flexible hazard and time-varying coefficient models not in descriptive flexibility, but in estimand and direction of inference. Existing approaches model the observed hazard trajectory and interpret fitted coefficients or functions, implicitly treating all systematic divergence as signal. KCOR instead first normalizes selection-induced depletion geometry in cumulative-hazard space and only then defines a cohort contrast. The target estimand is cumulative rather than instantaneous, and interpretability is enforced diagnostically rather than assumed through model flexibility.</w:t>
      </w:r>
    </w:p>
    <w:bookmarkEnd w:id="15"/>
    <w:bookmarkStart w:id="16" w:name="X379cf1e2794c192e1696f205a7b492d4606a104"/>
    <w:p>
      <w:pPr>
        <w:pStyle w:val="Heading4"/>
      </w:pPr>
      <w:r>
        <w:t xml:space="preserve">1.3.1a Why flexible hazard models do not resolve depletion bias</w:t>
      </w:r>
    </w:p>
    <w:p>
      <w:pPr>
        <w:pStyle w:val="FirstParagraph"/>
      </w:pPr>
      <w:r>
        <w:t xml:space="preserve">Flexible hazard models—including spline-based parametric survival models, time-varying coefficient Cox models, and neural network survival estimators—can improve descriptive fit to observed hazard trajectories by allowing curvature in the hazard function over time. However, these methods do not distinguish whether observed curvature arises from genuine causal time-varying effects or from compositional changes due to selective depletion of susceptibles. Selection on frailty produces curvature in cumulative hazards even under a true null treatment effect, as heterogeneous cohorts experience differential depletion rates over time.</w:t>
      </w:r>
      <w:r>
        <w:t xml:space="preserve"> </w:t>
      </w:r>
      <w:r>
        <w:rPr>
          <w:i/>
          <w:iCs/>
        </w:rPr>
        <w:t xml:space="preserve">A model that perfectly fits the observed hazard trajectory can still yield a biased estimand if that trajectory is driven by selective depletion rather than a causal effect.</w:t>
      </w:r>
      <w:r>
        <w:t xml:space="preserve"> </w:t>
      </w:r>
      <w:r>
        <w:t xml:space="preserve">KCOR treats curvature as a</w:t>
      </w:r>
      <w:r>
        <w:t xml:space="preserve"> </w:t>
      </w:r>
      <w:r>
        <w:rPr>
          <w:b/>
          <w:bCs/>
        </w:rPr>
        <w:t xml:space="preserve">bias to remove</w:t>
      </w:r>
      <w:r>
        <w:t xml:space="preserve"> </w:t>
      </w:r>
      <w:r>
        <w:t xml:space="preserve">rather than a feature to model, explicitly estimating and neutralizing depletion geometry before defining cohort comparisons.</w:t>
      </w:r>
    </w:p>
    <w:bookmarkEnd w:id="16"/>
    <w:bookmarkStart w:id="17" w:name="Xd8c0e124be8c2b00907a68c124b0e10421ad493"/>
    <w:p>
      <w:pPr>
        <w:pStyle w:val="Heading4"/>
      </w:pPr>
      <w:r>
        <w:t xml:space="preserve">1.3.1b Time-varying confounding approaches under latent selection</w:t>
      </w:r>
    </w:p>
    <w:p>
      <w:pPr>
        <w:pStyle w:val="FirstParagraph"/>
      </w:pPr>
      <w:r>
        <w:t xml:space="preserve">A large literature addresses time-varying confounding using marginal structural models (MSMs), g-computation, and inverse-probability weighting (IPW). These approaches can be effective when the relevant time-varying confounders are</w:t>
      </w:r>
      <w:r>
        <w:t xml:space="preserve"> </w:t>
      </w:r>
      <w:r>
        <w:rPr>
          <w:b/>
          <w:bCs/>
        </w:rPr>
        <w:t xml:space="preserve">measured with sufficient fidelity</w:t>
      </w:r>
      <w:r>
        <w:t xml:space="preserve"> </w:t>
      </w:r>
      <w:r>
        <w:t xml:space="preserve">to support sequential exchangeability and correct model or weight specification. However, in retrospective administrative data, key determinants of both intervention uptake and near-term outcome risk are often</w:t>
      </w:r>
      <w:r>
        <w:t xml:space="preserve"> </w:t>
      </w:r>
      <w:r>
        <w:rPr>
          <w:b/>
          <w:bCs/>
        </w:rPr>
        <w:t xml:space="preserve">unobserved or incompletely recorded</w:t>
      </w:r>
      <w:r>
        <w:t xml:space="preserve"> </w:t>
      </w:r>
      <w:r>
        <w:t xml:space="preserve">(e.g., subclinical illness, functional decline, care-seeking behavior, contraindications, and access barriers). In such settings, selection can operate through latent heterogeneity, producing depletion-induced hazard curvature even when measured covariates are balanced at baseline.</w:t>
      </w:r>
    </w:p>
    <w:p>
      <w:pPr>
        <w:pStyle w:val="BodyText"/>
      </w:pPr>
      <w:r>
        <w:t xml:space="preserve">Under latent selection, weighting cannot generally remove bias because the quantities that must be conditioned on to restore exchangeability are not available to the analyst. Moreover, misspecification of either the treatment model (for IPW/MSMs) or the outcome model (for g-computation) can reintroduce bias that is difficult to diagnose from observed covariates alone. KCOR is designed for this regime: rather than attempting to identify causal hazards via covariate adjustment, it targets a depletion-neutralized</w:t>
      </w:r>
      <w:r>
        <w:t xml:space="preserve"> </w:t>
      </w:r>
      <w:r>
        <w:rPr>
          <w:b/>
          <w:bCs/>
        </w:rPr>
        <w:t xml:space="preserve">cumulative contrast</w:t>
      </w:r>
      <w:r>
        <w:t xml:space="preserve"> </w:t>
      </w:r>
      <w:r>
        <w:t xml:space="preserve">by directly normalizing cohort-specific hazard curvature that arises from selection-induced depletion within fixed cohorts.</w:t>
      </w:r>
    </w:p>
    <w:p>
      <w:pPr>
        <w:pStyle w:val="BodyText"/>
      </w:pPr>
      <w:r>
        <w:t xml:space="preserve">Accordingly, KCOR is complementary to time-varying confounding methods: when rich longitudinal confounders are available, MSM/IPW/g-computation may be appropriate; when latent selection dominates and covariates are incomplete, KCOR provides a diagnostics-driven cumulative comparison that is stable under selection-only regimes.</w:t>
      </w:r>
    </w:p>
    <w:bookmarkEnd w:id="17"/>
    <w:bookmarkStart w:id="18" w:name="restricted-mean-survival-time-rmst"/>
    <w:p>
      <w:pPr>
        <w:pStyle w:val="Heading4"/>
      </w:pPr>
      <w:r>
        <w:t xml:space="preserve">1.3.2 Restricted Mean Survival Time (RMST)</w:t>
      </w:r>
    </w:p>
    <w:p>
      <w:pPr>
        <w:pStyle w:val="FirstParagraph"/>
      </w:pPr>
      <w:r>
        <w:t xml:space="preserve">Restricted mean survival time (RMST) has been proposed as an alternative summary estimand in settings where proportional hazards do not hold, as it represents the area under the survival curve up to a prespecified time horizon. RMST can offer an interpretable population-level summary of survival experience without relying on hazard ratio assumptions.</w:t>
      </w:r>
    </w:p>
    <w:p>
      <w:pPr>
        <w:pStyle w:val="BodyText"/>
      </w:pPr>
      <w:r>
        <w:t xml:space="preserve">However, RMST does not by itself address selection-induced frailty heterogeneity or depletion of susceptibles. In retrospective cohorts affected by latent selection, survival curves reflect populations whose composition evolves differently over time across cohorts. As a result, RMST summarizes survival differences that may reflect depletion rather than treatment effect and does not normalize selection-induced depletion geometry. This limitation is structural and does not vanish with larger samples or improved matching.</w:t>
      </w:r>
    </w:p>
    <w:p>
      <w:pPr>
        <w:pStyle w:val="BodyText"/>
      </w:pPr>
      <w:r>
        <w:t xml:space="preserve">KCOR differs conceptually in that it explicitly estimates and removes depletion-induced curvature in cumulative-hazard space prior to cohort comparison. RMST could in principle be computed after depletion normalization as a secondary descriptive summary, but it is not the primary estimand of interest in this framework. Accordingly, KCOR targets cumulative hazard contrasts directly, as these are the quantities rendered comparable by depletion normalization.</w:t>
      </w:r>
    </w:p>
    <w:bookmarkEnd w:id="18"/>
    <w:bookmarkEnd w:id="19"/>
    <w:bookmarkStart w:id="22" w:name="X3f76dee37168b4797631ddc9e3d31862803de93"/>
    <w:p>
      <w:pPr>
        <w:pStyle w:val="Heading3"/>
      </w:pPr>
      <w:r>
        <w:t xml:space="preserve">1.4 Evidence from the literature: residual confounding despite meticulous matching</w:t>
      </w:r>
    </w:p>
    <w:p>
      <w:pPr>
        <w:pStyle w:val="FirstParagraph"/>
      </w:pPr>
      <w:r>
        <w:t xml:space="preserve">One motivating illustrative case involves two large, rigorously designed observational analyses that demonstrate the core empirical motivation: even extremely careful matching and adjustment can leave large residual differences in non-COVID mortality, indicating confounding and selection that standard pipelines do not eliminate.</w:t>
      </w:r>
    </w:p>
    <w:bookmarkStart w:id="20"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20"/>
    <w:bookmarkStart w:id="21"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1 summarizes these findings.</w:t>
      </w:r>
    </w:p>
    <w:bookmarkEnd w:id="21"/>
    <w:bookmarkEnd w:id="22"/>
    <w:bookmarkStart w:id="23" w:name="contribution-of-this-work"/>
    <w:p>
      <w:pPr>
        <w:pStyle w:val="Heading3"/>
      </w:pPr>
      <w:r>
        <w:t xml:space="preserve">1.5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 These approaches differ not only in modeling strategy but in estimand: most existing methods target instantaneous or survival-conditional contrasts, whereas KCOR targets cumulative outcomes after explicit normalization of selection-induced depletion geometry.</w:t>
      </w:r>
    </w:p>
    <w:p>
      <w:pPr>
        <w:pStyle w:val="BodyText"/>
      </w:pPr>
      <w:r>
        <w:t xml:space="preserve">PLACEHOLDER See Table 2.</w:t>
      </w:r>
    </w:p>
    <w:p>
      <w:pPr>
        <w:pStyle w:val="BodyText"/>
      </w:pPr>
      <w:r>
        <w:t xml:space="preserve">Most retrospective approaches either compare cohorts under proportional-hazards assumptions, balance measured confounding, or diagnose bias without removing it. KCOR occupies a distinct role: it neutralizes selection-induced depletion dynamics via gamma-frailty inversion and then extracts the cohort contrast using a cumulative hazard ratio (KCOR), which is the estimand reported.</w:t>
      </w:r>
    </w:p>
    <w:p>
      <w:pPr>
        <w:pStyle w:val="BodyText"/>
      </w:pPr>
      <w:r>
        <w:t xml:space="preserve">PLACEHOLDER See Table 3.</w:t>
      </w:r>
    </w:p>
    <w:bookmarkEnd w:id="23"/>
    <w:bookmarkStart w:id="24" w:name="target-estimand-and-interpretation"/>
    <w:p>
      <w:pPr>
        <w:pStyle w:val="Heading3"/>
      </w:pPr>
      <w:r>
        <w:t xml:space="preserve">1.6 Target estimand and interpretation</w:t>
      </w:r>
    </w:p>
    <w:p>
      <w:pPr>
        <w:pStyle w:val="FirstParagraph"/>
      </w:pPr>
      <w:r>
        <w:t xml:space="preserve">KCOR is proposed as a diagnostic and normalization estimator for selection-induced hazard curvature; causal interpretation requires additional assumptions beyond the scope of this methods paper. This manuscript is</w:t>
      </w:r>
      <w:r>
        <w:t xml:space="preserve"> </w:t>
      </w:r>
      <w:r>
        <w:rPr>
          <w:b/>
          <w:bCs/>
        </w:rPr>
        <w:t xml:space="preserve">methods-only</w:t>
      </w:r>
      <w:r>
        <w:t xml:space="preserve">: we present the estimator, model assumptions, and uncertainty quantification; we validate the method using prespecified negative and positive controls designed to stress selection-induced curvature; and we defer any applied real-world intervention conclusions to a separate, dedicated applied paper.</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w:t>
      </w:r>
      <w:r>
        <w:t xml:space="preserve"> </w:t>
      </w:r>
      <w:r>
        <w:t xml:space="preserve">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1.</w:t>
      </w:r>
    </w:p>
    <w:p>
      <w:pPr>
        <w:pStyle w:val="BodyText"/>
      </w:pPr>
      <w:r>
        <w:rPr>
          <w:b/>
          <w:bCs/>
        </w:rPr>
        <w:t xml:space="preserve">Scope and role of the method.</w:t>
      </w:r>
      <w:r>
        <w:t xml:space="preserve"> </w:t>
      </w:r>
      <w:r>
        <w:t xml:space="preserve">This work does not claim that observational analyses can replace randomized clinical trials for causal inference. Rather, the objective is to provide a descriptive and diagnostic framework for analyzing time-indexed outcomes in fixed cohorts when randomized evidence is unavailable, incomplete, or inapplicable. The proposed method is intended to complement—not substitute for—trial-based evidence by identifying systematic temporal distortions and cohort effects that can arise in retrospective data.</w:t>
      </w:r>
    </w:p>
    <w:bookmarkEnd w:id="24"/>
    <w:bookmarkStart w:id="25" w:name="relation-to-causal-inference-frameworks"/>
    <w:p>
      <w:pPr>
        <w:pStyle w:val="Heading3"/>
      </w:pPr>
      <w:r>
        <w:t xml:space="preserve">1.7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invalidate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pPr>
        <w:pStyle w:val="BodyText"/>
      </w:pPr>
      <w:r>
        <w:rPr>
          <w:b/>
          <w:bCs/>
        </w:rPr>
        <w:t xml:space="preserve">Clarifications.</w:t>
      </w:r>
      <w:r>
        <w:t xml:space="preserve"> </w:t>
      </w:r>
      <w:r>
        <w:t xml:space="preserve">KCOR is a depletion-neutralization framework for</w:t>
      </w:r>
      <w:r>
        <w:t xml:space="preserve"> </w:t>
      </w:r>
      <w:r>
        <w:rPr>
          <w:b/>
          <w:bCs/>
        </w:rPr>
        <w:t xml:space="preserve">cumulative</w:t>
      </w:r>
      <w:r>
        <w:t xml:space="preserve"> </w:t>
      </w:r>
      <w:r>
        <w:t xml:space="preserve">outcome contrasts over follow-up time, not a proportional-hazards model and not a causal identification strategy. The gamma-frailty component is used as a</w:t>
      </w:r>
      <w:r>
        <w:t xml:space="preserve"> </w:t>
      </w:r>
      <w:r>
        <w:rPr>
          <w:b/>
          <w:bCs/>
        </w:rPr>
        <w:t xml:space="preserve">working statistical device</w:t>
      </w:r>
      <w:r>
        <w:t xml:space="preserve"> </w:t>
      </w:r>
      <w:r>
        <w:t xml:space="preserve">to remove selection-induced hazard curvature within fixed cohorts; it is not a claim that individual frailty is literally gamma-distributed or biologically interpretable. KCOR’s target is a time-indexed cumulative contrast (e.g., a cumulative hazard ratio), intended for settings where selection-driven depletion and incomplete covariate capture undermine hazard-based causal interpretations.</w:t>
      </w:r>
    </w:p>
    <w:bookmarkEnd w:id="25"/>
    <w:bookmarkStart w:id="26" w:name="competing-approaches-and-evaluation-plan"/>
    <w:p>
      <w:pPr>
        <w:pStyle w:val="Heading3"/>
      </w:pPr>
      <w:r>
        <w:t xml:space="preserve">1.8 Competing approaches and evaluation plan</w:t>
      </w:r>
    </w:p>
    <w:p>
      <w:pPr>
        <w:pStyle w:val="FirstParagraph"/>
      </w:pPr>
      <w:r>
        <w:t xml:space="preserve">To clarify the role of KCOR relative to existing survival-analysis approaches, we distinguish methods by both modeling assumptions and estimands. Competing approaches considered in evaluation include Cox proportional hazards models, Cox models with time-varying coefficients, Cox models with frailty terms, additive hazards models, flexible parametric survival models, and restricted mean survival time (RMST). These methods are included because they are commonly applied in retrospective cohort settings with non-proportional hazards.</w:t>
      </w:r>
    </w:p>
    <w:p>
      <w:pPr>
        <w:pStyle w:val="BodyText"/>
      </w:pPr>
      <w:r>
        <w:t xml:space="preserve">Evaluation focuses on settings where only minimal registry data are available (dates of birth, intervention, and event), and where selection-induced frailty heterogeneity produces curvature in cumulative-hazard space. Performance is assessed using prespecified simulation designs that vary frailty variance, selection strength, and external hazard stability, with estimands compared on bias, stability, and interpretability rather than goodness-of-fit alone.</w:t>
      </w:r>
    </w:p>
    <w:p>
      <w:pPr>
        <w:pStyle w:val="BodyText"/>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5"/>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5"/>
        </w:numPr>
      </w:pPr>
      <w:r>
        <w:rPr>
          <w:b/>
          <w:bCs/>
        </w:rPr>
        <w:t xml:space="preserve">Cumulative hazard estimation</w:t>
      </w:r>
      <w:r>
        <w:t xml:space="preserve">: Discrete-time hazards are computed from event counts and risk sets, then accumulated into observed cumulative hazards after an optional stabilization skip period:</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p>
      <w:pPr>
        <w:pStyle w:val="Compact"/>
        <w:numPr>
          <w:ilvl w:val="0"/>
          <w:numId w:val="1006"/>
        </w:numPr>
      </w:pPr>
      <w:r>
        <w:rPr>
          <w:b/>
          <w:bCs/>
        </w:rPr>
        <w:t xml:space="preserve">Quiet-window frailty fit</w:t>
      </w:r>
      <w:r>
        <w:t xml:space="preserve">: During epidemiologically quiet periods (free of external shocks), cohort-specific frailty variance parameters</w:t>
      </w:r>
      <w:r>
        <w:t xml:space="preserve"> </w:t>
      </w:r>
      <m:oMath>
        <m:sSub>
          <m:e>
            <m:acc>
              <m:accPr>
                <m:chr m:val="̂"/>
              </m:accPr>
              <m:e>
                <m:r>
                  <m:t>θ</m:t>
                </m:r>
              </m:e>
            </m:acc>
          </m:e>
          <m:sub>
            <m:r>
              <m:t>d</m:t>
            </m:r>
          </m:sub>
        </m:sSub>
      </m:oMath>
      <w:r>
        <w:t xml:space="preserve"> </w:t>
      </w:r>
      <w:r>
        <w:t xml:space="preserve">and baseline hazard levels</w:t>
      </w:r>
      <w:r>
        <w:t xml:space="preserve"> </w:t>
      </w:r>
      <m:oMath>
        <m:sSub>
          <m:e>
            <m:acc>
              <m:accPr>
                <m:chr m:val="̂"/>
              </m:accPr>
              <m:e>
                <m:r>
                  <m:t>k</m:t>
                </m:r>
              </m:e>
            </m:acc>
          </m:e>
          <m:sub>
            <m:r>
              <m:t>d</m:t>
            </m:r>
          </m:sub>
        </m:sSub>
      </m:oMath>
      <w:r>
        <w:t xml:space="preserve"> </w:t>
      </w:r>
      <w:r>
        <w:t xml:space="preserve">are estimated via nonlinear least squares by fitting the gamma-frailty identity:</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Under the reference constant-baseline specification over the quiet window:</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m:oMathPara>
    </w:p>
    <w:p>
      <w:pPr>
        <w:pStyle w:val="Compact"/>
        <w:numPr>
          <w:ilvl w:val="0"/>
          <w:numId w:val="1007"/>
        </w:numPr>
      </w:pPr>
      <w:r>
        <w:rPr>
          <w:b/>
          <w:bCs/>
        </w:rPr>
        <w:t xml:space="preserve">Gamma inversion</w:t>
      </w:r>
      <w:r>
        <w:t xml:space="preserve">: The fitted frailty parameters are used to invert the gamma-frailty identity, transforming observed cumulative hazards into depletion-neutralized baseline cumulative hazards:</w:t>
      </w:r>
    </w:p>
    <w:p>
      <w:pPr>
        <w:pStyle w:val="FirstParagraph"/>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m:oMathPara>
    </w:p>
    <w:p>
      <w:pPr>
        <w:pStyle w:val="Compact"/>
        <w:numPr>
          <w:ilvl w:val="0"/>
          <w:numId w:val="1008"/>
        </w:numPr>
      </w:pPr>
      <w:r>
        <w:rPr>
          <w:b/>
          <w:bCs/>
        </w:rPr>
        <w:t xml:space="preserve">KCOR ratio</w:t>
      </w:r>
      <w:r>
        <w:t xml:space="preserve">: Cohorts are compared via the ratio of depletion-neutralized baseline cumulative hazards:</w:t>
      </w:r>
    </w:p>
    <w:p>
      <w:pPr>
        <w:pStyle w:val="FirstParagraph"/>
      </w:pP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Compact"/>
        <w:numPr>
          <w:ilvl w:val="0"/>
          <w:numId w:val="1009"/>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bookmarkEnd w:id="26"/>
    <w:bookmarkEnd w:id="27"/>
    <w:bookmarkStart w:id="28" w:name="methods"/>
    <w:p>
      <w:pPr>
        <w:pStyle w:val="Heading2"/>
      </w:pPr>
      <w:r>
        <w:t xml:space="preserve">2. Methods</w:t>
      </w:r>
    </w:p>
    <w:p>
      <w:pPr>
        <w:pStyle w:val="FirstParagraph"/>
      </w:pPr>
      <w:r>
        <w:t xml:space="preserve">While mortality is used as the primary example throughout this section, KCOR applies to any irreversible event process. The methodological framework is event-agnostic; mortality serves as a concrete illustration because it is objectively defined and reliably recorded in many administrative datasets.</w:t>
      </w:r>
    </w:p>
    <w:p>
      <w:pPr>
        <w:pStyle w:val="BodyText"/>
      </w:pPr>
      <w:r>
        <w:t xml:space="preserve">Table 4 defines the notation used throughout the Methods section.</w:t>
      </w:r>
    </w:p>
    <w:p>
      <w:pPr>
        <w:pStyle w:val="BodyText"/>
      </w:pPr>
      <w:r>
        <w:t xml:space="preserve">For COVID-19 vaccination analyses, intervention count corresponds to the number of vaccine doses received; more generally, this can index any discrete exposure level.</w:t>
      </w:r>
    </w:p>
    <w:bookmarkEnd w:id="28"/>
    <w:bookmarkStart w:id="32" w:name="conceptual-framework-and-estimand"/>
    <w:p>
      <w:pPr>
        <w:pStyle w:val="Heading2"/>
      </w:pPr>
      <w:r>
        <w:t xml:space="preserve">2.1 Conceptual framework and estimand</w:t>
      </w:r>
    </w:p>
    <w:p>
      <w:pPr>
        <w:pStyle w:val="FirstParagraph"/>
      </w:pPr>
      <w:r>
        <w:t xml:space="preserve">Retrospective cohort differences can arise from two qualitatively different components:</w:t>
      </w:r>
    </w:p>
    <w:p>
      <w:pPr>
        <w:pStyle w:val="Compact"/>
        <w:numPr>
          <w:ilvl w:val="0"/>
          <w:numId w:val="1010"/>
        </w:numPr>
      </w:pPr>
      <w:r>
        <w:rPr>
          <w:b/>
          <w:bCs/>
        </w:rPr>
        <w:t xml:space="preserve">Level differences</w:t>
      </w:r>
      <w:r>
        <w:t xml:space="preserve">: cohort hazards differ by an approximately time-stable multiplicative factor (or, equivalently, cumulative hazards have different slopes but similar shape).</w:t>
      </w:r>
    </w:p>
    <w:p>
      <w:pPr>
        <w:pStyle w:val="Compact"/>
        <w:numPr>
          <w:ilvl w:val="0"/>
          <w:numId w:val="1010"/>
        </w:numPr>
      </w:pPr>
      <w:r>
        <w:rPr>
          <w:b/>
          <w:bCs/>
        </w:rPr>
        <w:t xml:space="preserve">Depletion (curvature) differences</w:t>
      </w:r>
      <w:r>
        <w:t xml:space="preserve">: cohort hazards evolve differently over time because cohorts differ in latent heterogeneity and are</w:t>
      </w:r>
      <w:r>
        <w:t xml:space="preserve"> </w:t>
      </w:r>
      <w:r>
        <w:rPr>
          <w:b/>
          <w:bCs/>
        </w:rPr>
        <w:t xml:space="preserve">selectively depleted</w:t>
      </w:r>
      <w:r>
        <w:t xml:space="preserve"> </w:t>
      </w:r>
      <w:r>
        <w:t xml:space="preserve">at different rates.</w:t>
      </w:r>
    </w:p>
    <w:p>
      <w:pPr>
        <w:pStyle w:val="FirstParagraph"/>
      </w:pPr>
      <w:r>
        <w:t xml:space="preserve">KCOR targets the second failure mode. Under latent frailty heterogeneity, high-risk individuals die earlier, so the surviving risk set becomes progressively</w:t>
      </w:r>
      <w:r>
        <w:t xml:space="preserve"> </w:t>
      </w:r>
      <w:r>
        <w:t xml:space="preserve">“healthier.”</w:t>
      </w:r>
      <w:r>
        <w:t xml:space="preserve"> </w:t>
      </w:r>
      <w:r>
        <w:t xml:space="preserve">This induces</w:t>
      </w:r>
      <w:r>
        <w:t xml:space="preserve"> </w:t>
      </w:r>
      <w:r>
        <w:rPr>
          <w:b/>
          <w:bCs/>
        </w:rPr>
        <w:t xml:space="preserve">downward curvature</w:t>
      </w:r>
      <w:r>
        <w:t xml:space="preserve"> </w:t>
      </w:r>
      <w:r>
        <w:t xml:space="preserve">(deceleration) in cohort hazards and corresponding concavity in cumulative-hazard space, even when individual-level hazards are simple and even under a true null treatment effect. When selection concentrates frailty heterogeneity differently across cohorts, the resulting curvature differences produce strong non-proportional hazards and can drive misleading contrasts for estimands that condition on the evolving risk set.</w:t>
      </w:r>
    </w:p>
    <w:p>
      <w:pPr>
        <w:pStyle w:val="BodyText"/>
      </w:pPr>
      <w:r>
        <w:t xml:space="preserve">KCOR’s strategy is therefore:</w:t>
      </w:r>
    </w:p>
    <w:p>
      <w:pPr>
        <w:pStyle w:val="Compact"/>
        <w:numPr>
          <w:ilvl w:val="0"/>
          <w:numId w:val="1011"/>
        </w:numPr>
      </w:pPr>
      <w:r>
        <w:rPr>
          <w:b/>
          <w:bCs/>
        </w:rPr>
        <w:t xml:space="preserve">Estimate the cohort-specific depletion geometry</w:t>
      </w:r>
      <w:r>
        <w:t xml:space="preserve"> </w:t>
      </w:r>
      <w:r>
        <w:t xml:space="preserve">(via curvature) during prespecified epidemiologically quiet periods.</w:t>
      </w:r>
    </w:p>
    <w:p>
      <w:pPr>
        <w:pStyle w:val="Compact"/>
        <w:numPr>
          <w:ilvl w:val="0"/>
          <w:numId w:val="1011"/>
        </w:numPr>
      </w:pPr>
      <w:r>
        <w:rPr>
          <w:b/>
          <w:bCs/>
        </w:rPr>
        <w:t xml:space="preserve">Map observed cumulative hazards into a depletion-neutralized space</w:t>
      </w:r>
      <w:r>
        <w:t xml:space="preserve"> </w:t>
      </w:r>
      <w:r>
        <w:t xml:space="preserve">by inverting that geometry.</w:t>
      </w:r>
    </w:p>
    <w:p>
      <w:pPr>
        <w:pStyle w:val="Compact"/>
        <w:numPr>
          <w:ilvl w:val="0"/>
          <w:numId w:val="1011"/>
        </w:numPr>
      </w:pPr>
      <w:r>
        <w:rPr>
          <w:b/>
          <w:bCs/>
        </w:rPr>
        <w:t xml:space="preserve">Compare cohorts only after normalization</w:t>
      </w:r>
      <w:r>
        <w:t xml:space="preserve">, using a cumulative-hazard ratio defined on the depletion-neutralized scale.</w:t>
      </w:r>
    </w:p>
    <w:bookmarkStart w:id="30" w:name="target-estimand"/>
    <w:p>
      <w:pPr>
        <w:pStyle w:val="Heading3"/>
      </w:pPr>
      <w:r>
        <w:t xml:space="preserve">2.1.1 Target estimand</w:t>
      </w:r>
    </w:p>
    <w:p>
      <w:pPr>
        <w:pStyle w:val="FirstParagraph"/>
      </w:pPr>
      <w:r>
        <w:t xml:space="preserve">Let</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denote the</w:t>
      </w:r>
      <w:r>
        <w:t xml:space="preserve"> </w:t>
      </w:r>
      <w:r>
        <w:rPr>
          <w:b/>
          <w:bCs/>
        </w:rPr>
        <w:t xml:space="preserve">depletion-neutralized baseline cumulative hazard</w:t>
      </w:r>
      <w:r>
        <w:t xml:space="preserve"> </w:t>
      </w:r>
      <w:r>
        <w:t xml:space="preserve">for cohort</w:t>
      </w:r>
      <w:r>
        <w:t xml:space="preserve"> </w:t>
      </w:r>
      <m:oMath>
        <m:r>
          <m:t>d</m:t>
        </m:r>
      </m:oMath>
      <w:r>
        <w:t xml:space="preserve"> </w:t>
      </w:r>
      <w:r>
        <w:t xml:space="preserve">at event time</w:t>
      </w:r>
      <w:r>
        <w:t xml:space="preserve"> </w:t>
      </w:r>
      <m:oMath>
        <m:r>
          <m:t>t</m:t>
        </m:r>
      </m:oMath>
      <w:r>
        <w:t xml:space="preserve"> </w:t>
      </w:r>
      <w:r>
        <w:t xml:space="preserve">since enrollment (Table 4). For two cohorts</w:t>
      </w:r>
      <w:r>
        <w:t xml:space="preserve"> </w:t>
      </w:r>
      <m:oMath>
        <m:r>
          <m:t>A</m:t>
        </m:r>
      </m:oMath>
      <w:r>
        <w:t xml:space="preserve"> </w:t>
      </w:r>
      <w:r>
        <w:t xml:space="preserve">and</w:t>
      </w:r>
      <w:r>
        <w:t xml:space="preserve"> </w:t>
      </w:r>
      <m:oMath>
        <m:r>
          <m:t>B</m:t>
        </m:r>
      </m:oMath>
      <w:r>
        <w:t xml:space="preserve">, KCOR is defined as</w:t>
      </w:r>
    </w:p>
    <w:bookmarkStart w:id="29" w:name="eq:kcor-estimand"/>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m:t>
        </m:r>
        <m:r>
          <m:rPr>
            <m:sty m:val="p"/>
          </m:rPr>
          <m:t>)</m:t>
        </m:r>
      </m:oMath>
    </w:p>
    <w:bookmarkEnd w:id="29"/>
    <w:p>
      <w:pPr>
        <w:pStyle w:val="BodyText"/>
      </w:pPr>
      <w:r>
        <w:t xml:space="preserve">Unlike hazard ratios, KCOR compares cumulative hazard accumulation over time and does not rely on proportional hazards assumptions or conditioning on survival at time</w:t>
      </w:r>
      <w:r>
        <w:t xml:space="preserve"> </w:t>
      </w:r>
      <m:oMath>
        <m:r>
          <m:t>t</m:t>
        </m:r>
      </m:oMath>
      <w:r>
        <w:t xml:space="preserve">.</w:t>
      </w:r>
    </w:p>
    <w:p>
      <w:pPr>
        <w:pStyle w:val="BodyText"/>
      </w:pPr>
      <w:r>
        <w:rPr>
          <w:b/>
          <w:bCs/>
        </w:rPr>
        <w:t xml:space="preserve">Interpretation (unanchored KCOR).</w:t>
      </w:r>
      <w:r>
        <w:t xml:space="preserve"> </w:t>
      </w:r>
      <w:r>
        <w:t xml:space="preserve">KCOR(t) is the ratio of depletion-normalized cumulative baseline hazards accumulated by two cohorts from enrollment to time</w:t>
      </w:r>
      <w:r>
        <w:t xml:space="preserve"> </w:t>
      </w:r>
      <m:oMath>
        <m:r>
          <m:t>t</m:t>
        </m:r>
      </m:oMath>
      <w:r>
        <w:t xml:space="preserve">.</w:t>
      </w:r>
      <w:r>
        <w:t xml:space="preserve"> </w:t>
      </w:r>
      <w:r>
        <w:t xml:space="preserve">KCOR(t) &gt; 1 indicates that, after accounting for selection-induced depletion via frailty normalization, cohort A has accumulated greater cumulative hazard than cohort B over</w:t>
      </w:r>
      <w:r>
        <w:t xml:space="preserve"> </w:t>
      </w:r>
      <m:oMath>
        <m:r>
          <m:rPr>
            <m:sty m:val="p"/>
          </m:rPr>
          <m:t>[</m:t>
        </m:r>
        <m:r>
          <m:t>0</m:t>
        </m:r>
        <m:r>
          <m:rPr>
            <m:sty m:val="p"/>
          </m:rPr>
          <m:t>,</m:t>
        </m:r>
        <m:r>
          <m:t>t</m:t>
        </m:r>
        <m:r>
          <m:rPr>
            <m:sty m:val="p"/>
          </m:rPr>
          <m:t>]</m:t>
        </m:r>
      </m:oMath>
      <w:r>
        <w:t xml:space="preserve">.</w:t>
      </w:r>
      <w:r>
        <w:t xml:space="preserve"> </w:t>
      </w:r>
      <w:r>
        <w:t xml:space="preserve">Because KCOR(t) reflects cumulative hazard levels rather than instantaneous rates, it incorporates both baseline hazard differences and any pre-existing cohort differences present at enrollment.</w:t>
      </w:r>
      <w:r>
        <w:t xml:space="preserve"> </w:t>
      </w:r>
      <w:r>
        <w:t xml:space="preserve">Unanchored KCOR is level-dependent and retains baseline offsets; it is not centered at 1 even under parallel hazards.</w:t>
      </w:r>
    </w:p>
    <w:p>
      <w:pPr>
        <w:pStyle w:val="BodyText"/>
      </w:pPr>
      <w:r>
        <w:t xml:space="preserve">In some applications we additionally report an</w:t>
      </w:r>
      <w:r>
        <w:t xml:space="preserve"> </w:t>
      </w:r>
      <w:r>
        <w:rPr>
          <w:b/>
          <w:bCs/>
        </w:rPr>
        <w:t xml:space="preserve">anchored (baseline-normalized) KCOR</w:t>
      </w:r>
      <w:r>
        <w:t xml:space="preserve"> </w:t>
      </w:r>
      <w:r>
        <w:t xml:space="preserve">that removes the time-invariant multiplicative level difference between cohorts:</w:t>
      </w:r>
    </w:p>
    <w:p>
      <w:pPr>
        <w:pStyle w:val="BodyText"/>
      </w:pPr>
      <m:oMathPara>
        <m:oMathParaPr>
          <m:jc m:val="center"/>
        </m:oMathParaP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r>
            <m:t> </m:t>
          </m:r>
          <m:r>
            <m:rPr>
              <m:sty m:val="p"/>
            </m:rPr>
            <m:t>=</m:t>
          </m:r>
          <m:r>
            <m:t> </m:t>
          </m:r>
          <m:f>
            <m:fPr>
              <m:type m:val="bar"/>
            </m:fPr>
            <m:num>
              <m:r>
                <m:rPr>
                  <m:sty m:val="p"/>
                </m:rPr>
                <m:t>K</m:t>
              </m:r>
              <m:r>
                <m:rPr>
                  <m:sty m:val="p"/>
                </m:rPr>
                <m:t>C</m:t>
              </m:r>
              <m:r>
                <m:rPr>
                  <m:sty m:val="p"/>
                </m:rPr>
                <m:t>O</m:t>
              </m:r>
              <m:r>
                <m:rPr>
                  <m:sty m:val="p"/>
                </m:rPr>
                <m:t>R</m:t>
              </m:r>
              <m:r>
                <m:rPr>
                  <m:sty m:val="p"/>
                </m:rPr>
                <m:t>(</m:t>
              </m:r>
              <m:r>
                <m:t>t</m:t>
              </m:r>
              <m:r>
                <m:rPr>
                  <m:sty m:val="p"/>
                </m:rPr>
                <m:t>)</m:t>
              </m:r>
            </m:num>
            <m:den>
              <m:r>
                <m:rPr>
                  <m:sty m:val="p"/>
                </m:rPr>
                <m:t>K</m:t>
              </m:r>
              <m:r>
                <m:rPr>
                  <m:sty m:val="p"/>
                </m:rPr>
                <m:t>C</m:t>
              </m:r>
              <m:r>
                <m:rPr>
                  <m:sty m:val="p"/>
                </m:rPr>
                <m:t>O</m:t>
              </m:r>
              <m:r>
                <m:rPr>
                  <m:sty m:val="p"/>
                </m:rPr>
                <m:t>R</m:t>
              </m:r>
              <m:r>
                <m:rPr>
                  <m:sty m:val="p"/>
                </m:rPr>
                <m:t>(</m:t>
              </m:r>
              <m:sSub>
                <m:e>
                  <m:r>
                    <m:t>t</m:t>
                  </m:r>
                </m:e>
                <m:sub>
                  <m:r>
                    <m:t>0</m:t>
                  </m:r>
                </m:sub>
              </m:sSub>
              <m:r>
                <m:rPr>
                  <m:sty m:val="p"/>
                </m:rPr>
                <m:t>)</m:t>
              </m:r>
            </m:den>
          </m:f>
          <m:r>
            <m:t> </m:t>
          </m:r>
          <m:r>
            <m:rPr>
              <m:sty m:val="p"/>
            </m:rPr>
            <m:t>=</m:t>
          </m:r>
          <m:r>
            <m:t> </m:t>
          </m:r>
          <m:f>
            <m:fPr>
              <m:type m:val="bar"/>
            </m:fPr>
            <m:num>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num>
            <m:den>
              <m:sSub>
                <m:e>
                  <m:acc>
                    <m:accPr>
                      <m:chr m:val="̃"/>
                    </m:accPr>
                    <m:e>
                      <m:r>
                        <m:t>H</m:t>
                      </m:r>
                    </m:e>
                  </m:acc>
                </m:e>
                <m:sub>
                  <m:r>
                    <m:t>0</m:t>
                  </m:r>
                  <m:r>
                    <m:rPr>
                      <m:sty m:val="p"/>
                    </m:rPr>
                    <m:t>,</m:t>
                  </m:r>
                  <m:r>
                    <m:t>A</m:t>
                  </m:r>
                </m:sub>
              </m:sSub>
              <m:r>
                <m:rPr>
                  <m:sty m:val="p"/>
                </m:rPr>
                <m:t>(</m:t>
              </m:r>
              <m:sSub>
                <m:e>
                  <m:r>
                    <m:t>t</m:t>
                  </m:r>
                </m:e>
                <m:sub>
                  <m:r>
                    <m:t>0</m:t>
                  </m:r>
                </m:sub>
              </m:sSub>
              <m:r>
                <m:rPr>
                  <m:sty m:val="p"/>
                </m:rPr>
                <m:t>)</m:t>
              </m:r>
              <m:r>
                <m:rPr>
                  <m:sty m:val="p"/>
                </m:rPr>
                <m:t>/</m:t>
              </m:r>
              <m:sSub>
                <m:e>
                  <m:acc>
                    <m:accPr>
                      <m:chr m:val="̃"/>
                    </m:accPr>
                    <m:e>
                      <m:r>
                        <m:t>H</m:t>
                      </m:r>
                    </m:e>
                  </m:acc>
                </m:e>
                <m:sub>
                  <m:r>
                    <m:t>0</m:t>
                  </m:r>
                  <m:r>
                    <m:rPr>
                      <m:sty m:val="p"/>
                    </m:rPr>
                    <m:t>,</m:t>
                  </m:r>
                  <m:r>
                    <m:t>B</m:t>
                  </m:r>
                </m:sub>
              </m:sSub>
              <m:r>
                <m:rPr>
                  <m:sty m:val="p"/>
                </m:rPr>
                <m:t>(</m:t>
              </m:r>
              <m:sSub>
                <m:e>
                  <m:r>
                    <m:t>t</m:t>
                  </m:r>
                </m:e>
                <m:sub>
                  <m:r>
                    <m:t>0</m:t>
                  </m:r>
                </m:sub>
              </m:sSub>
              <m:r>
                <m:rPr>
                  <m:sty m:val="p"/>
                </m:rPr>
                <m:t>)</m:t>
              </m:r>
            </m:den>
          </m:f>
          <m:r>
            <m:rPr>
              <m:sty m:val="p"/>
            </m:rPr>
            <m:t>.</m:t>
          </m:r>
        </m:oMath>
      </m:oMathPara>
    </w:p>
    <w:p>
      <w:pPr>
        <w:pStyle w:val="FirstParagraph"/>
      </w:pPr>
      <w:r>
        <w:t xml:space="preserve">Here</w:t>
      </w:r>
      <w:r>
        <w:t xml:space="preserve"> </w:t>
      </w:r>
      <m:oMath>
        <m:sSub>
          <m:e>
            <m:r>
              <m:t>t</m:t>
            </m:r>
          </m:e>
          <m:sub>
            <m:r>
              <m:t>0</m:t>
            </m:r>
          </m:sub>
        </m:sSub>
      </m:oMath>
      <w:r>
        <w:t xml:space="preserve"> </w:t>
      </w:r>
      <w:r>
        <w:t xml:space="preserve">is a prespecified post-enrollment anchor time (e.g., a few weeks after enrollment) chosen after any initial stabilization period but early enough to avoid masking near-term intervention effects. By construction,</w:t>
      </w:r>
      <w:r>
        <w:t xml:space="preserve"> </w:t>
      </w:r>
      <m:oMath>
        <m:r>
          <m:rPr>
            <m:sty m:val="p"/>
          </m:rPr>
          <m:t>K</m:t>
        </m:r>
        <m:r>
          <m:rPr>
            <m:sty m:val="p"/>
          </m:rPr>
          <m:t>C</m:t>
        </m:r>
        <m:r>
          <m:rPr>
            <m:sty m:val="p"/>
          </m:rPr>
          <m:t>O</m:t>
        </m:r>
        <m:r>
          <m:rPr>
            <m:sty m:val="p"/>
          </m:rPr>
          <m:t>R</m:t>
        </m:r>
        <m:r>
          <m:rPr>
            <m:sty m:val="p"/>
          </m:rPr>
          <m:t>(</m:t>
        </m:r>
        <m:sSub>
          <m:e>
            <m:r>
              <m:t>t</m:t>
            </m:r>
          </m:e>
          <m:sub>
            <m:r>
              <m:t>0</m:t>
            </m:r>
          </m:sub>
        </m:sSub>
        <m:r>
          <m:rPr>
            <m:sty m:val="p"/>
          </m:rPr>
          <m:t>;</m:t>
        </m:r>
        <m:sSub>
          <m:e>
            <m:r>
              <m:t>t</m:t>
            </m:r>
          </m:e>
          <m:sub>
            <m:r>
              <m:t>0</m:t>
            </m:r>
          </m:sub>
        </m:sSub>
        <m:r>
          <m:rPr>
            <m:sty m:val="p"/>
          </m:rPr>
          <m:t>)</m:t>
        </m:r>
        <m:r>
          <m:rPr>
            <m:sty m:val="p"/>
          </m:rPr>
          <m:t>=</m:t>
        </m:r>
        <m:r>
          <m:t>1</m:t>
        </m:r>
      </m:oMath>
      <w:r>
        <w:t xml:space="preserve">, so departures from 1 reflect</w:t>
      </w:r>
      <w:r>
        <w:t xml:space="preserve"> </w:t>
      </w:r>
      <w:r>
        <w:rPr>
          <w:b/>
          <w:bCs/>
        </w:rPr>
        <w:t xml:space="preserve">relative divergence after</w:t>
      </w:r>
      <w:r>
        <w:rPr>
          <w:b/>
          <w:bCs/>
        </w:rPr>
        <w:t xml:space="preserve"> </w:t>
      </w:r>
      <m:oMath>
        <m:sSub>
          <m:e>
            <m:r>
              <m:t>t</m:t>
            </m:r>
          </m:e>
          <m:sub>
            <m:r>
              <m:t>0</m:t>
            </m:r>
          </m:sub>
        </m:sSub>
      </m:oMath>
      <w:r>
        <w:t xml:space="preserve">, whereas the unanchored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also preserves baseline level differences that may reflect residual baseline-risk differences.</w:t>
      </w:r>
    </w:p>
    <w:p>
      <w:pPr>
        <w:pStyle w:val="BodyText"/>
      </w:pPr>
      <w:r>
        <w:rPr>
          <w:b/>
          <w:bCs/>
        </w:rPr>
        <w:t xml:space="preserve">Interpretation (anchored KCOR).</w:t>
      </w:r>
      <w:r>
        <w:t xml:space="preserve"> </w:t>
      </w:r>
      <w:r>
        <w:t xml:space="preserve">Anchoring removes pre-existing cumulative differences between cohorts and isolates relative divergence in cumulative hazard after</w:t>
      </w:r>
      <w:r>
        <w:t xml:space="preserve"> </w:t>
      </w:r>
      <m:oMath>
        <m:sSub>
          <m:e>
            <m:r>
              <m:t>t</m:t>
            </m:r>
          </m:e>
          <m:sub>
            <m:r>
              <m:t>0</m:t>
            </m:r>
          </m:sub>
        </m:sSub>
      </m:oMath>
      <w:r>
        <w:t xml:space="preserve">.</w:t>
      </w:r>
      <w:r>
        <w:t xml:space="preserve"> </w:t>
      </w:r>
      <w:r>
        <w:t xml:space="preserve">Under this representation,</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r>
          <m:rPr>
            <m:sty m:val="p"/>
          </m:rPr>
          <m:t>=</m:t>
        </m:r>
        <m:r>
          <m:t>1</m:t>
        </m:r>
      </m:oMath>
      <w:r>
        <w:t xml:space="preserve"> </w:t>
      </w:r>
      <w:r>
        <w:t xml:space="preserve">at</w:t>
      </w:r>
      <w:r>
        <w:t xml:space="preserve"> </w:t>
      </w:r>
      <m:oMath>
        <m:r>
          <m:t>t</m:t>
        </m:r>
        <m:r>
          <m:rPr>
            <m:sty m:val="p"/>
          </m:rPr>
          <m:t>=</m:t>
        </m:r>
        <m:sSub>
          <m:e>
            <m:r>
              <m:t>t</m:t>
            </m:r>
          </m:e>
          <m:sub>
            <m:r>
              <m:t>0</m:t>
            </m:r>
          </m:sub>
        </m:sSub>
      </m:oMath>
      <w:r>
        <w:t xml:space="preserve">, and values above (below) 1 indicate excess (reduced) post-anchor cumulative hazard accumulation in cohort A relative to cohort B.</w:t>
      </w:r>
    </w:p>
    <w:p>
      <w:pPr>
        <w:pStyle w:val="BodyText"/>
      </w:pPr>
      <w:r>
        <w:t xml:space="preserve">Unanchored KCOR targets a cumulative hazard</w:t>
      </w:r>
      <w:r>
        <w:t xml:space="preserve"> </w:t>
      </w:r>
      <w:r>
        <w:rPr>
          <w:i/>
          <w:iCs/>
        </w:rPr>
        <w:t xml:space="preserve">level</w:t>
      </w:r>
      <w:r>
        <w:t xml:space="preserve"> </w:t>
      </w:r>
      <w:r>
        <w:t xml:space="preserve">contrast, whereas anchored KCOR targets a</w:t>
      </w:r>
      <w:r>
        <w:t xml:space="preserve"> </w:t>
      </w:r>
      <w:r>
        <w:rPr>
          <w:i/>
          <w:iCs/>
        </w:rPr>
        <w:t xml:space="preserve">post-reference divergence</w:t>
      </w:r>
      <w:r>
        <w:t xml:space="preserve"> </w:t>
      </w:r>
      <w:r>
        <w:t xml:space="preserve">estimand analogous to a difference-in-differences on the cumulative hazard scale.</w:t>
      </w:r>
    </w:p>
    <w:p>
      <w:pPr>
        <w:pStyle w:val="BodyTex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is a</w:t>
      </w:r>
      <w:r>
        <w:t xml:space="preserve"> </w:t>
      </w:r>
      <w:r>
        <w:rPr>
          <w:b/>
          <w:bCs/>
        </w:rPr>
        <w:t xml:space="preserve">cumulative outcome contrast</w:t>
      </w:r>
      <w:r>
        <w:t xml:space="preserve"> </w:t>
      </w:r>
      <w:r>
        <w:t xml:space="preserve">after removal of curvature attributed to selection-induced depletion under the working frailty model. The estimand is defined regardless of whether it has a causal interpretation.</w:t>
      </w:r>
    </w:p>
    <w:bookmarkEnd w:id="30"/>
    <w:bookmarkStart w:id="31" w:name="identification-versus-diagnostics"/>
    <w:p>
      <w:pPr>
        <w:pStyle w:val="Heading3"/>
      </w:pPr>
      <w:r>
        <w:t xml:space="preserve">2.1.2 Identification versus diagnostics</w:t>
      </w:r>
    </w:p>
    <w:p>
      <w:pPr>
        <w:pStyle w:val="FirstParagraph"/>
      </w:pPr>
      <w:r>
        <w:t xml:space="preserve">KCOR is presented here as a</w:t>
      </w:r>
      <w:r>
        <w:t xml:space="preserve"> </w:t>
      </w:r>
      <w:r>
        <w:rPr>
          <w:b/>
          <w:bCs/>
        </w:rPr>
        <w:t xml:space="preserve">normalization-and-comparison framework</w:t>
      </w:r>
      <w:r>
        <w:t xml:space="preserve">, not as a general causal estimator under unmeasured confounding. A causal interpretation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requires additional substantive conditions (e.g., that the quiet-window curvature is dominated by selection-induced depletion rather than cohort-differential external shocks). Because these conditions are inherently dataset- and design-dependent, KCOR emphasizes</w:t>
      </w:r>
      <w:r>
        <w:t xml:space="preserve"> </w:t>
      </w:r>
      <w:r>
        <w:rPr>
          <w:b/>
          <w:bCs/>
        </w:rPr>
        <w:t xml:space="preserve">diagnostic enforcement</w:t>
      </w:r>
      <w:r>
        <w:t xml:space="preserve">: when assumptions required for interpretable normalization are not supported, the method should signal this through degraded fit, residual structure, or instability to window perturbations rather than silently producing a</w:t>
      </w:r>
      <w:r>
        <w:t xml:space="preserve"> </w:t>
      </w:r>
      <w:r>
        <w:t xml:space="preserve">“corrected”</w:t>
      </w:r>
      <w:r>
        <w:t xml:space="preserve"> </w:t>
      </w:r>
      <w:r>
        <w:t xml:space="preserve">contrast.</w:t>
      </w:r>
    </w:p>
    <w:p>
      <w:pPr>
        <w:pStyle w:val="BodyText"/>
      </w:pPr>
      <w:r>
        <w:t xml:space="preserve">Operationally, interpretability of a KCOR trajectory is assessed via prespecified checks (Appendix D), including:</w:t>
      </w:r>
    </w:p>
    <w:p>
      <w:pPr>
        <w:pStyle w:val="Compact"/>
        <w:numPr>
          <w:ilvl w:val="0"/>
          <w:numId w:val="1012"/>
        </w:numPr>
      </w:pPr>
      <w:r>
        <w:t xml:space="preserve">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quiet-window perturbations,</w:t>
      </w:r>
    </w:p>
    <w:p>
      <w:pPr>
        <w:pStyle w:val="Compact"/>
        <w:numPr>
          <w:ilvl w:val="0"/>
          <w:numId w:val="1012"/>
        </w:numPr>
      </w:pPr>
      <w:r>
        <w:t xml:space="preserve">approximate linearity of</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within the quiet window,</w:t>
      </w:r>
    </w:p>
    <w:p>
      <w:pPr>
        <w:pStyle w:val="Compact"/>
        <w:numPr>
          <w:ilvl w:val="0"/>
          <w:numId w:val="1012"/>
        </w:numPr>
      </w:pPr>
      <w:r>
        <w:t xml:space="preserve">absence of systematic residual structure in cumulative-hazard space.</w:t>
      </w:r>
    </w:p>
    <w:p>
      <w:r>
        <w:pict>
          <v:rect style="width:0;height:1.5pt" o:hralign="center" o:hrstd="t" o:hr="t"/>
        </w:pict>
      </w:r>
    </w:p>
    <w:bookmarkEnd w:id="31"/>
    <w:bookmarkEnd w:id="32"/>
    <w:bookmarkStart w:id="33" w:name="cohort-construction"/>
    <w:p>
      <w:pPr>
        <w:pStyle w:val="Heading2"/>
      </w:pPr>
      <w:r>
        <w:t xml:space="preserve">2.2 Cohort construction</w:t>
      </w:r>
    </w:p>
    <w:p>
      <w:pPr>
        <w:pStyle w:val="FirstParagraph"/>
      </w:pPr>
      <w:r>
        <w:t xml:space="preserve">KCOR is defined for</w:t>
      </w:r>
      <w:r>
        <w:t xml:space="preserve"> </w:t>
      </w:r>
      <w:r>
        <w:rPr>
          <w:b/>
          <w:bCs/>
        </w:rPr>
        <w:t xml:space="preserve">fixed cohorts at enrollment</w:t>
      </w:r>
      <w:r>
        <w:t xml:space="preserve">. Required inputs are minimal: enrollment date(s), event date, and optionally birth date (or year-of-birth) for age stratification. Analyses proceed in discrete event time</w:t>
      </w:r>
      <w:r>
        <w:t xml:space="preserve"> </w:t>
      </w:r>
      <m:oMath>
        <m:r>
          <m:t>t</m:t>
        </m:r>
      </m:oMath>
      <w:r>
        <w:t xml:space="preserve"> </w:t>
      </w:r>
      <w:r>
        <w:t xml:space="preserve">(e.g., weeks) measured since cohort enrollment.</w:t>
      </w:r>
    </w:p>
    <w:p>
      <w:pPr>
        <w:pStyle w:val="BodyText"/>
      </w:pPr>
      <w:r>
        <w:t xml:space="preserve">Cohorts are assigned by intervention state at the start of the enrollment interval. In the primary estimand:</w:t>
      </w:r>
    </w:p>
    <w:p>
      <w:pPr>
        <w:pStyle w:val="Compact"/>
        <w:numPr>
          <w:ilvl w:val="0"/>
          <w:numId w:val="1013"/>
        </w:numPr>
      </w:pPr>
      <w:r>
        <w:rPr>
          <w:b/>
          <w:bCs/>
        </w:rPr>
        <w:t xml:space="preserve">No post-enrollment switching</w:t>
      </w:r>
      <w:r>
        <w:t xml:space="preserve"> </w:t>
      </w:r>
      <w:r>
        <w:t xml:space="preserve">is allowed (individuals remain in their enrollment cohort),</w:t>
      </w:r>
    </w:p>
    <w:p>
      <w:pPr>
        <w:pStyle w:val="Compact"/>
        <w:numPr>
          <w:ilvl w:val="0"/>
          <w:numId w:val="1013"/>
        </w:numPr>
      </w:pPr>
      <w:r>
        <w:rPr>
          <w:b/>
          <w:bCs/>
        </w:rPr>
        <w:t xml:space="preserve">No censoring</w:t>
      </w:r>
      <w:r>
        <w:t xml:space="preserve"> </w:t>
      </w:r>
      <w:r>
        <w:t xml:space="preserve">is applied (other than administrative end of follow-up),</w:t>
      </w:r>
    </w:p>
    <w:p>
      <w:pPr>
        <w:pStyle w:val="Compact"/>
        <w:numPr>
          <w:ilvl w:val="0"/>
          <w:numId w:val="1013"/>
        </w:numPr>
      </w:pPr>
      <w:r>
        <w:t xml:space="preserve">analyses are performed on the resulting fixed risk sets.</w:t>
      </w:r>
    </w:p>
    <w:p>
      <w:pPr>
        <w:pStyle w:val="FirstParagraph"/>
      </w:pPr>
      <w:r>
        <w:t xml:space="preserve">This fixed-cohort design is intentional. It avoids immortal-time artifacts and prevents outcome-driven switching rules from creating time-dependent selection that is difficult to diagnose under minimal covariate availability. Extensions that allow switching or censoring are treated as sensitivity analyses (§5.2) because they change the estimand and introduce additional identification requirements.</w:t>
      </w:r>
    </w:p>
    <w:p>
      <w:pPr>
        <w:pStyle w:val="BodyText"/>
      </w:pPr>
      <w:r>
        <w:t xml:space="preserve">Throughout this manuscript the failure event is</w:t>
      </w:r>
      <w:r>
        <w:t xml:space="preserve"> </w:t>
      </w:r>
      <w:r>
        <w:rPr>
          <w:b/>
          <w:bCs/>
        </w:rPr>
        <w:t xml:space="preserve">all-cause mortality</w:t>
      </w:r>
      <w:r>
        <w:t xml:space="preserve">. KCOR therefore targets cumulative mortality hazards and is not framed as a cause-specific competing-risks analysis.</w:t>
      </w:r>
    </w:p>
    <w:p>
      <w:r>
        <w:pict>
          <v:rect style="width:0;height:1.5pt" o:hralign="center" o:hrstd="t" o:hr="t"/>
        </w:pict>
      </w:r>
    </w:p>
    <w:bookmarkEnd w:id="33"/>
    <w:bookmarkStart w:id="36" w:name="X8d7a41b2ee06470250995551ddf1fd9af9326e9"/>
    <w:p>
      <w:pPr>
        <w:pStyle w:val="Heading2"/>
      </w:pPr>
      <w:r>
        <w:t xml:space="preserve">2.3 Hazard estimation and cumulative hazards in discrete time</w:t>
      </w:r>
    </w:p>
    <w:p>
      <w:pPr>
        <w:pStyle w:val="FirstParagraph"/>
      </w:pPr>
      <w:r>
        <w:t xml:space="preserve">For each cohort</w:t>
      </w:r>
      <w:r>
        <w:t xml:space="preserve"> </w:t>
      </w:r>
      <m:oMath>
        <m:r>
          <m:t>d</m:t>
        </m:r>
      </m:oMath>
      <w:r>
        <w:t xml:space="preserve">, let</w:t>
      </w:r>
      <w:r>
        <w:t xml:space="preserve"> </w:t>
      </w:r>
      <m:oMath>
        <m:sSub>
          <m:e>
            <m:r>
              <m:t>N</m:t>
            </m:r>
          </m:e>
          <m:sub>
            <m:r>
              <m:t>d</m:t>
            </m:r>
          </m:sub>
        </m:sSub>
        <m:r>
          <m:rPr>
            <m:sty m:val="p"/>
          </m:rPr>
          <m:t>(</m:t>
        </m:r>
        <m:r>
          <m:t>0</m:t>
        </m:r>
        <m:r>
          <m:rPr>
            <m:sty m:val="p"/>
          </m:rPr>
          <m:t>)</m:t>
        </m:r>
      </m:oMath>
      <w:r>
        <w:t xml:space="preserve"> </w:t>
      </w:r>
      <w:r>
        <w:t xml:space="preserve">denote the number of individuals at enrollment.</w:t>
      </w:r>
      <w:r>
        <w:t xml:space="preserve"> </w:t>
      </w:r>
      <w:r>
        <w:t xml:space="preserve">Let</w:t>
      </w:r>
      <w:r>
        <w:t xml:space="preserve"> </w:t>
      </w:r>
      <m:oMath>
        <m:sSub>
          <m:e>
            <m:r>
              <m:t>d</m:t>
            </m:r>
          </m:e>
          <m:sub>
            <m:r>
              <m:t>d</m:t>
            </m:r>
          </m:sub>
        </m:sSub>
        <m:r>
          <m:rPr>
            <m:sty m:val="p"/>
          </m:rPr>
          <m:t>(</m:t>
        </m:r>
        <m:r>
          <m:t>t</m:t>
        </m:r>
        <m:r>
          <m:rPr>
            <m:sty m:val="p"/>
          </m:rPr>
          <m:t>)</m:t>
        </m:r>
      </m:oMath>
      <w:r>
        <w:t xml:space="preserve"> </w:t>
      </w:r>
      <w:r>
        <w:t xml:space="preserve">denote deaths occurring during interval</w:t>
      </w:r>
      <w:r>
        <w:t xml:space="preserve"> </w:t>
      </w:r>
      <m:oMath>
        <m:r>
          <m:t>t</m:t>
        </m:r>
      </m:oMath>
      <w:r>
        <w:t xml:space="preserve">, and let</w:t>
      </w:r>
    </w:p>
    <w:p>
      <w:pPr>
        <w:pStyle w:val="BodyText"/>
      </w:pPr>
      <m:oMathPara>
        <m:oMathParaPr>
          <m:jc m:val="center"/>
        </m:oMathParaPr>
        <m:oMath>
          <m:sSub>
            <m:e>
              <m:r>
                <m:t>D</m:t>
              </m:r>
            </m:e>
            <m:sub>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
                <m:e>
                  <m:r>
                    <m:t>d</m:t>
                  </m:r>
                </m:e>
                <m:sub>
                  <m:r>
                    <m:t>d</m:t>
                  </m:r>
                </m:sub>
              </m:sSub>
            </m:e>
          </m:nary>
          <m:r>
            <m:rPr>
              <m:sty m:val="p"/>
            </m:rPr>
            <m:t>(</m:t>
          </m:r>
          <m:r>
            <m:t>s</m:t>
          </m:r>
          <m:r>
            <m:rPr>
              <m:sty m:val="p"/>
            </m:rPr>
            <m:t>)</m:t>
          </m:r>
        </m:oMath>
      </m:oMathPara>
    </w:p>
    <w:p>
      <w:pPr>
        <w:pStyle w:val="FirstParagraph"/>
      </w:pPr>
      <w:r>
        <w:t xml:space="preserve">denote cumulative deaths up to the end of interval</w:t>
      </w:r>
      <w:r>
        <w:t xml:space="preserve"> </w:t>
      </w:r>
      <m:oMath>
        <m:r>
          <m:t>t</m:t>
        </m:r>
      </m:oMath>
      <w:r>
        <w:t xml:space="preserve">.</w:t>
      </w:r>
    </w:p>
    <w:p>
      <w:pPr>
        <w:pStyle w:val="BodyText"/>
      </w:pPr>
      <w:r>
        <w:t xml:space="preserve">Define the risk set size at the start of interval</w:t>
      </w:r>
      <w:r>
        <w:t xml:space="preserve"> </w:t>
      </w:r>
      <m:oMath>
        <m:r>
          <m:t>t</m:t>
        </m:r>
      </m:oMath>
      <w:r>
        <w:t xml:space="preserve"> </w:t>
      </w:r>
      <w:r>
        <w:t xml:space="preserve">as</w:t>
      </w:r>
    </w:p>
    <w:p>
      <w:pPr>
        <w:pStyle w:val="BodyText"/>
      </w:pPr>
      <m:oMathPara>
        <m:oMathParaPr>
          <m:jc m:val="center"/>
        </m:oMathParaPr>
        <m:oMath>
          <m:sSub>
            <m:e>
              <m:r>
                <m:t>N</m:t>
              </m:r>
            </m:e>
            <m:sub>
              <m:r>
                <m:t>d</m:t>
              </m:r>
            </m:sub>
          </m:sSub>
          <m:r>
            <m:rPr>
              <m:sty m:val="p"/>
            </m:rPr>
            <m:t>(</m:t>
          </m:r>
          <m:r>
            <m:t>t</m:t>
          </m:r>
          <m:r>
            <m:rPr>
              <m:sty m:val="p"/>
            </m:rPr>
            <m:t>)</m:t>
          </m:r>
          <m:r>
            <m:rPr>
              <m:sty m:val="p"/>
            </m:rPr>
            <m:t>=</m:t>
          </m:r>
          <m:sSub>
            <m:e>
              <m:r>
                <m:t>N</m:t>
              </m:r>
            </m:e>
            <m:sub>
              <m:r>
                <m:t>d</m:t>
              </m:r>
            </m:sub>
          </m:sSub>
          <m:r>
            <m:rPr>
              <m:sty m:val="p"/>
            </m:rPr>
            <m:t>(</m:t>
          </m:r>
          <m:r>
            <m:t>0</m:t>
          </m:r>
          <m:r>
            <m:rPr>
              <m:sty m:val="p"/>
            </m:rPr>
            <m:t>)</m:t>
          </m:r>
          <m:r>
            <m:rPr>
              <m:sty m:val="p"/>
            </m:rPr>
            <m:t>−</m:t>
          </m:r>
          <m:nary>
            <m:naryPr>
              <m:chr m:val="∑"/>
              <m:limLoc m:val="undOvr"/>
              <m:subHide m:val="off"/>
              <m:supHide m:val="on"/>
            </m:naryPr>
            <m:sub>
              <m:r>
                <m:t>s</m:t>
              </m:r>
              <m:r>
                <m:rPr>
                  <m:sty m:val="p"/>
                </m:rPr>
                <m:t>&lt;</m:t>
              </m:r>
              <m:r>
                <m:t>t</m:t>
              </m:r>
            </m:sub>
            <m:sup>
              <m:r>
                <m:t>​</m:t>
              </m:r>
            </m:sup>
            <m:e>
              <m:sSub>
                <m:e>
                  <m:r>
                    <m:t>d</m:t>
                  </m:r>
                </m:e>
                <m:sub>
                  <m:r>
                    <m:t>d</m:t>
                  </m:r>
                </m:sub>
              </m:sSub>
            </m:e>
          </m:nary>
          <m:r>
            <m:rPr>
              <m:sty m:val="p"/>
            </m:rPr>
            <m:t>(</m:t>
          </m:r>
          <m:r>
            <m:t>s</m:t>
          </m:r>
          <m:r>
            <m:rPr>
              <m:sty m:val="p"/>
            </m:rPr>
            <m:t>)</m:t>
          </m:r>
          <m:r>
            <m:rPr>
              <m:sty m:val="p"/>
            </m:rPr>
            <m:t>=</m:t>
          </m:r>
          <m:sSub>
            <m:e>
              <m:r>
                <m:t>N</m:t>
              </m:r>
            </m:e>
            <m:sub>
              <m:r>
                <m:t>d</m:t>
              </m:r>
            </m:sub>
          </m:sSub>
          <m:r>
            <m:rPr>
              <m:sty m:val="p"/>
            </m:rPr>
            <m:t>(</m:t>
          </m:r>
          <m:r>
            <m:t>0</m:t>
          </m:r>
          <m:r>
            <m:rPr>
              <m:sty m:val="p"/>
            </m:rPr>
            <m:t>)</m:t>
          </m:r>
          <m:r>
            <m:rPr>
              <m:sty m:val="p"/>
            </m:rPr>
            <m:t>−</m:t>
          </m:r>
          <m:sSub>
            <m:e>
              <m:r>
                <m:t>D</m:t>
              </m:r>
            </m:e>
            <m:sub>
              <m:r>
                <m:t>d</m:t>
              </m:r>
            </m:sub>
          </m:sSub>
          <m:r>
            <m:rPr>
              <m:sty m:val="p"/>
            </m:rPr>
            <m:t>(</m:t>
          </m:r>
          <m:r>
            <m:t>t</m:t>
          </m:r>
          <m:r>
            <m:rPr>
              <m:sty m:val="p"/>
            </m:rPr>
            <m:t>−</m:t>
          </m:r>
          <m:r>
            <m:t>1</m:t>
          </m:r>
          <m:r>
            <m:rPr>
              <m:sty m:val="p"/>
            </m:rPr>
            <m:t>)</m:t>
          </m:r>
          <m:r>
            <m:rPr>
              <m:sty m:val="p"/>
            </m:rPr>
            <m:t>.</m:t>
          </m:r>
        </m:oMath>
      </m:oMathPara>
    </w:p>
    <w:p>
      <w:pPr>
        <w:pStyle w:val="FirstParagraph"/>
      </w:pPr>
      <w:r>
        <w:t xml:space="preserve">In the primary estimand, individuals do not switch cohorts after enrollment and there is no loss to follow-up; therefore</w:t>
      </w:r>
      <w:r>
        <w:t xml:space="preserve"> </w:t>
      </w:r>
      <m:oMath>
        <m:sSub>
          <m:e>
            <m:r>
              <m:t>N</m:t>
            </m:r>
          </m:e>
          <m:sub>
            <m:r>
              <m:t>d</m:t>
            </m:r>
          </m:sub>
        </m:sSub>
        <m:r>
          <m:rPr>
            <m:sty m:val="p"/>
          </m:rPr>
          <m:t>(</m:t>
        </m:r>
        <m:r>
          <m:t>t</m:t>
        </m:r>
        <m:r>
          <m:rPr>
            <m:sty m:val="p"/>
          </m:rPr>
          <m:t>)</m:t>
        </m:r>
      </m:oMath>
      <w:r>
        <w:t xml:space="preserve"> </w:t>
      </w:r>
      <w:r>
        <w:t xml:space="preserve">is the risk set used to define all discrete-time hazards and cumulative hazards in this manuscript.</w:t>
      </w:r>
    </w:p>
    <w:p>
      <w:pPr>
        <w:pStyle w:val="BodyText"/>
      </w:pPr>
      <w:r>
        <w:t xml:space="preserve">Define the interval mortality ratio</w:t>
      </w:r>
    </w:p>
    <w:p>
      <w:pPr>
        <w:pStyle w:val="BodyText"/>
      </w:pPr>
      <m:oMathPara>
        <m:oMathParaPr>
          <m:jc m:val="center"/>
        </m:oMathParaPr>
        <m:oMath>
          <m:sSub>
            <m:e>
              <m:r>
                <m:rPr>
                  <m:sty m:val="p"/>
                </m:rPr>
                <m:t>M</m:t>
              </m:r>
              <m:r>
                <m:rPr>
                  <m:sty m:val="p"/>
                </m:rPr>
                <m:t>R</m:t>
              </m:r>
            </m:e>
            <m:sub>
              <m:r>
                <m:t>d</m:t>
              </m:r>
              <m:r>
                <m:rPr>
                  <m:sty m:val="p"/>
                </m:rPr>
                <m:t>,</m:t>
              </m:r>
              <m:r>
                <m:t>t</m:t>
              </m:r>
            </m:sub>
          </m:sSub>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r>
            <m:rPr>
              <m:sty m:val="p"/>
            </m:rPr>
            <m:t>.</m:t>
          </m:r>
        </m:oMath>
      </m:oMathPara>
    </w:p>
    <w:p>
      <w:pPr>
        <w:pStyle w:val="FirstParagraph"/>
      </w:pPr>
      <w:r>
        <w:t xml:space="preserve">We compute the discrete-time cohort hazard as</w:t>
      </w:r>
    </w:p>
    <w:bookmarkStart w:id="34" w:name="eq:hazard-discrete"/>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ln</m:t>
        </m:r>
        <m:r>
          <m:t>​</m:t>
        </m:r>
        <m:d>
          <m:dPr>
            <m:begChr m:val="("/>
            <m:sepChr m:val=""/>
            <m:endChr m:val=")"/>
            <m:grow/>
          </m:dPr>
          <m:e>
            <m:r>
              <m:t>1</m:t>
            </m:r>
            <m:r>
              <m:rPr>
                <m:sty m:val="p"/>
              </m:rPr>
              <m:t>−</m:t>
            </m:r>
            <m:sSub>
              <m:e>
                <m:r>
                  <m:rPr>
                    <m:sty m:val="p"/>
                  </m:rPr>
                  <m:t>M</m:t>
                </m:r>
                <m:r>
                  <m:rPr>
                    <m:sty m:val="p"/>
                  </m:rPr>
                  <m:t>R</m:t>
                </m:r>
              </m:e>
              <m:sub>
                <m:r>
                  <m:t>d</m:t>
                </m:r>
                <m:r>
                  <m:rPr>
                    <m:sty m:val="p"/>
                  </m:rPr>
                  <m:t>,</m:t>
                </m:r>
                <m:r>
                  <m:t>t</m:t>
                </m:r>
              </m:sub>
            </m:sSub>
          </m:e>
        </m:d>
        <m:r>
          <m:rPr>
            <m:sty m:val="p"/>
          </m:rPr>
          <m:t>=</m:t>
        </m:r>
        <m:r>
          <m:rPr>
            <m:sty m:val="p"/>
          </m:rPr>
          <m:t>−</m:t>
        </m:r>
        <m:r>
          <m:rPr>
            <m:sty m:val="p"/>
          </m:rPr>
          <m:t>ln</m:t>
        </m:r>
        <m:r>
          <m:t>​</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oMath>
      <w:r>
        <w:t xml:space="preserve"> </w:t>
      </w:r>
      <w:r>
        <w:tab/>
      </w:r>
      <w:r>
        <w:t xml:space="preserve"> </w:t>
      </w:r>
      <m:oMath>
        <m:r>
          <m:rPr>
            <m:sty m:val="p"/>
          </m:rPr>
          <m:t>(</m:t>
        </m:r>
        <m:r>
          <m:t>2</m:t>
        </m:r>
        <m:r>
          <m:rPr>
            <m:sty m:val="p"/>
          </m:rPr>
          <m:t>)</m:t>
        </m:r>
      </m:oMath>
    </w:p>
    <w:bookmarkEnd w:id="34"/>
    <w:p>
      <w:pPr>
        <w:pStyle w:val="BodyText"/>
      </w:pPr>
      <w:r>
        <w:t xml:space="preserve">This transform is standard: it maps an interval event probability into a continuous-time equivalent hazard under a piecewise-constant hazard assumption. For rare events,</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
          <m:e>
            <m:r>
              <m:rPr>
                <m:sty m:val="p"/>
              </m:rPr>
              <m:t>M</m:t>
            </m:r>
            <m:r>
              <m:rPr>
                <m:sty m:val="p"/>
              </m:rPr>
              <m:t>R</m:t>
            </m:r>
          </m:e>
          <m:sub>
            <m:r>
              <m:t>d</m:t>
            </m:r>
            <m:r>
              <m:rPr>
                <m:sty m:val="p"/>
              </m:rPr>
              <m:t>,</m:t>
            </m:r>
            <m:r>
              <m:t>t</m:t>
            </m:r>
          </m:sub>
        </m:sSub>
        <m:r>
          <m:rPr>
            <m:sty m:val="p"/>
          </m:rPr>
          <m:t>=</m:t>
        </m:r>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but the log form remains accurate and stable when weekly risks are not negligible.</w:t>
      </w:r>
    </w:p>
    <w:p>
      <w:pPr>
        <w:pStyle w:val="BodyText"/>
      </w:pPr>
      <w:r>
        <w:rPr>
          <w:i/>
          <w:iCs/>
        </w:rPr>
        <w:t xml:space="preserve">All hazard and cumulative-hazard quantities used in KCOR are discrete-time integrated hazard estimators derived from fixed-cohort risk sets; we do not rely on likelihood-based or partial-likelihood formulations for estimation or for the subsequent frailty-based normalization.</w:t>
      </w:r>
    </w:p>
    <w:p>
      <w:pPr>
        <w:pStyle w:val="BodyText"/>
      </w:pPr>
      <w:r>
        <w:t xml:space="preserve">Observed cumulative hazards are accumulated over event time after an optional stabilization skip (§2.7):</w:t>
      </w:r>
    </w:p>
    <w:bookmarkStart w:id="35" w:name="eq:cumhazard-observed"/>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rPr>
            <m:sty m:val="p"/>
          </m:rPr>
          <m:t>,</m:t>
        </m:r>
        <m:r>
          <m:t>  </m:t>
        </m:r>
        <m:r>
          <m:rPr>
            <m:sty m:val="p"/>
          </m:rPr>
          <m:t>Δ</m:t>
        </m:r>
        <m:r>
          <m:t>t</m:t>
        </m:r>
        <m:r>
          <m:rPr>
            <m:sty m:val="p"/>
          </m:rPr>
          <m:t>=</m:t>
        </m:r>
        <m:r>
          <m:t>1</m:t>
        </m:r>
        <m:r>
          <m:rPr>
            <m:sty m:val="p"/>
          </m:rPr>
          <m:t>.</m:t>
        </m:r>
      </m:oMath>
      <w:r>
        <w:t xml:space="preserve"> </w:t>
      </w:r>
      <w:r>
        <w:tab/>
      </w:r>
      <w:r>
        <w:t xml:space="preserve"> </w:t>
      </w:r>
      <m:oMath>
        <m:r>
          <m:rPr>
            <m:sty m:val="p"/>
          </m:rPr>
          <m:t>(</m:t>
        </m:r>
        <m:r>
          <m:t>3</m:t>
        </m:r>
        <m:r>
          <m:rPr>
            <m:sty m:val="p"/>
          </m:rPr>
          <m:t>)</m:t>
        </m:r>
      </m:oMath>
    </w:p>
    <w:bookmarkEnd w:id="35"/>
    <w:p>
      <w:pPr>
        <w:pStyle w:val="BodyText"/>
      </w:pPr>
      <w:r>
        <w:t xml:space="preserve">Discrete binning accommodates tied events and aggregated registry releases. Bin width is chosen based on diagnostic stability (e.g., smoothness and sufficient counts per bin) rather than temporal resolution alone.</w:t>
      </w:r>
    </w:p>
    <w:p>
      <w:pPr>
        <w:pStyle w:val="BodyText"/>
      </w:pPr>
      <w:r>
        <w:t xml:space="preserve">In addition to the primary implementation above, we computed</w:t>
      </w:r>
      <w:r>
        <w:t xml:space="preserve"> </w:t>
      </w:r>
      <m:oMath>
        <m:sSub>
          <m:e>
            <m:acc>
              <m:accPr>
                <m:chr m:val="̂"/>
              </m:accPr>
              <m:e>
                <m:r>
                  <m:t>H</m:t>
                </m:r>
              </m:e>
            </m:acc>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using the Nelson–Aalen estimator</w:t>
      </w:r>
      <w:r>
        <w:t xml:space="preserve"> </w:t>
      </w:r>
      <m:oMath>
        <m:nary>
          <m:naryPr>
            <m:chr m:val="∑"/>
            <m:limLoc m:val="undOvr"/>
            <m:subHide m:val="off"/>
            <m:supHide m:val="on"/>
          </m:naryPr>
          <m:sub>
            <m:r>
              <m:t>s</m:t>
            </m:r>
            <m:r>
              <m:rPr>
                <m:sty m:val="p"/>
              </m:rPr>
              <m:t>≤</m:t>
            </m:r>
            <m:r>
              <m:t>t</m:t>
            </m:r>
          </m:sub>
          <m:sup>
            <m:r>
              <m:t>​</m:t>
            </m:r>
          </m:sup>
          <m:e>
            <m:sSub>
              <m:e>
                <m:r>
                  <m:t>d</m:t>
                </m:r>
              </m:e>
              <m:sub>
                <m:r>
                  <m:t>d</m:t>
                </m:r>
              </m:sub>
            </m:sSub>
          </m:e>
        </m:nary>
        <m:r>
          <m:rPr>
            <m:sty m:val="p"/>
          </m:rPr>
          <m:t>(</m:t>
        </m:r>
        <m:r>
          <m:t>s</m:t>
        </m:r>
        <m:r>
          <m:rPr>
            <m:sty m:val="p"/>
          </m:rPr>
          <m:t>)</m:t>
        </m:r>
        <m:r>
          <m:rPr>
            <m:sty m:val="p"/>
          </m:rPr>
          <m:t>/</m:t>
        </m:r>
        <m:sSub>
          <m:e>
            <m:r>
              <m:t>N</m:t>
            </m:r>
          </m:e>
          <m:sub>
            <m:r>
              <m:t>d</m:t>
            </m:r>
          </m:sub>
        </m:sSub>
        <m:r>
          <m:rPr>
            <m:sty m:val="p"/>
          </m:rPr>
          <m:t>(</m:t>
        </m:r>
        <m:r>
          <m:t>s</m:t>
        </m:r>
        <m:r>
          <m:rPr>
            <m:sty m:val="p"/>
          </m:rPr>
          <m:t>)</m:t>
        </m:r>
      </m:oMath>
      <w:r>
        <w:t xml:space="preserve"> </w:t>
      </w:r>
      <w:r>
        <w:t xml:space="preserve">as a sensitivity check; results were unchanged.</w:t>
      </w:r>
    </w:p>
    <w:p>
      <w:r>
        <w:pict>
          <v:rect style="width:0;height:1.5pt" o:hralign="center" o:hrstd="t" o:hr="t"/>
        </w:pict>
      </w:r>
    </w:p>
    <w:bookmarkEnd w:id="36"/>
    <w:bookmarkStart w:id="83" w:name="Xac986e115b315a486d7d296f1ed82bc5da7c6c5"/>
    <w:p>
      <w:pPr>
        <w:pStyle w:val="Heading2"/>
      </w:pPr>
      <w:r>
        <w:t xml:space="preserve">2.4 Selection model: gamma frailty and depletion normalization</w:t>
      </w:r>
    </w:p>
    <w:bookmarkStart w:id="38" w:name="X1613f91e2d32d239863b345c5f5c082f741e4a2"/>
    <w:p>
      <w:pPr>
        <w:pStyle w:val="Heading3"/>
      </w:pPr>
      <w:r>
        <w:t xml:space="preserve">2.4.1 Individual hazards with multiplicative frailty</w:t>
      </w:r>
    </w:p>
    <w:p>
      <w:pPr>
        <w:pStyle w:val="FirstParagraph"/>
      </w:pPr>
      <w:r>
        <w:t xml:space="preserve">Within cohort</w:t>
      </w:r>
      <w:r>
        <w:t xml:space="preserve"> </w:t>
      </w:r>
      <m:oMath>
        <m:r>
          <m:t>d</m:t>
        </m:r>
      </m:oMath>
      <w:r>
        <w:t xml:space="preserve">, individual</w:t>
      </w:r>
      <w:r>
        <w:t xml:space="preserve"> </w:t>
      </w:r>
      <m:oMath>
        <m:r>
          <m:t>i</m:t>
        </m:r>
      </m:oMath>
      <w:r>
        <w:t xml:space="preserve"> </w:t>
      </w:r>
      <w:r>
        <w:t xml:space="preserve">is modeled as having hazard</w:t>
      </w:r>
    </w:p>
    <w:bookmarkStart w:id="37" w:name="eq:individual-hazard-frailty"/>
    <w:p>
      <w:pPr>
        <w:pStyle w:val="BodyText"/>
      </w:pPr>
      <w:pPr>
        <w:tabs>
          <w:tab w:val="center" w:leader="none" w:pos="4680"/>
          <w:tab w:val="right" w:leader="none" w:pos="9360"/>
        </w:tabs>
      </w:pPr>
      <w:r>
        <w:tab/>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oMath>
      <w:r>
        <w:t xml:space="preserve"> </w:t>
      </w:r>
      <w:r>
        <w:tab/>
      </w:r>
      <w:r>
        <w:t xml:space="preserve"> </w:t>
      </w:r>
      <m:oMath>
        <m:r>
          <m:rPr>
            <m:sty m:val="p"/>
          </m:rPr>
          <m:t>(</m:t>
        </m:r>
        <m:r>
          <m:t>4</m:t>
        </m:r>
        <m:r>
          <m:rPr>
            <m:sty m:val="p"/>
          </m:rPr>
          <m:t>)</m:t>
        </m:r>
      </m:oMath>
    </w:p>
    <w:bookmarkEnd w:id="37"/>
    <w:p>
      <w:pPr>
        <w:pStyle w:val="BodyText"/>
      </w:pPr>
      <w:r>
        <w:t xml:space="preserve">Here</w:t>
      </w:r>
      <w:r>
        <w:t xml:space="preserve"> </w:t>
      </w:r>
      <m:oMath>
        <m:sSub>
          <m:e>
            <m:r>
              <m:t>h</m:t>
            </m:r>
          </m:e>
          <m:sub>
            <m:r>
              <m:t>0</m:t>
            </m:r>
            <m:r>
              <m:rPr>
                <m:sty m:val="p"/>
              </m:rPr>
              <m:t>,</m:t>
            </m:r>
            <m:r>
              <m:t>d</m:t>
            </m:r>
          </m:sub>
        </m:sSub>
        <m:r>
          <m:rPr>
            <m:sty m:val="p"/>
          </m:rPr>
          <m:t>(</m:t>
        </m:r>
        <m:r>
          <m:t>t</m:t>
        </m:r>
        <m:r>
          <m:rPr>
            <m:sty m:val="p"/>
          </m:rPr>
          <m:t>)</m:t>
        </m:r>
      </m:oMath>
      <w:r>
        <w:t xml:space="preserve"> </w:t>
      </w:r>
      <w:r>
        <w:t xml:space="preserve">is the cohort’s depletion-neutralized baseline hazard and</w:t>
      </w:r>
      <w:r>
        <w:t xml:space="preserve"> </w:t>
      </w:r>
      <m:oMath>
        <m:sSub>
          <m:e>
            <m:r>
              <m:t>z</m:t>
            </m:r>
          </m:e>
          <m:sub>
            <m:r>
              <m:t>i</m:t>
            </m:r>
            <m:r>
              <m:rPr>
                <m:sty m:val="p"/>
              </m:rPr>
              <m:t>,</m:t>
            </m:r>
            <m:r>
              <m:t>d</m:t>
            </m:r>
          </m:sub>
        </m:sSub>
      </m:oMath>
      <w:r>
        <w:t xml:space="preserve"> </w:t>
      </w:r>
      <w:r>
        <w:t xml:space="preserve">is a latent multiplicative frailty term. The frailty variance</w:t>
      </w:r>
      <w:r>
        <w:t xml:space="preserve"> </w:t>
      </w:r>
      <m:oMath>
        <m:sSub>
          <m:e>
            <m:r>
              <m:t>θ</m:t>
            </m:r>
          </m:e>
          <m:sub>
            <m:r>
              <m:t>d</m:t>
            </m:r>
          </m:sub>
        </m:sSub>
      </m:oMath>
      <w:r>
        <w:t xml:space="preserve"> </w:t>
      </w:r>
      <w:r>
        <w:t xml:space="preserve">governs the strength of depletion-induced curvature: larger</w:t>
      </w:r>
      <w:r>
        <w:t xml:space="preserve"> </w:t>
      </w:r>
      <m:oMath>
        <m:sSub>
          <m:e>
            <m:r>
              <m:t>θ</m:t>
            </m:r>
          </m:e>
          <m:sub>
            <m:r>
              <m:t>d</m:t>
            </m:r>
          </m:sub>
        </m:sSub>
      </m:oMath>
      <w:r>
        <w:t xml:space="preserve"> </w:t>
      </w:r>
      <w:r>
        <w:t xml:space="preserve">yields stronger deceleration at the cohort level due to faster early depletion of high-frailty individuals.</w:t>
      </w:r>
    </w:p>
    <w:p>
      <w:pPr>
        <w:pStyle w:val="BodyText"/>
      </w:pPr>
      <w:r>
        <w:t xml:space="preserve">Gamma frailty is used because it yields a closed-form link between observed and baseline cumulative hazards via the Laplace transform</w:t>
      </w:r>
      <w:r>
        <w:rPr>
          <w:vertAlign w:val="superscript"/>
        </w:rPr>
        <w:t xml:space="preserve">1</w:t>
      </w:r>
      <w:r>
        <w:t xml:space="preserve">. In KCOR, gamma frailty is a</w:t>
      </w:r>
      <w:r>
        <w:t xml:space="preserve"> </w:t>
      </w:r>
      <w:r>
        <w:rPr>
          <w:b/>
          <w:bCs/>
        </w:rPr>
        <w:t xml:space="preserve">working geometric model</w:t>
      </w:r>
      <w:r>
        <w:t xml:space="preserve"> </w:t>
      </w:r>
      <w:r>
        <w:t xml:space="preserve">for depletion normalization, not a claim of biological truth. Adequacy is evaluated empirically via fit quality, post-normalization linearity, and stability diagnostics.</w:t>
      </w:r>
    </w:p>
    <w:bookmarkEnd w:id="38"/>
    <w:bookmarkStart w:id="42" w:name="gamma-frailty-identity-and-inversion"/>
    <w:p>
      <w:pPr>
        <w:pStyle w:val="Heading3"/>
      </w:pPr>
      <w:r>
        <w:t xml:space="preserve">2.4.2 Gamma-frailty identity and inversion</w:t>
      </w:r>
    </w:p>
    <w:p>
      <w:pPr>
        <w:pStyle w:val="FirstParagraph"/>
      </w:pPr>
      <w:r>
        <w:t xml:space="preserve">Let</w:t>
      </w:r>
    </w:p>
    <w:bookmarkStart w:id="39" w:name="eq:baseline-cumhazard"/>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w:r>
        <w:t xml:space="preserve"> </w:t>
      </w:r>
      <w:r>
        <w:tab/>
      </w:r>
      <w:r>
        <w:t xml:space="preserve"> </w:t>
      </w:r>
      <m:oMath>
        <m:r>
          <m:rPr>
            <m:sty m:val="p"/>
          </m:rPr>
          <m:t>(</m:t>
        </m:r>
        <m:r>
          <m:t>5</m:t>
        </m:r>
        <m:r>
          <m:rPr>
            <m:sty m:val="p"/>
          </m:rPr>
          <m:t>)</m:t>
        </m:r>
      </m:oMath>
    </w:p>
    <w:bookmarkEnd w:id="39"/>
    <w:p>
      <w:pPr>
        <w:pStyle w:val="BodyText"/>
      </w:pPr>
      <w:r>
        <w:t xml:space="preserve">denote the baseline cumulative hazard. Integrating over gamma frailty yields the gamma-frailty identity</w:t>
      </w:r>
    </w:p>
    <w:bookmarkStart w:id="40" w:name="eq:gamma-frailty-identity"/>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oMath>
      <w:r>
        <w:t xml:space="preserve"> </w:t>
      </w:r>
      <w:r>
        <w:tab/>
      </w:r>
      <w:r>
        <w:t xml:space="preserve"> </w:t>
      </w:r>
      <m:oMath>
        <m:r>
          <m:rPr>
            <m:sty m:val="p"/>
          </m:rPr>
          <m:t>(</m:t>
        </m:r>
        <m:r>
          <m:t>6</m:t>
        </m:r>
        <m:r>
          <m:rPr>
            <m:sty m:val="p"/>
          </m:rPr>
          <m:t>)</m:t>
        </m:r>
      </m:oMath>
    </w:p>
    <w:bookmarkEnd w:id="40"/>
    <w:p>
      <w:pPr>
        <w:pStyle w:val="BodyText"/>
      </w:pPr>
      <w:r>
        <w:t xml:space="preserve">which can be inverted exactly as</w:t>
      </w:r>
    </w:p>
    <w:bookmarkStart w:id="41" w:name="eq:gamma-frailty-inversion"/>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w:r>
        <w:t xml:space="preserve"> </w:t>
      </w:r>
      <w:r>
        <w:tab/>
      </w:r>
      <w:r>
        <w:t xml:space="preserve"> </w:t>
      </w:r>
      <m:oMath>
        <m:r>
          <m:rPr>
            <m:sty m:val="p"/>
          </m:rPr>
          <m:t>(</m:t>
        </m:r>
        <m:r>
          <m:t>7</m:t>
        </m:r>
        <m:r>
          <m:rPr>
            <m:sty m:val="p"/>
          </m:rPr>
          <m:t>)</m:t>
        </m:r>
      </m:oMath>
    </w:p>
    <w:bookmarkEnd w:id="41"/>
    <w:p>
      <w:pPr>
        <w:pStyle w:val="BodyText"/>
      </w:pPr>
      <w:r>
        <w:t xml:space="preserve">This inversion is the</w:t>
      </w:r>
      <w:r>
        <w:t xml:space="preserve"> </w:t>
      </w:r>
      <w:r>
        <w:rPr>
          <w:b/>
          <w:bCs/>
        </w:rPr>
        <w:t xml:space="preserve">normalization operator</w:t>
      </w:r>
      <w:r>
        <w:t xml:space="preserve">: given an estimate</w:t>
      </w:r>
      <w:r>
        <w:t xml:space="preserve"> </w:t>
      </w:r>
      <m:oMath>
        <m:sSub>
          <m:e>
            <m:acc>
              <m:accPr>
                <m:chr m:val="̂"/>
              </m:accPr>
              <m:e>
                <m:r>
                  <m:t>θ</m:t>
                </m:r>
              </m:e>
            </m:acc>
          </m:e>
          <m:sub>
            <m:r>
              <m:t>d</m:t>
            </m:r>
          </m:sub>
        </m:sSub>
      </m:oMath>
      <w:r>
        <w:t xml:space="preserve">, it maps the observed cumulative hazard</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into a depletion-neutralized cumulative hazard scale.</w:t>
      </w:r>
    </w:p>
    <w:bookmarkEnd w:id="42"/>
    <w:bookmarkStart w:id="44" w:name="X22c9b34d94b309a3f26764cc0718f7fabb50843"/>
    <w:p>
      <w:pPr>
        <w:pStyle w:val="Heading3"/>
      </w:pPr>
      <w:r>
        <w:t xml:space="preserve">2.4.3 Baseline shape used for frailty identification</w:t>
      </w:r>
    </w:p>
    <w:p>
      <w:pPr>
        <w:pStyle w:val="FirstParagraph"/>
      </w:pPr>
      <w:r>
        <w:t xml:space="preserve">To identify</w:t>
      </w:r>
      <w:r>
        <w:t xml:space="preserve"> </w:t>
      </w:r>
      <m:oMath>
        <m:sSub>
          <m:e>
            <m:r>
              <m:t>θ</m:t>
            </m:r>
          </m:e>
          <m:sub>
            <m:r>
              <m:t>d</m:t>
            </m:r>
          </m:sub>
        </m:sSub>
      </m:oMath>
      <w:r>
        <w:t xml:space="preserve">, KCOR fits the gamma-frailty model within prespecified epidemiologically quiet periods. In the reference specification, the baseline hazard is taken to be constant over the fit window:</w:t>
      </w:r>
    </w:p>
    <w:bookmarkStart w:id="43" w:name="eq:baseline-shape-default"/>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w:r>
        <w:t xml:space="preserve"> </w:t>
      </w:r>
      <w:r>
        <w:tab/>
      </w:r>
      <w:r>
        <w:t xml:space="preserve"> </w:t>
      </w:r>
      <m:oMath>
        <m:r>
          <m:rPr>
            <m:sty m:val="p"/>
          </m:rPr>
          <m:t>(</m:t>
        </m:r>
        <m:r>
          <m:t>8</m:t>
        </m:r>
        <m:r>
          <m:rPr>
            <m:sty m:val="p"/>
          </m:rPr>
          <m:t>)</m:t>
        </m:r>
      </m:oMath>
    </w:p>
    <w:bookmarkEnd w:id="43"/>
    <w:p>
      <w:pPr>
        <w:pStyle w:val="BodyText"/>
      </w:pPr>
      <w:r>
        <w:t xml:space="preserve">This choice intentionally minimizes degrees of freedom: during a quiet window, curvature is forced to be explained by depletion (via</w:t>
      </w:r>
      <w:r>
        <w:t xml:space="preserve"> </w:t>
      </w:r>
      <m:oMath>
        <m:sSub>
          <m:e>
            <m:r>
              <m:t>θ</m:t>
            </m:r>
          </m:e>
          <m:sub>
            <m:r>
              <m:t>d</m:t>
            </m:r>
          </m:sub>
        </m:sSub>
      </m:oMath>
      <w:r>
        <w:t xml:space="preserve">) rather than by introducing time-varying baseline hazard terms. If the observed cumulative hazard is near-linear over the fit window, the model naturally collapses toward</w:t>
      </w:r>
      <w:r>
        <w:t xml:space="preserve"> </w:t>
      </w:r>
      <m:oMath>
        <m:sSub>
          <m:e>
            <m:acc>
              <m:accPr>
                <m:chr m:val="̂"/>
              </m:accPr>
              <m:e>
                <m:r>
                  <m:t>θ</m:t>
                </m:r>
              </m:e>
            </m:acc>
          </m:e>
          <m:sub>
            <m:r>
              <m:t>d</m:t>
            </m:r>
          </m:sub>
        </m:sSub>
        <m:r>
          <m:rPr>
            <m:sty m:val="p"/>
          </m:rPr>
          <m:t>≈</m:t>
        </m:r>
        <m:r>
          <m:t>0</m:t>
        </m:r>
      </m:oMath>
      <w:r>
        <w:t xml:space="preserve">, signaling weak or absent detectable depletion curvature for that cohort over that window.</w:t>
      </w:r>
    </w:p>
    <w:bookmarkEnd w:id="44"/>
    <w:bookmarkStart w:id="46" w:name="Xee369aabf79618846db7def8482c67c7421353f"/>
    <w:p>
      <w:pPr>
        <w:pStyle w:val="Heading3"/>
      </w:pPr>
      <w:r>
        <w:t xml:space="preserve">2.4.4 Quiet-window validity as the key dataset-specific requirement</w:t>
      </w:r>
    </w:p>
    <w:p>
      <w:pPr>
        <w:pStyle w:val="FirstParagraph"/>
      </w:pPr>
      <w:r>
        <w:t xml:space="preserve">Frailty parameters are estimated using only bins whose corresponding calendar weeks lie inside a prespecified quiet window (defined in ISO-week space). A window is acceptable only if diagnostics indicate (i) good fit in cumulative-hazard space, (ii) post-normalization linearity within the window, and (iii)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boundary perturbations. If no candidate window passes, KCOR is treated as not identified for that analysis rather than producing a potentially misleading normalized contrast. All diagnostics are computed over discrete event-time bins (weekly intervals since enrollment) whose corresponding calendar weeks fall within the prespecified quiet window.</w:t>
      </w:r>
    </w:p>
    <w:bookmarkStart w:id="45" w:name="X3c986934fd55dab2d83d6b9be426b8bdc85ae0a"/>
    <w:p>
      <w:pPr>
        <w:pStyle w:val="Heading4"/>
      </w:pPr>
      <w:r>
        <w:t xml:space="preserve">Quiet-window selection protocol (operational)</w:t>
      </w:r>
    </w:p>
    <w:p>
      <w:pPr>
        <w:pStyle w:val="FirstParagraph"/>
      </w:pPr>
      <w:r>
        <w:rPr>
          <w:b/>
          <w:bCs/>
        </w:rPr>
        <w:t xml:space="preserve">Quiet-window selection protocol.</w:t>
      </w:r>
      <w:r>
        <w:t xml:space="preserve"> </w:t>
      </w:r>
      <w:r>
        <w:t xml:space="preserve">The quiet window is selected prior to KCOR estimation using the following operational criteria:</w:t>
      </w:r>
    </w:p>
    <w:p>
      <w:pPr>
        <w:pStyle w:val="Compact"/>
        <w:numPr>
          <w:ilvl w:val="0"/>
          <w:numId w:val="1014"/>
        </w:numPr>
      </w:pPr>
      <w:r>
        <w:t xml:space="preserve">Calendar-time hazard curves exhibit approximate linearity with no sustained trend breaks.</w:t>
      </w:r>
    </w:p>
    <w:p>
      <w:pPr>
        <w:pStyle w:val="Compact"/>
        <w:numPr>
          <w:ilvl w:val="0"/>
          <w:numId w:val="1014"/>
        </w:numPr>
      </w:pPr>
      <w:r>
        <w:t xml:space="preserve">Periods containing epidemic waves, reporting artifacts, or policy shocks are excluded.</w:t>
      </w:r>
    </w:p>
    <w:p>
      <w:pPr>
        <w:pStyle w:val="Compact"/>
        <w:numPr>
          <w:ilvl w:val="0"/>
          <w:numId w:val="1014"/>
        </w:numPr>
      </w:pPr>
      <w:r>
        <w:t xml:space="preserve">The window spans a minimum duration sufficient for stable slope estimation.</w:t>
      </w:r>
    </w:p>
    <w:p>
      <w:pPr>
        <w:pStyle w:val="Compact"/>
        <w:numPr>
          <w:ilvl w:val="0"/>
          <w:numId w:val="1014"/>
        </w:numPr>
      </w:pPr>
      <w:r>
        <w:t xml:space="preserve">Sensitivity is assessed by perturbing the window boundaries (± several weeks).</w:t>
      </w:r>
    </w:p>
    <w:p>
      <w:pPr>
        <w:pStyle w:val="FirstParagraph"/>
      </w:pPr>
      <w:r>
        <w:rPr>
          <w:i/>
          <w:iCs/>
        </w:rPr>
        <w:t xml:space="preserve">Practical example.</w:t>
      </w:r>
      <w:r>
        <w:t xml:space="preserve"> </w:t>
      </w:r>
      <w:r>
        <w:t xml:space="preserve">In COVID-19 mortality analyses, a quiet window may be defined as an inter-wave period between major variant surges, verified by approximately linear all-cause cumulative hazards in the general population and the absence of cohort-differential policy or reporting shocks. The specific calendar bounds are not assumed to be unique or correct a priori; instead, robustness to small perturbations of the window boundaries (e.g., ± several weeks) is treated as a core diagnostic. If fitted depletion parameters or post-normalization linearity are unstable under such perturbations, the quiet-window assumption is deemed violated and KCOR is treated as not identified for that analysis.</w:t>
      </w:r>
    </w:p>
    <w:p>
      <w:r>
        <w:pict>
          <v:rect style="width:0;height:1.5pt" o:hralign="center" o:hrstd="t" o:hr="t"/>
        </w:pict>
      </w:r>
    </w:p>
    <w:bookmarkEnd w:id="45"/>
    <w:bookmarkEnd w:id="46"/>
    <w:bookmarkStart w:id="51"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The epidemiological quiet period is not assumed to be free of all processes, but to lack sharp, cohort-differential hazard perturbations (e.g., epidemic waves or policy shocks) capable of inducing systematic curvature asymmetry unrelated to selection dynamics.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bookmarkStart w:id="47" w:name="eq:hobs-model"/>
    <w:p>
      <w:pPr>
        <w:pStyle w:val="BodyText"/>
      </w:pPr>
      <w:pPr>
        <w:tabs>
          <w:tab w:val="center" w:leader="none" w:pos="4680"/>
          <w:tab w:val="right" w:leader="none" w:pos="9360"/>
        </w:tabs>
      </w:pPr>
      <w:r>
        <w:tab/>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oMath>
      <w:r>
        <w:t xml:space="preserve"> </w:t>
      </w:r>
      <w:r>
        <w:tab/>
      </w:r>
      <w:r>
        <w:t xml:space="preserve"> </w:t>
      </w:r>
      <m:oMath>
        <m:r>
          <m:rPr>
            <m:sty m:val="p"/>
          </m:rPr>
          <m:t>(</m:t>
        </m:r>
        <m:r>
          <m:t>9</m:t>
        </m:r>
        <m:r>
          <m:rPr>
            <m:sty m:val="p"/>
          </m:rPr>
          <m:t>)</m:t>
        </m:r>
      </m:oMath>
    </w:p>
    <w:bookmarkEnd w:id="47"/>
    <w:p>
      <w:pPr>
        <w:pStyle w:val="BodyText"/>
      </w:pPr>
      <w:r>
        <w:t xml:space="preserve">Identifiability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comes from curvature in cumulative-hazard space: observed cumulative hazards are nonlinear in event time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 observed cumulative hazards naturally drive the fitted frailty variance toward zero;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 fitted frailty variance estimates approaching zero,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indicating minimal detectable depletion. This outcome is data-driven and reflects the absence of observable selection-induced curvature rather than a modeling assumption. When residual time-varying risk contaminates a nominally quiet window, fitted frailty variance estimates naturally shrink toward zero, signaling limited identifiability rather than inducing spurious correction.</w:t>
      </w:r>
    </w:p>
    <w:p>
      <w:pPr>
        <w:pStyle w:val="BodyText"/>
      </w:pPr>
      <w:r>
        <w:t xml:space="preserve">Parameters are estimated by constrained nonlinear least squares:</w:t>
      </w:r>
    </w:p>
    <w:bookmarkStart w:id="48" w:name="eq:nls-objective"/>
    <w:p>
      <w:pPr>
        <w:pStyle w:val="BodyText"/>
      </w:pPr>
      <w:pPr>
        <w:tabs>
          <w:tab w:val="center" w:leader="none" w:pos="4680"/>
          <w:tab w:val="right" w:leader="none" w:pos="9360"/>
        </w:tabs>
      </w:pPr>
      <w:r>
        <w:tab/>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sSub>
          <m:e>
            <m:r>
              <m:rPr>
                <m:sty m:val="p"/>
              </m:rPr>
              <m:t>min</m:t>
            </m:r>
          </m:e>
          <m:sub>
            <m:sSub>
              <m:e>
                <m:r>
                  <m:t>k</m:t>
                </m:r>
              </m:e>
              <m:sub>
                <m:r>
                  <m:t>d</m:t>
                </m:r>
              </m:sub>
            </m:sSub>
            <m:r>
              <m:rPr>
                <m:sty m:val="p"/>
              </m:rPr>
              <m:t>&gt;</m:t>
            </m:r>
            <m:r>
              <m:t>0</m:t>
            </m:r>
            <m:r>
              <m:rPr>
                <m:sty m:val="p"/>
              </m:rPr>
              <m:t>,</m:t>
            </m:r>
            <m:r>
              <m:t> </m:t>
            </m:r>
            <m:sSub>
              <m:e>
                <m:r>
                  <m:t>θ</m:t>
                </m:r>
              </m:e>
              <m:sub>
                <m:r>
                  <m:t>d</m:t>
                </m:r>
              </m:sub>
            </m:sSub>
            <m:r>
              <m:rPr>
                <m:sty m:val="p"/>
              </m:rPr>
              <m:t>≥</m:t>
            </m:r>
            <m:r>
              <m:t>0</m:t>
            </m:r>
          </m:sub>
        </m:sSub>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oMath>
      <w:r>
        <w:t xml:space="preserve"> </w:t>
      </w:r>
      <w:r>
        <w:tab/>
      </w:r>
      <w:r>
        <w:t xml:space="preserve"> </w:t>
      </w:r>
      <m:oMath>
        <m:r>
          <m:rPr>
            <m:sty m:val="p"/>
          </m:rPr>
          <m:t>(</m:t>
        </m:r>
        <m:r>
          <m:t>10</m:t>
        </m:r>
        <m:r>
          <m:rPr>
            <m:sty m:val="p"/>
          </m:rPr>
          <m:t>)</m:t>
        </m:r>
      </m:oMath>
    </w:p>
    <w:bookmarkEnd w:id="48"/>
    <w:p>
      <w:pPr>
        <w:pStyle w:val="BodyText"/>
      </w:pPr>
      <w:r>
        <w:t xml:space="preserve">We fit in cumulative-hazard space rather than maximizing a likelihood because the primary inputs are discrete-time, cohort-aggregated hazards and the objective is stable estimation of selection-induced depletion curvature during quiet periods. Least-squares fitting is used as a numerical estimating equation rather than as a likelihood-based estimator. Least squares on observed cumulative hazards 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50"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defaults are:</w:t>
      </w:r>
    </w:p>
    <w:p>
      <w:pPr>
        <w:pStyle w:val="Compact"/>
        <w:numPr>
          <w:ilvl w:val="0"/>
          <w:numId w:val="1015"/>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15"/>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15"/>
        </w:numPr>
      </w:pPr>
      <w:r>
        <w:rPr>
          <w:b/>
          <w:bCs/>
        </w:rPr>
        <w:t xml:space="preserve">Observed hazard transform used to build observed cumulative hazards 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bookmarkStart w:id="49" w:name="eq:hazard-from-mr-improved"/>
    <w:p>
      <w:pPr>
        <w:pStyle w:val="FirstParagraph"/>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oMath>
      <w:r>
        <w:t xml:space="preserve"> </w:t>
      </w:r>
      <w:r>
        <w:tab/>
      </w:r>
      <w:r>
        <w:t xml:space="preserve"> </w:t>
      </w:r>
      <m:oMath>
        <m:r>
          <m:rPr>
            <m:sty m:val="p"/>
          </m:rPr>
          <m:t>(</m:t>
        </m:r>
        <m:r>
          <m:t>11</m:t>
        </m:r>
        <m:r>
          <m:rPr>
            <m:sty m:val="p"/>
          </m:rPr>
          <m:t>)</m:t>
        </m:r>
      </m:oMath>
    </w:p>
    <w:bookmarkEnd w:id="49"/>
    <w:p>
      <w:pPr>
        <w:pStyle w:val="BodyText"/>
      </w:pPr>
      <w:r>
        <w:t xml:space="preserve">Equation (11) is a second-order accurate midpoint approximation to the integrated hazard over a discrete interval under a piecewise-constant hazard assumption.</w:t>
      </w:r>
      <w:r>
        <w:t xml:space="preserve"> </w:t>
      </w:r>
      <w:r>
        <w:t xml:space="preserve">For small</w:t>
      </w:r>
      <w:r>
        <w:t xml:space="preserve"> </w:t>
      </w:r>
      <m:oMath>
        <m:sSub>
          <m:e>
            <m:r>
              <m:rPr>
                <m:sty m:val="p"/>
              </m:rPr>
              <m:t>M</m:t>
            </m:r>
            <m:r>
              <m:rPr>
                <m:sty m:val="p"/>
              </m:rPr>
              <m:t>R</m:t>
            </m:r>
          </m:e>
          <m:sub>
            <m:r>
              <m:t>d</m:t>
            </m:r>
            <m:r>
              <m:rPr>
                <m:sty m:val="p"/>
              </m:rPr>
              <m:t>,</m:t>
            </m:r>
            <m:r>
              <m:t>t</m:t>
            </m:r>
          </m:sub>
        </m:sSub>
      </m:oMath>
      <w:r>
        <w:t xml:space="preserve"> </w:t>
      </w:r>
      <w:r>
        <w:t xml:space="preserve">it reduces to the standard Nelson–Aalen increment</w:t>
      </w:r>
      <w:r>
        <w:t xml:space="preserve"> </w:t>
      </w:r>
      <m:oMath>
        <m:r>
          <m:rPr>
            <m:sty m:val="p"/>
          </m:rPr>
          <m:t>Δ</m:t>
        </m:r>
        <m:acc>
          <m:accPr>
            <m:chr m:val="̂"/>
          </m:accPr>
          <m:e>
            <m:r>
              <m:t>H</m:t>
            </m:r>
          </m:e>
        </m:acc>
        <m:r>
          <m:rPr>
            <m:sty m:val="p"/>
          </m:rPr>
          <m:t>(</m:t>
        </m:r>
        <m:r>
          <m:t>t</m:t>
        </m:r>
        <m:r>
          <m:rPr>
            <m:sty m:val="p"/>
          </m:rPr>
          <m:t>)</m:t>
        </m:r>
        <m:r>
          <m:rPr>
            <m:sty m:val="p"/>
          </m:rPr>
          <m:t>=</m:t>
        </m:r>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while exhibiting reduced discretization bias at weekly resolution.</w:t>
      </w:r>
      <w:r>
        <w:t xml:space="preserve"> </w:t>
      </w:r>
      <w:r>
        <w:t xml:space="preserve">All validation analyses were replicated using the Nelson–Aalen increment, yielding indistinguishable KCOR trajectories.</w:t>
      </w:r>
    </w:p>
    <w:p>
      <w:pPr>
        <w:pStyle w:val="Compact"/>
        <w:numPr>
          <w:ilvl w:val="0"/>
          <w:numId w:val="1016"/>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16"/>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50"/>
    <w:bookmarkEnd w:id="51"/>
    <w:bookmarkStart w:id="56"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bookmarkStart w:id="52" w:name="eq:normalized-cumhazard"/>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w:r>
        <w:t xml:space="preserve"> </w:t>
      </w:r>
      <w:r>
        <w:tab/>
      </w:r>
      <w:r>
        <w:t xml:space="preserve"> </w:t>
      </w:r>
      <m:oMath>
        <m:r>
          <m:rPr>
            <m:sty m:val="p"/>
          </m:rPr>
          <m:t>(</m:t>
        </m:r>
        <m:r>
          <m:t>12</m:t>
        </m:r>
        <m:r>
          <m:rPr>
            <m:sty m:val="p"/>
          </m:rPr>
          <m:t>)</m:t>
        </m:r>
      </m:oMath>
    </w:p>
    <w:bookmarkEnd w:id="52"/>
    <w:p>
      <w:pPr>
        <w:pStyle w:val="BodyText"/>
      </w:pPr>
      <w:r>
        <w:t xml:space="preserve">This normalization maps each cohort into a depletion-neutralized baseline-hazard space in which the contribution of gamma frailty parameters</w:t>
      </w:r>
      <w:r>
        <w:t xml:space="preserve"> </w:t>
      </w:r>
      <m:oMath>
        <m:r>
          <m:rPr>
            <m:sty m:val="p"/>
          </m:rPr>
          <m:t>(</m:t>
        </m:r>
        <m:sSub>
          <m:e>
            <m:acc>
              <m:accPr>
                <m:chr m:val="̂"/>
              </m:accPr>
              <m:e>
                <m:r>
                  <m:t>θ</m:t>
                </m:r>
              </m:e>
            </m:acc>
          </m:e>
          <m:sub>
            <m:r>
              <m:t>d</m:t>
            </m:r>
          </m:sub>
        </m:sSub>
        <m:r>
          <m:rPr>
            <m:sty m:val="p"/>
          </m:rPr>
          <m:t>,</m:t>
        </m:r>
        <m:sSub>
          <m:e>
            <m:acc>
              <m:accPr>
                <m:chr m:val="̂"/>
              </m:accPr>
              <m:e>
                <m:r>
                  <m:t>k</m:t>
                </m:r>
              </m:e>
            </m:acc>
          </m:e>
          <m:sub>
            <m:r>
              <m:t>d</m:t>
            </m:r>
          </m:sub>
        </m:sSub>
        <m:r>
          <m:rPr>
            <m:sty m:val="p"/>
          </m:rPr>
          <m:t>)</m:t>
        </m:r>
      </m:oMath>
      <w:r>
        <w:t xml:space="preserve"> </w:t>
      </w:r>
      <w:r>
        <w:t xml:space="preserve">to hazard curvature has been factored out. This normalization defines a common comparison scale in cumulative-hazard space; it is not equivalent to Cox partial-likelihood baseline anchoring, but serves an analogous geometric role for cumulative contrasts. In this space, cumulative hazards are directly comparable across cohorts, and remaining differences reflect real differences in baseline risk rather than selection-induced depletion.</w:t>
      </w:r>
    </w:p>
    <w:p>
      <w:pPr>
        <w:pStyle w:val="BodyText"/>
      </w:pPr>
      <w:r>
        <w:t xml:space="preserve">When</w:t>
      </w:r>
    </w:p>
    <w:p>
      <w:pPr>
        <w:pStyle w:val="BodyText"/>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this mapping leaves the observed cumulative hazard essentially unchanged, whereas cohorts with measurable depletion undergo an upward correction.</w:t>
      </w:r>
    </w:p>
    <w:p>
      <w:pPr>
        <w:pStyle w:val="BodyText"/>
      </w:pPr>
      <w:r>
        <w:t xml:space="preserve">A depletion-neutralized baseline hazard may be recovered by differencing:</w:t>
      </w:r>
    </w:p>
    <w:bookmarkStart w:id="53" w:name="eq:normalized-hazard-diff"/>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oMath>
      <w:r>
        <w:t xml:space="preserve"> </w:t>
      </w:r>
      <w:r>
        <w:tab/>
      </w:r>
      <w:r>
        <w:t xml:space="preserve"> </w:t>
      </w:r>
      <m:oMath>
        <m:r>
          <m:rPr>
            <m:sty m:val="p"/>
          </m:rPr>
          <m:t>(</m:t>
        </m:r>
        <m:r>
          <m:t>13</m:t>
        </m:r>
        <m:r>
          <m:rPr>
            <m:sty m:val="p"/>
          </m:rPr>
          <m:t>)</m:t>
        </m:r>
      </m:oMath>
    </w:p>
    <w:bookmarkEnd w:id="53"/>
    <w:p>
      <w:pPr>
        <w:pStyle w:val="BodyText"/>
      </w:pPr>
      <w:r>
        <w:t xml:space="preserve">The key object for KCOR is:</w:t>
      </w:r>
    </w:p>
    <w:p>
      <w:pPr>
        <w:pStyle w:val="BodyText"/>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oMath>
      </m:oMathPara>
    </w:p>
    <w:p>
      <w:pPr>
        <w:pStyle w:val="FirstParagraph"/>
      </w:pPr>
      <w:r>
        <w:t xml:space="preserve">Differenced hazards are optional diagnostics.</w:t>
      </w:r>
    </w:p>
    <w:p>
      <w:pPr>
        <w:pStyle w:val="BodyText"/>
      </w:pPr>
      <w:r>
        <w:t xml:space="preserve">Normalization is necessary but not sufficient. The depletion-neutralized baseline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not itself the estimand of interest. Its role is to place cohorts into a common comparison space in which selection-induced depletion dynamics have been removed. The substantive comparison—and therefore the inferential signal—arises only when these depletion-neutralized baseline cumulative hazards are compared across cohorts via the KCOR estimator (§2.8). Because normalization operates in cumulative-hazard space and removes time-varying curvature rather than rescaling instantaneous hazards, applying Cox regression to depletion-neutralized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p>
      <w:pPr>
        <w:pStyle w:val="BodyText"/>
      </w:pPr>
      <w:r>
        <w:t xml:space="preserve">In KCOR, the parametric model is used solely to estimate and invert selection-induced curvature in cumulative-hazard space; treatment comparisons are then made directly on the adjusted data. In contrast, Cox regression fits a hazard model to the observed data and derives treatment effects from model coefficients, implicitly attributing all systematic hazard divergence—including selection effects—to the exposure.</w:t>
      </w:r>
    </w:p>
    <w:bookmarkStart w:id="54" w:name="computational-considerations"/>
    <w:p>
      <w:pPr>
        <w:pStyle w:val="Heading4"/>
      </w:pPr>
      <w:r>
        <w:t xml:space="preserve">2.6.1 Computational considerations</w:t>
      </w:r>
    </w:p>
    <w:p>
      <w:pPr>
        <w:pStyle w:val="FirstParagraph"/>
      </w:pPr>
      <w:r>
        <w:t xml:space="preserve">KCOR operates on aggregated event counts in discrete time and cumulative-hazard space. Computational complexity scales linearly with the number of time bins and strata rather than the number of individuals, making the method feasible for very large population registries. In practice, KCOR analyses on national-scale datasets (millions of individuals) are memory-bound rather than CPU-bound and can be implemented efficiently using standard vectorized numerical libraries. No iterative optimization over individual-level records is required.</w:t>
      </w:r>
    </w:p>
    <w:bookmarkEnd w:id="54"/>
    <w:bookmarkStart w:id="55" w:name="Xc1f19c71d062175674bff138482e70845d20a7b"/>
    <w:p>
      <w:pPr>
        <w:pStyle w:val="Heading4"/>
      </w:pPr>
      <w:r>
        <w:t xml:space="preserve">2.6.2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7"/>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 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7"/>
        </w:numPr>
      </w:pPr>
      <w:r>
        <w:rPr>
          <w:b/>
          <w:bCs/>
        </w:rPr>
        <w:t xml:space="preserve">Fit residual structure in cumulative-hazard space.</w:t>
      </w:r>
      <w:r>
        <w:t xml:space="preserve"> </w:t>
      </w:r>
      <w:r>
        <w:t xml:space="preserve">Define residuals over the fit set</w:t>
      </w:r>
      <w:r>
        <w:t xml:space="preserve"> </w:t>
      </w:r>
      <m:oMath>
        <m:sSub>
          <m:e>
            <m:r>
              <m:rPr>
                <m:scr m:val="script"/>
                <m:sty m:val="p"/>
              </m:rPr>
              <m:t>T</m:t>
            </m:r>
          </m:e>
          <m:sub>
            <m:r>
              <m:t>d</m:t>
            </m:r>
          </m:sub>
        </m:sSub>
      </m:oMath>
      <w:r>
        <w:t xml:space="preserve">:</w:t>
      </w:r>
    </w:p>
    <w:p>
      <w:pPr>
        <w:pStyle w:val="FirstParagraph"/>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FirstParagraph"/>
      </w:pPr>
      <w:r>
        <w:t xml:space="preserve">KCOR expects residuals to be small and not systematically time-structured. Strongly patterned residuals indicate that the curvature attributed to depletion is instead being driven by unmodeled time-varying hazards.</w:t>
      </w:r>
    </w:p>
    <w:p>
      <w:pPr>
        <w:pStyle w:val="Compact"/>
        <w:numPr>
          <w:ilvl w:val="0"/>
          <w:numId w:val="1018"/>
        </w:numPr>
      </w:pPr>
      <w:r>
        <w:rPr>
          <w:b/>
          <w:bCs/>
        </w:rPr>
        <w:t xml:space="preserve">Parameter stability to window perturbations.</w:t>
      </w:r>
      <w:r>
        <w:t xml:space="preserve"> </w:t>
      </w:r>
      <w:r>
        <w:t xml:space="preserve">Under valid quiet-window selection,</w:t>
      </w:r>
    </w:p>
    <w:p>
      <w:pPr>
        <w:pStyle w:val="FirstParagraph"/>
      </w:pPr>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m:oMathPara>
    </w:p>
    <w:p>
      <w:pPr>
        <w:pStyle w:val="FirstParagraph"/>
      </w:pPr>
      <w:r>
        <w:t xml:space="preserve">should be stable to small perturbations of the quiet-window boundaries (e.g., ±4 weeks). Large changes in fitted frailty variance under small boundary shifts signal that the fitted curvature is sensitive to transient dynamics rather than stable depletion.</w:t>
      </w:r>
    </w:p>
    <w:p>
      <w:pPr>
        <w:pStyle w:val="Compact"/>
        <w:numPr>
          <w:ilvl w:val="0"/>
          <w:numId w:val="1019"/>
        </w:numPr>
      </w:pPr>
      <w:r>
        <w:rPr>
          <w:b/>
          <w:bCs/>
        </w:rPr>
        <w:t xml:space="preserve">Non-identifiability manifests as:</w:t>
      </w:r>
    </w:p>
    <w:p>
      <w:pPr>
        <w:pStyle w:val="FirstParagraph"/>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BodyText"/>
      </w:pPr>
      <w:r>
        <w:t xml:space="preserve">These diagnostics are reported alongside KCOR</w:t>
      </w:r>
      <m:oMath>
        <m:r>
          <m:rPr>
            <m:sty m:val="p"/>
          </m:rPr>
          <m:t>(</m:t>
        </m:r>
        <m:r>
          <m:t>t</m:t>
        </m:r>
        <m:r>
          <m:rPr>
            <m:sty m:val="p"/>
          </m:rPr>
          <m:t>)</m:t>
        </m:r>
      </m:oMath>
      <w:r>
        <w:t xml:space="preserve"> </w:t>
      </w:r>
      <w:r>
        <w:t xml:space="preserve">curves.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 Failure of these diagnostics indicates that the depletion-based normalization is inappropriate, in which case KCOR should not be interpreted.</w:t>
      </w:r>
    </w:p>
    <w:bookmarkEnd w:id="55"/>
    <w:bookmarkEnd w:id="56"/>
    <w:bookmarkStart w:id="58"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bookmarkStart w:id="57" w:name="eq:effective-hazard-skip"/>
    <w:p>
      <w:pPr>
        <w:pStyle w:val="BodyText"/>
      </w:pPr>
      <w:pPr>
        <w:tabs>
          <w:tab w:val="center" w:leader="none" w:pos="4680"/>
          <w:tab w:val="right" w:leader="none" w:pos="9360"/>
        </w:tabs>
      </w:pPr>
      <w:r>
        <w:tab/>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oMath>
      <w:r>
        <w:t xml:space="preserve"> </w:t>
      </w:r>
      <w:r>
        <w:tab/>
      </w:r>
      <w:r>
        <w:t xml:space="preserve"> </w:t>
      </w:r>
      <m:oMath>
        <m:r>
          <m:rPr>
            <m:sty m:val="p"/>
          </m:rPr>
          <m:t>(</m:t>
        </m:r>
        <m:r>
          <m:t>14</m:t>
        </m:r>
        <m:r>
          <m:rPr>
            <m:sty m:val="p"/>
          </m:rPr>
          <m:t>)</m:t>
        </m:r>
      </m:oMath>
    </w:p>
    <w:bookmarkEnd w:id="57"/>
    <w:p>
      <w:pPr>
        <w:pStyle w:val="BodyText"/>
      </w:pPr>
      <w:r>
        <w:t xml:space="preserve">Then compute observed cumulative hazards 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bookmarkEnd w:id="58"/>
    <w:bookmarkStart w:id="60" w:name="kcor-estimator"/>
    <w:p>
      <w:pPr>
        <w:pStyle w:val="Heading3"/>
      </w:pPr>
      <w:r>
        <w:t xml:space="preserve">2.8 KCOR estimator</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bookmarkStart w:id="59" w:name="eq:kcor-estimator"/>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15</m:t>
        </m:r>
        <m:r>
          <m:rPr>
            <m:sty m:val="p"/>
          </m:rPr>
          <m:t>)</m:t>
        </m:r>
      </m:oMath>
    </w:p>
    <w:bookmarkEnd w:id="59"/>
    <w:p>
      <w:pPr>
        <w:pStyle w:val="BodyText"/>
      </w:pPr>
      <w:r>
        <w:t xml:space="preserve">This is a cumulative comparison in hazard space after removing cohort-specific selection-induced depletion dynamics estimated during quiet periods.</w:t>
      </w:r>
    </w:p>
    <w:bookmarkEnd w:id="60"/>
    <w:bookmarkStart w:id="62" w:name="uncertainty-quantification"/>
    <w:p>
      <w:pPr>
        <w:pStyle w:val="Heading3"/>
      </w:pPr>
      <w:r>
        <w:t xml:space="preserve">2.9 Uncertainty quantification</w:t>
      </w:r>
    </w:p>
    <w:p>
      <w:pPr>
        <w:pStyle w:val="FirstParagraph"/>
      </w:pPr>
      <w:r>
        <w:t xml:space="preserve">Uncertainty is quantified using bootstrap resampling as described below, propagating uncertainty in both the event process and the fitted depletion parameters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w:t>
      </w:r>
    </w:p>
    <w:p>
      <w:pPr>
        <w:pStyle w:val="BodyText"/>
      </w:pPr>
      <w:r>
        <w:t xml:space="preserve">Bootstrap resampling is preferred over asymptotic approximations (e.g., delta method) for several reasons. First, frailty parameter estimation involves nonlinear optimization, and the uncertainty in</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propagates nonlinearly through the gamma-frailty inversion to the normalized cumulative hazards. Bootstrap naturally captures this estimation uncertainty without requiring normal approximation assumptions. Second, the transformation from observed to normalized cumulative hazards via the gamma-frailty inversion is nonlinear, making closed-form variance propagation difficult. Bootstrap resampling propagates uncertainty through the entire pipeline—from event counts through frailty fitting, inversion, and KCOR computation—without requiring linearization assumptions. Coverage below 95% under model misspecification (e.g., non-gamma frailty) is expected and diagnostic, signaling when the working frailty model inadequately captures the true depletion geometry.</w:t>
      </w:r>
    </w:p>
    <w:bookmarkStart w:id="61" w:name="stratified-bootstrap-procedure"/>
    <w:p>
      <w:pPr>
        <w:pStyle w:val="Heading4"/>
      </w:pPr>
      <w:r>
        <w:t xml:space="preserve">2.9.1 Stratified bootstrap procedure</w:t>
      </w:r>
    </w:p>
    <w:p>
      <w:pPr>
        <w:pStyle w:val="FirstParagraph"/>
      </w:pPr>
      <w:r>
        <w:t xml:space="preserve">The stratified bootstrap procedure for KCOR proceeds as follows:</w:t>
      </w:r>
    </w:p>
    <w:p>
      <w:pPr>
        <w:numPr>
          <w:ilvl w:val="0"/>
          <w:numId w:val="1020"/>
        </w:numPr>
      </w:pPr>
      <w:r>
        <w:rPr>
          <w:b/>
          <w:bCs/>
        </w:rPr>
        <w:t xml:space="preserve">Resample individuals (or counts).</w:t>
      </w:r>
      <w:r>
        <w:t xml:space="preserve"> </w:t>
      </w:r>
      <w:r>
        <w:t xml:space="preserve">Within each cohort and stratum (e.g., age group), resample individuals with replacement, preserving the original cohort and stratum structure. Alternatively, for aggregated data, resample event counts and risk-set sizes within each time bin and stratum.</w:t>
      </w:r>
    </w:p>
    <w:p>
      <w:pPr>
        <w:numPr>
          <w:ilvl w:val="0"/>
          <w:numId w:val="1020"/>
        </w:numPr>
      </w:pPr>
      <w:r>
        <w:rPr>
          <w:b/>
          <w:bCs/>
        </w:rPr>
        <w:t xml:space="preserve">Re-estimate frailty parameters.</w:t>
      </w:r>
      <w:r>
        <w:t xml:space="preserve"> </w:t>
      </w:r>
      <w:r>
        <w:t xml:space="preserve">For each bootstrap replicate, re-estimate</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the resampled data, applying the same quiet-window selection and fitting procedure as in the primary analysis.</w:t>
      </w:r>
    </w:p>
    <w:p>
      <w:pPr>
        <w:numPr>
          <w:ilvl w:val="0"/>
          <w:numId w:val="1020"/>
        </w:numPr>
      </w:pPr>
      <w:r>
        <w:rPr>
          <w:b/>
          <w:bCs/>
        </w:rPr>
        <w:t xml:space="preserve">Recompute normalized cumulative hazards.</w:t>
      </w:r>
      <w:r>
        <w:t xml:space="preserve"> </w:t>
      </w:r>
      <w:r>
        <w:t xml:space="preserve">Using the bootstrap-estimated frailty parameters, recompute</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for each cohort via the gamma-frailty inversion applied to the resampled observed cumulative hazards.</w:t>
      </w:r>
    </w:p>
    <w:p>
      <w:pPr>
        <w:numPr>
          <w:ilvl w:val="0"/>
          <w:numId w:val="1020"/>
        </w:numPr>
      </w:pPr>
      <w:r>
        <w:rPr>
          <w:b/>
          <w:bCs/>
        </w:rPr>
        <w:t xml:space="preserve">Recompute KCOR.</w:t>
      </w:r>
      <w:r>
        <w:t xml:space="preserve"> </w:t>
      </w:r>
      <w:r>
        <w:t xml:space="preserve">Compute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for each bootstrap replicate as the ratio of the bootstrap-normalized cumulative hazards.</w:t>
      </w:r>
    </w:p>
    <w:p>
      <w:pPr>
        <w:numPr>
          <w:ilvl w:val="0"/>
          <w:numId w:val="1020"/>
        </w:numPr>
      </w:pPr>
      <w:r>
        <w:rPr>
          <w:b/>
          <w:bCs/>
        </w:rPr>
        <w:t xml:space="preserve">Form percentile intervals.</w:t>
      </w:r>
      <w:r>
        <w:t xml:space="preserve"> </w:t>
      </w:r>
      <w:r>
        <w:t xml:space="preserve">From the bootstrap distribution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at each time point, form percentile-based confidence intervals (e.g., 2.5th and 97.5th percentiles for 95% intervals).</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61"/>
    <w:bookmarkEnd w:id="62"/>
    <w:bookmarkStart w:id="67" w:name="Xf552aaad3b83b889e2d08c64d65c17176bae771"/>
    <w:p>
      <w:pPr>
        <w:pStyle w:val="Heading3"/>
      </w:pPr>
      <w:r>
        <w:t xml:space="preserve">2.10 Algorithm summary and reproducibility checklist</w:t>
      </w:r>
    </w:p>
    <w:p>
      <w:pPr>
        <w:pStyle w:val="FirstParagraph"/>
      </w:pPr>
      <w:r>
        <w:t xml:space="preserve">Table 5 summarizes the complete KCOR pipeline.</w:t>
      </w:r>
    </w:p>
    <w:bookmarkStart w:id="66" w:name="fig:kcor_workflow"/>
    <w:p>
      <w:pPr>
        <w:pStyle w:val="CaptionedFigure"/>
      </w:pPr>
      <w:r>
        <w:drawing>
          <wp:inline>
            <wp:extent cx="5334000" cy="4161526"/>
            <wp:effectExtent b="0" l="0" r="0" t="0"/>
            <wp:docPr descr="Figure 1. KCOR as a two-stage framework. (A) Fixed-cohort cumulative hazards exhibit curvature due to selection-induced depletion; late-time curvature is used to estimate frailty parameters for normalization. (B) Gamma-frailty normalization yields approximately linearized cumulative hazards that are directly comparable across cohorts; \mathrm{KCOR}(t), defined as the ratio of depletion-neutralized baseline cumulative hazards, is near-flat under the null and deviates only under net hazard differences. In the schematic, \tilde{H}_{0,d}(t) denotes the depletion-neutralized baseline cumulative hazard." title="" id="64" name="Picture"/>
            <a:graphic>
              <a:graphicData uri="http://schemas.openxmlformats.org/drawingml/2006/picture">
                <pic:pic>
                  <pic:nvPicPr>
                    <pic:cNvPr descr="figures/fig_kcor_workflow.png" id="65" name="Picture"/>
                    <pic:cNvPicPr>
                      <a:picLocks noChangeArrowheads="1" noChangeAspect="1"/>
                    </pic:cNvPicPr>
                  </pic:nvPicPr>
                  <pic:blipFill>
                    <a:blip r:embed="rId63"/>
                    <a:stretch>
                      <a:fillRect/>
                    </a:stretch>
                  </pic:blipFill>
                  <pic:spPr bwMode="auto">
                    <a:xfrm>
                      <a:off x="0" y="0"/>
                      <a:ext cx="5334000" cy="4161526"/>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KCOR as a two-stage framework.</w:t>
      </w:r>
      <w:r>
        <w:t xml:space="preserve"> </w:t>
      </w:r>
      <w:r>
        <w:rPr>
          <w:b/>
          <w:bCs/>
        </w:rPr>
        <w:t xml:space="preserve">(A)</w:t>
      </w:r>
      <w:r>
        <w:t xml:space="preserve"> </w:t>
      </w:r>
      <w:r>
        <w:t xml:space="preserve">Fixed-cohort cumulative hazards exhibit curvature due to selection-induced depletion; late-time curvature is used to estimate frailty parameters for normalization.</w:t>
      </w:r>
      <w:r>
        <w:t xml:space="preserve"> </w:t>
      </w:r>
      <w:r>
        <w:rPr>
          <w:b/>
          <w:bCs/>
        </w:rPr>
        <w:t xml:space="preserve">(B)</w:t>
      </w:r>
      <w:r>
        <w:t xml:space="preserve"> </w:t>
      </w:r>
      <w:r>
        <w:t xml:space="preserve">Gamma-frailty normalization yields approximately linearized cumulative hazards that are directly comparable across cohorts;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defined as the ratio of depletion-neutralized baseline cumulative hazards, is near-flat under the null and deviates only under net hazard differences.</w:t>
      </w:r>
      <w:r>
        <w:t xml:space="preserve"> </w:t>
      </w:r>
      <w:r>
        <w:rPr>
          <w:i/>
          <w:iCs/>
        </w:rPr>
        <w:t xml:space="preserve">In the schematic,</w:t>
      </w:r>
      <w:r>
        <w:rPr>
          <w:i/>
          <w:iCs/>
        </w:rPr>
        <w:t xml:space="preserve"> </w:t>
      </w:r>
      <m:oMath>
        <m:sSub>
          <m:e>
            <m:acc>
              <m:accPr>
                <m:chr m:val="̃"/>
              </m:accPr>
              <m:e>
                <m:r>
                  <m:t>H</m:t>
                </m:r>
              </m:e>
            </m:acc>
          </m:e>
          <m:sub>
            <m:r>
              <m:t>0</m:t>
            </m:r>
            <m:r>
              <m:rPr>
                <m:sty m:val="p"/>
              </m:rPr>
              <m:t>,</m:t>
            </m:r>
            <m:r>
              <m:t>d</m:t>
            </m:r>
          </m:sub>
        </m:sSub>
        <m:r>
          <m:rPr>
            <m:sty m:val="p"/>
          </m:rPr>
          <m:t>(</m:t>
        </m:r>
        <m:r>
          <m:t>t</m:t>
        </m:r>
        <m:r>
          <m:rPr>
            <m:sty m:val="p"/>
          </m:rPr>
          <m:t>)</m:t>
        </m:r>
      </m:oMath>
      <w:r>
        <w:rPr>
          <w:i/>
          <w:iCs/>
        </w:rPr>
        <w:t xml:space="preserve"> </w:t>
      </w:r>
      <w:r>
        <w:rPr>
          <w:i/>
          <w:iCs/>
        </w:rPr>
        <w:t xml:space="preserve">denotes the depletion-neutralized baseline cumulative hazard.</w:t>
      </w:r>
    </w:p>
    <w:bookmarkEnd w:id="66"/>
    <w:bookmarkEnd w:id="67"/>
    <w:bookmarkStart w:id="78" w:name="relationship-to-cox-proportional-hazards"/>
    <w:p>
      <w:pPr>
        <w:pStyle w:val="Heading3"/>
      </w:pPr>
      <w:r>
        <w:t xml:space="preserve">2.11 Relationship to Cox proportional hazards</w:t>
      </w:r>
    </w:p>
    <w:p>
      <w:pPr>
        <w:pStyle w:val="FirstParagraph"/>
      </w:pPr>
      <w:r>
        <w:t xml:space="preserve">Cox proportional hazards models estimate an instantaneous hazard ratio under the assumption that hazards differ by a time-invariant multiplicative factor. Under selective uptake with latent frailty heterogeneity, this assumption is typically violated, yielding time-varying hazard ratios induced purely by depletion dynamics. This reflects an estimand mismatch: Cox targets a different quantity under depletion than KCOR’s cumulative hazard estimand. Cox is behaving correctly for its estimand, but that estimand may not align with the scientific question when selection-induced depletion is present. Accordingly, Cox results are presented here as a diagnostic demonstration of estimand mismatch, not as a competing causal estimator.</w:t>
      </w:r>
    </w:p>
    <w:p>
      <w:pPr>
        <w:pStyle w:val="BodyText"/>
      </w:pPr>
      <w:r>
        <w:t xml:space="preserve">Cox regression estimates a weighted average hazard ratio under non-proportional hazards; KCOR targets a cumulative hazard estimand. Even when Cox models are extended with shared frailty to accommodate heterogeneity, they continue to estimate instantaneous hazard ratios conditional on survival, whereas KCOR estimates cumulative contrasts after explicit depletion normalization.</w:t>
      </w:r>
    </w:p>
    <w:p>
      <w:pPr>
        <w:pStyle w:val="BodyText"/>
      </w:pPr>
      <w:r>
        <w:t xml:space="preserve">Conceptually, Cox regression estimates a treatment effect by fitting a hazard model to the observed data and reading the effect from the fitted coefficients, whereas KCOR uses a parametric model only to normalize the observed data for selection-induced depletion and then computes cohort contrasts directly from the depletion-neutralized baseline cumulative hazards themselves.</w:t>
      </w:r>
    </w:p>
    <w:bookmarkStart w:id="76" w:name="X3af45993d90b0829bcc5fa36f447ebd1f6c3bc8"/>
    <w:p>
      <w:pPr>
        <w:pStyle w:val="Heading4"/>
      </w:pPr>
      <w:r>
        <w:t xml:space="preserve">2.11.1 Demonstration: Cox bias under frailty heterogeneity with no treatment effect</w:t>
      </w:r>
    </w:p>
    <w:p>
      <w:pPr>
        <w:pStyle w:val="FirstParagraph"/>
      </w:pPr>
      <w:r>
        <w:t xml:space="preserve">We conducted a controlled synthetic experiment in which the</w:t>
      </w:r>
      <w:r>
        <w:t xml:space="preserve"> </w:t>
      </w:r>
      <w:r>
        <w:rPr>
          <w:b/>
          <w:bCs/>
        </w:rPr>
        <w:t xml:space="preserve">true causal effect is known to be zero by construction</w:t>
      </w:r>
      <w:r>
        <w:t xml:space="preserve">, isolating latent frailty heterogeneity as the sole driver of depletion-induced non-proportional hazards. Cox and KCOR were applied to the same simulated datasets under identical information constraints.</w:t>
      </w:r>
    </w:p>
    <w:p>
      <w:pPr>
        <w:pStyle w:val="BodyText"/>
      </w:pPr>
      <w:r>
        <w:rPr>
          <w:b/>
          <w:bCs/>
        </w:rPr>
        <w:t xml:space="preserve">Data-generating process.</w:t>
      </w:r>
    </w:p>
    <w:p>
      <w:pPr>
        <w:pStyle w:val="BodyText"/>
      </w:pPr>
      <w:r>
        <w:t xml:space="preserve">Two cohorts of equal size were simulated under the same baseline hazard</w:t>
      </w:r>
      <w:r>
        <w:t xml:space="preserve"> </w:t>
      </w:r>
      <m:oMath>
        <m:sSub>
          <m:e>
            <m:r>
              <m:t>h</m:t>
            </m:r>
          </m:e>
          <m:sub>
            <m:r>
              <m:t>0</m:t>
            </m:r>
          </m:sub>
        </m:sSub>
        <m:r>
          <m:rPr>
            <m:sty m:val="p"/>
          </m:rPr>
          <m:t>(</m:t>
        </m:r>
        <m:r>
          <m:t>t</m:t>
        </m:r>
        <m:r>
          <m:rPr>
            <m:sty m:val="p"/>
          </m:rPr>
          <m:t>)</m:t>
        </m:r>
      </m:oMath>
      <w:r>
        <w:t xml:space="preserve"> </w:t>
      </w:r>
      <w:r>
        <w:t xml:space="preserve">over time (constant or Gompertz). Individual hazards were generated as</w:t>
      </w:r>
      <w:r>
        <w:t xml:space="preserve"> </w:t>
      </w:r>
      <m:oMath>
        <m:r>
          <m:t>z</m:t>
        </m:r>
        <m:r>
          <m:t> </m:t>
        </m:r>
        <m:sSub>
          <m:e>
            <m:r>
              <m:t>h</m:t>
            </m:r>
          </m:e>
          <m:sub>
            <m:r>
              <m:t>0</m:t>
            </m:r>
          </m:sub>
        </m:sSub>
        <m:r>
          <m:rPr>
            <m:sty m:val="p"/>
          </m:rPr>
          <m:t>(</m:t>
        </m:r>
        <m:r>
          <m:t>t</m:t>
        </m:r>
        <m:r>
          <m:rPr>
            <m:sty m:val="p"/>
          </m:rPr>
          <m:t>)</m:t>
        </m:r>
      </m:oMath>
      <w:r>
        <w:t xml:space="preserve">, with frailty</w:t>
      </w:r>
    </w:p>
    <w:p>
      <w:pPr>
        <w:pStyle w:val="BodyText"/>
      </w:pPr>
      <m:oMathPara>
        <m:oMathParaPr>
          <m:jc m:val="center"/>
        </m:oMathParaPr>
        <m:oMath>
          <m:r>
            <m:t>z</m:t>
          </m:r>
          <m:r>
            <m:rPr>
              <m:sty m:val="p"/>
            </m:rPr>
            <m:t>∼</m:t>
          </m:r>
          <m:r>
            <m:rPr>
              <m:nor/>
              <m:sty m:val="p"/>
            </m:rPr>
            <m:t>Gamma</m:t>
          </m:r>
          <m:r>
            <m:rPr>
              <m:sty m:val="p"/>
            </m:rPr>
            <m:t>(</m:t>
          </m:r>
          <m:sSup>
            <m:e>
              <m:r>
                <m:t>θ</m:t>
              </m:r>
            </m:e>
            <m:sup>
              <m:r>
                <m:rPr>
                  <m:sty m:val="p"/>
                </m:rPr>
                <m:t>−</m:t>
              </m:r>
              <m:r>
                <m:t>1</m:t>
              </m:r>
            </m:sup>
          </m:sSup>
          <m:r>
            <m:rPr>
              <m:sty m:val="p"/>
            </m:rPr>
            <m:t>,</m:t>
          </m:r>
          <m:sSup>
            <m:e>
              <m:r>
                <m:t>θ</m:t>
              </m:r>
            </m:e>
            <m:sup>
              <m:r>
                <m:rPr>
                  <m:sty m:val="p"/>
                </m:rPr>
                <m:t>−</m:t>
              </m:r>
              <m:r>
                <m:t>1</m:t>
              </m:r>
            </m:sup>
          </m:sSup>
          <m:r>
            <m:rPr>
              <m:sty m:val="p"/>
            </m:rPr>
            <m:t>)</m:t>
          </m:r>
          <m:r>
            <m:rPr>
              <m:sty m:val="p"/>
            </m:rPr>
            <m:t>,</m:t>
          </m:r>
        </m:oMath>
      </m:oMathPara>
    </w:p>
    <w:p>
      <w:pPr>
        <w:pStyle w:val="FirstParagraph"/>
      </w:pPr>
      <w:r>
        <w:t xml:space="preserve">with mean 1 and variance</w:t>
      </w:r>
      <w:r>
        <w:t xml:space="preserve"> </w:t>
      </w:r>
      <m:oMath>
        <m:r>
          <m:t>θ</m:t>
        </m:r>
      </m:oMath>
      <w:r>
        <w:t xml:space="preserve">.</w:t>
      </w:r>
    </w:p>
    <w:p>
      <w:pPr>
        <w:pStyle w:val="BodyText"/>
      </w:pPr>
      <w:r>
        <w:t xml:space="preserve">Cohort A was generated with</w:t>
      </w:r>
      <w:r>
        <w:t xml:space="preserve"> </w:t>
      </w:r>
      <m:oMath>
        <m:r>
          <m:t>θ</m:t>
        </m:r>
        <m:r>
          <m:rPr>
            <m:sty m:val="p"/>
          </m:rPr>
          <m:t>=</m:t>
        </m:r>
        <m:r>
          <m:t>0</m:t>
        </m:r>
      </m:oMath>
      <w:r>
        <w:t xml:space="preserve"> </w:t>
      </w:r>
      <w:r>
        <w:t xml:space="preserve">(no frailty heterogeneity), while Cohort B was generated with</w:t>
      </w:r>
      <w:r>
        <w:t xml:space="preserve"> </w:t>
      </w:r>
      <m:oMath>
        <m:r>
          <m:t>θ</m:t>
        </m:r>
        <m:r>
          <m:rPr>
            <m:sty m:val="p"/>
          </m:rPr>
          <m:t>&gt;</m:t>
        </m:r>
        <m:r>
          <m:t>0</m:t>
        </m:r>
      </m:oMath>
      <w:r>
        <w:t xml:space="preserve">.</w:t>
      </w:r>
      <w:r>
        <w:t xml:space="preserve"> </w:t>
      </w:r>
      <w:r>
        <w:rPr>
          <w:b/>
          <w:bCs/>
        </w:rPr>
        <w:t xml:space="preserve">No treatment or intervention effect was applied</w:t>
      </w:r>
      <w:r>
        <w:t xml:space="preserve">: conditional on frailty, the two cohorts have identical hazards at all times. Thus, the true causal hazard ratio between cohorts is exactly 1 for all</w:t>
      </w:r>
      <w:r>
        <w:t xml:space="preserve"> </w:t>
      </w:r>
      <m:oMath>
        <m:r>
          <m:t>t</m:t>
        </m:r>
      </m:oMath>
      <w:r>
        <w:t xml:space="preserve">.</w:t>
      </w:r>
    </w:p>
    <w:p>
      <w:pPr>
        <w:pStyle w:val="BodyText"/>
      </w:pPr>
      <w:r>
        <w:t xml:space="preserve">Simulations were repeated over a grid of frailty variances</w:t>
      </w:r>
      <w:r>
        <w:t xml:space="preserve"> </w:t>
      </w:r>
      <m:oMath>
        <m:r>
          <m:t>θ</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r>
          <m:t>10</m:t>
        </m:r>
        <m:r>
          <m:rPr>
            <m:sty m:val="p"/>
          </m:rPr>
          <m:t>,</m:t>
        </m:r>
        <m:r>
          <m:t>20</m:t>
        </m:r>
        <m:r>
          <m:rPr>
            <m:sty m:val="p"/>
          </m:rPr>
          <m:t>}</m:t>
        </m:r>
      </m:oMath>
      <w:r>
        <w:t xml:space="preserve">.</w:t>
      </w:r>
    </w:p>
    <w:p>
      <w:pPr>
        <w:pStyle w:val="BodyText"/>
      </w:pPr>
      <w:r>
        <w:rPr>
          <w:b/>
          <w:bCs/>
        </w:rPr>
        <w:t xml:space="preserve">Cox analysis.</w:t>
      </w:r>
    </w:p>
    <w:p>
      <w:pPr>
        <w:pStyle w:val="BodyText"/>
      </w:pPr>
      <w:r>
        <w:t xml:space="preserve">For each simulated dataset, we fitted a standard Cox proportional hazards model using partial likelihood (statsmodels</w:t>
      </w:r>
      <w:r>
        <w:t xml:space="preserve"> </w:t>
      </w:r>
      <w:r>
        <w:rPr>
          <w:rStyle w:val="VerbatimChar"/>
        </w:rPr>
        <w:t xml:space="preserve">PHReg</w:t>
      </w:r>
      <w:r>
        <w:t xml:space="preserve">), with cohort membership as the sole covariate (no time-varying covariates or interactions). The resulting hazard ratio estimates and confidence intervals therefore reflect</w:t>
      </w:r>
      <w:r>
        <w:t xml:space="preserve"> </w:t>
      </w:r>
      <w:r>
        <w:rPr>
          <w:b/>
          <w:bCs/>
        </w:rPr>
        <w:t xml:space="preserve">only differences induced by frailty-driven depletion</w:t>
      </w:r>
      <w:r>
        <w:t xml:space="preserve">, not any causal effect.</w:t>
      </w:r>
    </w:p>
    <w:p>
      <w:pPr>
        <w:pStyle w:val="BodyText"/>
      </w:pPr>
      <w:r>
        <w:rPr>
          <w:b/>
          <w:bCs/>
        </w:rPr>
        <w:t xml:space="preserve">KCOR analysis.</w:t>
      </w:r>
    </w:p>
    <w:p>
      <w:pPr>
        <w:pStyle w:val="BodyText"/>
      </w:pPr>
      <w:r>
        <w:t xml:space="preserve">The same simulated datasets were analyzed using KCOR. For the synthetic datasets, cohort-specific observed cumulative hazards were estimated nonparametrically using the Nelson–Aalen estimator, then mapped to depletion-neutralized baseline cumulative hazards via the gamma-frailty inversion prior to computing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Although the data-generating process specifies individual hazards, cumulative hazards were estimated from simulated event-time data using Nelson–Aalen to mirror the information available in observational registry studies, rather than exploiting simulator-only knowledge. Frailty parameters were estimated during a prespecified quiet window, followed by cumulative-hazard normalization and computation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Post-normalization slope and asymptotic</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were examined to assess departure from the null.</w:t>
      </w:r>
    </w:p>
    <w:p>
      <w:pPr>
        <w:pStyle w:val="BodyText"/>
      </w:pPr>
      <w:r>
        <w:rPr>
          <w:b/>
          <w:bCs/>
        </w:rPr>
        <w:t xml:space="preserve">Expected behavior under the null.</w:t>
      </w:r>
    </w:p>
    <w:p>
      <w:pPr>
        <w:pStyle w:val="BodyText"/>
      </w:pPr>
      <w:r>
        <w:t xml:space="preserve">Because the data-generating process includes</w:t>
      </w:r>
      <w:r>
        <w:t xml:space="preserve"> </w:t>
      </w:r>
      <w:r>
        <w:rPr>
          <w:b/>
          <w:bCs/>
        </w:rPr>
        <w:t xml:space="preserve">no treatment effect</w:t>
      </w:r>
      <w:r>
        <w:t xml:space="preserve">, any valid estimator should return a null result. In this setting:</w:t>
      </w:r>
    </w:p>
    <w:p>
      <w:pPr>
        <w:pStyle w:val="Compact"/>
        <w:numPr>
          <w:ilvl w:val="0"/>
          <w:numId w:val="1021"/>
        </w:numPr>
      </w:pPr>
      <w:r>
        <w:rPr>
          <w:b/>
          <w:bCs/>
        </w:rPr>
        <w:t xml:space="preserve">Cox regression</w:t>
      </w:r>
      <w:r>
        <w:t xml:space="preserve"> </w:t>
      </w:r>
      <w:r>
        <w:t xml:space="preserve">is expected to produce apparent non-null hazard ratios as</w:t>
      </w:r>
      <w:r>
        <w:t xml:space="preserve"> </w:t>
      </w:r>
      <m:oMath>
        <m:r>
          <m:t>θ</m:t>
        </m:r>
      </m:oMath>
      <w:r>
        <w:t xml:space="preserve"> </w:t>
      </w:r>
      <w:r>
        <w:t xml:space="preserve">increases, reflecting differential depletion of susceptibles and violation of proportional hazards induced by frailty heterogeneity.</w:t>
      </w:r>
    </w:p>
    <w:p>
      <w:pPr>
        <w:pStyle w:val="Compact"/>
        <w:numPr>
          <w:ilvl w:val="0"/>
          <w:numId w:val="1021"/>
        </w:numPr>
      </w:pPr>
      <w:r>
        <w:rPr>
          <w:b/>
          <w:bCs/>
        </w:rPr>
        <w:t xml:space="preserve">KCOR</w:t>
      </w:r>
      <w:r>
        <w:t xml:space="preserve"> </w:t>
      </w:r>
      <w:r>
        <w:t xml:space="preserve">is expected to remain centered near unity with negligible post-normalization slope across all</w:t>
      </w:r>
      <w:r>
        <w:t xml:space="preserve"> </w:t>
      </w:r>
      <m:oMath>
        <m:r>
          <m:t>θ</m:t>
        </m:r>
      </m:oMath>
      <w:r>
        <w:t xml:space="preserve">, consistent with correct null behavior after depletion normalization.</w:t>
      </w:r>
    </w:p>
    <w:p>
      <w:pPr>
        <w:pStyle w:val="FirstParagraph"/>
      </w:pPr>
      <w:r>
        <w:rPr>
          <w:b/>
          <w:bCs/>
        </w:rPr>
        <w:t xml:space="preserve">Summary of findings.</w:t>
      </w:r>
    </w:p>
    <w:p>
      <w:pPr>
        <w:pStyle w:val="BodyText"/>
      </w:pPr>
      <w:r>
        <w:t xml:space="preserve">Across increasing values of</w:t>
      </w:r>
      <w:r>
        <w:t xml:space="preserve"> </w:t>
      </w:r>
      <m:oMath>
        <m:r>
          <m:t>θ</m:t>
        </m:r>
      </m:oMath>
      <w:r>
        <w:t xml:space="preserve">, Cox regression produced progressively larger apparent deviations from a hazard ratio of 1. The direction and magnitude of the apparent effect depended on the follow-up horizon and degree of frailty heterogeneity. In contrast,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remained stable and centered near unity, with post-normalization slopes approximately zero across all simulated conditions.</w:t>
      </w:r>
    </w:p>
    <w:p>
      <w:pPr>
        <w:pStyle w:val="BodyText"/>
      </w:pPr>
      <w:r>
        <w:t xml:space="preserve">These results demonstrate that</w:t>
      </w:r>
      <w:r>
        <w:t xml:space="preserve"> </w:t>
      </w:r>
      <w:r>
        <w:rPr>
          <w:b/>
          <w:bCs/>
        </w:rPr>
        <w:t xml:space="preserve">frailty heterogeneity alone is sufficient to induce spurious hazard ratios in Cox regression</w:t>
      </w:r>
      <w:r>
        <w:t xml:space="preserve">, while KCOR correctly returns a null result under the same conditions.</w:t>
      </w:r>
    </w:p>
    <w:p>
      <w:pPr>
        <w:pStyle w:val="BodyText"/>
      </w:pPr>
      <w:r>
        <w:t xml:space="preserve">PLACEHOLDER See Table 6.</w:t>
      </w:r>
    </w:p>
    <w:bookmarkStart w:id="71" w:name="fig:cox_bias_hr"/>
    <w:p>
      <w:pPr>
        <w:pStyle w:val="CaptionedFigure"/>
      </w:pPr>
      <w:r>
        <w:drawing>
          <wp:inline>
            <wp:extent cx="5334000" cy="3975680"/>
            <wp:effectExtent b="0" l="0" r="0" t="0"/>
            <wp:docPr descr="Figure 2. Cox regression produces spurious non-null hazard ratios under a synthetic null as frailty heterogeneity increases. Hazard ratios (with 95% confidence intervals) from Cox proportional hazards regression comparing cohort B to cohort A in simulations where the true treatment effect is identically zero and cohorts differ only in frailty variance (\theta). Deviations from HR=1 arise solely from frailty-driven depletion and associated non-proportional hazards." title="" id="69" name="Picture"/>
            <a:graphic>
              <a:graphicData uri="http://schemas.openxmlformats.org/drawingml/2006/picture">
                <pic:pic>
                  <pic:nvPicPr>
                    <pic:cNvPr descr="figures/fig_cox_bias_hr_vs_theta.png" id="70" name="Picture"/>
                    <pic:cNvPicPr>
                      <a:picLocks noChangeArrowheads="1" noChangeAspect="1"/>
                    </pic:cNvPicPr>
                  </pic:nvPicPr>
                  <pic:blipFill>
                    <a:blip r:embed="rId68"/>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2. Cox regression produces spurious non-null hazard ratios under a</w:t>
      </w:r>
      <w:r>
        <w:t xml:space="preserve"> </w:t>
      </w:r>
      <w:r>
        <w:rPr>
          <w:i/>
          <w:iCs/>
        </w:rPr>
        <w:t xml:space="preserve">synthetic null</w:t>
      </w:r>
      <w:r>
        <w:t xml:space="preserve"> </w:t>
      </w:r>
      <w:r>
        <w:t xml:space="preserve">as frailty heterogeneity increases. Hazard ratios (with 95% confidence intervals) from Cox proportional hazards regression comparing cohort B to cohort A in simulations where the true treatment effect is identically zero and cohorts differ only in frailty variance (</w:t>
      </w:r>
      <m:oMath>
        <m:r>
          <m:t>θ</m:t>
        </m:r>
      </m:oMath>
      <w:r>
        <w:t xml:space="preserve">). Deviations from HR=1 arise solely from frailty-driven depletion and associated non-proportional hazards.</w:t>
      </w:r>
    </w:p>
    <w:bookmarkEnd w:id="71"/>
    <w:bookmarkStart w:id="75" w:name="fig:cox_bias_kcor"/>
    <w:p>
      <w:pPr>
        <w:pStyle w:val="CaptionedFigure"/>
      </w:pPr>
      <w:r>
        <w:drawing>
          <wp:inline>
            <wp:extent cx="5334000" cy="3975680"/>
            <wp:effectExtent b="0" l="0" r="0" t="0"/>
            <wp:docPr descr="Figure 3. \mathrm{KCOR}(t) remains null under a synthetic null across increasing frailty heterogeneity. \mathrm{KCOR}(t) asymptotes remain near 1 across \theta in the same simulations, consistent with correct null behavior after depletion normalization. Uncertainty bands (95% bootstrap intervals) are shown but are narrow due to large sample sizes." title="" id="73" name="Picture"/>
            <a:graphic>
              <a:graphicData uri="http://schemas.openxmlformats.org/drawingml/2006/picture">
                <pic:pic>
                  <pic:nvPicPr>
                    <pic:cNvPr descr="figures/fig_cox_bias_kcor_vs_theta.png" id="74" name="Picture"/>
                    <pic:cNvPicPr>
                      <a:picLocks noChangeArrowheads="1" noChangeAspect="1"/>
                    </pic:cNvPicPr>
                  </pic:nvPicPr>
                  <pic:blipFill>
                    <a:blip r:embed="rId72"/>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3.</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null under a synthetic null across increasing frailty heterogeneity.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asymptotes remain near 1 across</w:t>
      </w:r>
      <w:r>
        <w:t xml:space="preserve"> </w:t>
      </w:r>
      <m:oMath>
        <m:r>
          <m:t>θ</m:t>
        </m:r>
      </m:oMath>
      <w:r>
        <w:t xml:space="preserve"> </w:t>
      </w:r>
      <w:r>
        <w:t xml:space="preserve">in the same simulations, consistent with correct null behavior after depletion normalization. Uncertainty bands (95% bootstrap intervals) are shown but are narrow due to large sample sizes.</w:t>
      </w:r>
    </w:p>
    <w:bookmarkEnd w:id="75"/>
    <w:p>
      <w:pPr>
        <w:pStyle w:val="BodyText"/>
      </w:pPr>
      <w:r>
        <w:rPr>
          <w:b/>
          <w:bCs/>
        </w:rPr>
        <w:t xml:space="preserve">Interpretation.</w:t>
      </w:r>
    </w:p>
    <w:p>
      <w:pPr>
        <w:pStyle w:val="BodyText"/>
      </w:pPr>
      <w:r>
        <w:t xml:space="preserve">This demonstration shows that Cox proportional hazards regression can report highly statistically significant non-null hazard ratios—even when the true treatment effect is identically zero—solely due to frailty-induced depletion (e.g.,</w:t>
      </w:r>
      <w:r>
        <w:t xml:space="preserve"> </w:t>
      </w:r>
      <m:oMath>
        <m:r>
          <m:t>p</m:t>
        </m:r>
        <m:r>
          <m:rPr>
            <m:sty m:val="p"/>
          </m:rPr>
          <m:t>&lt;</m:t>
        </m:r>
        <m:sSup>
          <m:e>
            <m:r>
              <m:t>10</m:t>
            </m:r>
          </m:e>
          <m:sup>
            <m:r>
              <m:rPr>
                <m:sty m:val="p"/>
              </m:rPr>
              <m:t>−</m:t>
            </m:r>
            <m:r>
              <m:t>300</m:t>
            </m:r>
          </m:sup>
        </m:sSup>
      </m:oMath>
      <w:r>
        <w:t xml:space="preserve"> </w:t>
      </w:r>
      <w:r>
        <w:t xml:space="preserve">at</w:t>
      </w:r>
      <w:r>
        <w:t xml:space="preserve"> </w:t>
      </w:r>
      <m:oMath>
        <m:r>
          <m:t>θ</m:t>
        </m:r>
        <m:r>
          <m:rPr>
            <m:sty m:val="p"/>
          </m:rPr>
          <m:t>=</m:t>
        </m:r>
        <m:r>
          <m:t>20</m:t>
        </m:r>
      </m:oMath>
      <w:r>
        <w:t xml:space="preserve">), with the magnitude and direction of the apparent effect depending on follow-up horizon, not any causal signal. This reflects an estimand mismatch: Cox targets instantaneous hazard ratios under proportional hazards assumptions, whereas KCOR targets cumulative contrasts after depletion normalization. Cox is behaving correctly for its estimand, but that estimand conditions on the evolving risk set and therefore reflects depletion dynamics rather than a causal effect under these conditions. KCOR, by explicitly normalizing depletion geometry in cumulative-hazard space, correctly returns a null result under the same conditions,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centered near unity with negligible post-normalization slope across all frailty variance values. This controlled example motivates the use of KCOR for retrospective vaccine studies, where frailty heterogeneity and non-proportional hazards are expected to be substantial.</w:t>
      </w:r>
    </w:p>
    <w:p>
      <w:pPr>
        <w:pStyle w:val="BodyText"/>
      </w:pPr>
      <w:r>
        <w:t xml:space="preserve">This synthetic null isolates depletion-driven non-proportionality as a sufficient cause of strongly non-null Cox estimates, demonstrating the estimand mismatch that motivates cumulative-hazard–based normalization when selection-induced curvature is present.</w:t>
      </w:r>
    </w:p>
    <w:bookmarkEnd w:id="76"/>
    <w:bookmarkStart w:id="77" w:name="X66e05337efe17185a8c68bb3f932f10416d81dc"/>
    <w:p>
      <w:pPr>
        <w:pStyle w:val="Heading4"/>
      </w:pPr>
      <w:r>
        <w:t xml:space="preserve">2.11.2 Relation to other approaches addressing selection effects</w:t>
      </w:r>
    </w:p>
    <w:p>
      <w:pPr>
        <w:pStyle w:val="FirstParagraph"/>
      </w:pPr>
      <w:r>
        <w:t xml:space="preserve">Several existing approaches, including inverse-probability weighting, marginal structural models, and joint frailty formulations, aim to mitigate selection bias in observational survival analyses. These methods rely on explicit modeling of treatment assignment or hazard structure and generally operate in instantaneous-hazard space. KCOR differs in focusing directly on depletion geometry in cumulative-hazard space and enforcing diagnostic checks that signal loss of identifiability when normalization fails. A full head-to-head empirical comparison across all model families is beyond scope of this methods manuscript; however, we explicitly contrast estimands, assumptions, and failure modes in §1.5 and we provide controlled demonstrations (including a synthetic null) showing that Cox-type estimators can return strongly non-null hazard ratios under frailty-driven depletion with no treatment effect, whereas KCOR remains near-null under the same conditions. This is the specific geometry KCOR targets: depletion-induced non-proportionality in cumulative-hazard space.</w:t>
      </w:r>
    </w:p>
    <w:bookmarkEnd w:id="77"/>
    <w:bookmarkEnd w:id="78"/>
    <w:bookmarkStart w:id="79" w:name="worked-example-descriptive"/>
    <w:p>
      <w:pPr>
        <w:pStyle w:val="Heading3"/>
      </w:pPr>
      <w:r>
        <w:t xml:space="preserve">2.12 Worked example (descriptive)</w:t>
      </w:r>
    </w:p>
    <w:p>
      <w:pPr>
        <w:pStyle w:val="FirstParagraph"/>
      </w:pPr>
      <w:r>
        <w:t xml:space="preserve">We include a brief worked example to illustrate the KCOR workflow end-to-end. This example is descriptive and intended solely to demonstrate the mechanics of cohort construction, hazard estimation, frailty fitting, depletion normalization, and KCOR computation, without supporting causal interpretation.</w:t>
      </w:r>
    </w:p>
    <w:p>
      <w:pPr>
        <w:pStyle w:val="BodyText"/>
      </w:pPr>
      <w:r>
        <w:t xml:space="preserve">The example proceeds from aggregated cohort counts through cumulative-hazard estimation, quiet-window frailty fitting, gamma inversion,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construction, accompanied by diagnostic plots assessing post-normalization linearity and parameter stability.</w:t>
      </w:r>
    </w:p>
    <w:bookmarkEnd w:id="79"/>
    <w:bookmarkStart w:id="80" w:name="reproducibility"/>
    <w:p>
      <w:pPr>
        <w:pStyle w:val="Heading3"/>
      </w:pPr>
      <w:r>
        <w:t xml:space="preserve">2.13 Reproducibility</w:t>
      </w:r>
    </w:p>
    <w:p>
      <w:pPr>
        <w:pStyle w:val="FirstParagraph"/>
      </w:pPr>
      <w:r>
        <w:t xml:space="preserve">All figures, tables, and simulations in this manuscript can be reproduced from the accompanying code repository. The repository includes scripts to regenerate simulations, figures, and tables using fixed random seeds, together with documentation of software versions and runtime requirements. Commands and execution order are provided in the repository README.</w:t>
      </w:r>
    </w:p>
    <w:bookmarkEnd w:id="80"/>
    <w:bookmarkStart w:id="81" w:name="Xa0be048657ba0efd1a2331f2daf077c6c3d64f9"/>
    <w:p>
      <w:pPr>
        <w:pStyle w:val="Heading3"/>
      </w:pPr>
      <w:r>
        <w:t xml:space="preserve">2.14 Computational implementation and reproducibility</w:t>
      </w:r>
    </w:p>
    <w:p>
      <w:pPr>
        <w:pStyle w:val="FirstParagraph"/>
      </w:pPr>
      <w:r>
        <w:t xml:space="preserve">Analyses were implemented in Python and are fully reproducible from the public repository and archived release (see Code/Data Availability). The repository includes scripts to (i) generate synthetic cohorts and simulation grids, (ii) compute KCOR and comparator estimators, and (iii) regenerate all tables and figures in this manuscript.</w:t>
      </w:r>
    </w:p>
    <w:p>
      <w:pPr>
        <w:pStyle w:val="BodyText"/>
      </w:pPr>
      <w:r>
        <w:rPr>
          <w:b/>
          <w:bCs/>
        </w:rPr>
        <w:t xml:space="preserve">Environment.</w:t>
      </w:r>
      <w:r>
        <w:t xml:space="preserve"> </w:t>
      </w:r>
      <w:r>
        <w:t xml:space="preserve">Python 3.11; key dependencies include numpy, scipy, pandas, and lifelines (for Cox-model comparisons), with plotting via matplotlib.</w:t>
      </w:r>
    </w:p>
    <w:p>
      <w:pPr>
        <w:pStyle w:val="BodyText"/>
      </w:pPr>
      <w:r>
        <w:rPr>
          <w:b/>
          <w:bCs/>
        </w:rPr>
        <w:t xml:space="preserve">Compute requirements.</w:t>
      </w:r>
      <w:r>
        <w:t xml:space="preserve"> </w:t>
      </w:r>
      <w:r>
        <w:t xml:space="preserve">The full simulation grid reproduces in approximately 1 hour 26 minutes on a 20-core CPU with 128 GB RAM; smaller subsets reproduce in minutes.</w:t>
      </w:r>
    </w:p>
    <w:p>
      <w:pPr>
        <w:pStyle w:val="BodyText"/>
      </w:pPr>
      <w:r>
        <w:rPr>
          <w:b/>
          <w:bCs/>
        </w:rPr>
        <w:t xml:space="preserve">Reproduction.</w:t>
      </w:r>
      <w:r>
        <w:t xml:space="preserve"> </w:t>
      </w:r>
      <w:r>
        <w:t xml:space="preserve">Running</w:t>
      </w:r>
      <w:r>
        <w:t xml:space="preserve"> </w:t>
      </w:r>
      <w:r>
        <w:rPr>
          <w:rStyle w:val="VerbatimChar"/>
        </w:rPr>
        <w:t xml:space="preserve">make paper</w:t>
      </w:r>
      <w:r>
        <w:t xml:space="preserve"> </w:t>
      </w:r>
      <w:r>
        <w:t xml:space="preserve">(or the repository’s top-level build command) regenerates all artifacts from a clean checkout.</w:t>
      </w:r>
    </w:p>
    <w:p>
      <w:pPr>
        <w:pStyle w:val="BodyText"/>
      </w:pPr>
      <w:r>
        <w:t xml:space="preserve">Technical derivations, algebraic details, and additional simulation results are provided in the Supplementary Material.</w:t>
      </w:r>
    </w:p>
    <w:bookmarkEnd w:id="81"/>
    <w:bookmarkStart w:id="82" w:name="use-of-artificial-intelligence-tools"/>
    <w:p>
      <w:pPr>
        <w:pStyle w:val="Heading3"/>
      </w:pPr>
      <w:r>
        <w:t xml:space="preserve">2.15 Use of artificial intelligence tools</w:t>
      </w:r>
    </w:p>
    <w:p>
      <w:pPr>
        <w:pStyle w:val="FirstParagraph"/>
      </w:pPr>
      <w:r>
        <w:t xml:space="preserve">The KCOR method and estimand were developed by the author without the use of artificial intelligence (AI) tools. Generative AI tools, including OpenAI’s ChatGPT and Cursor Composer 1, were used during manuscript preparation to assist with drafting and editing text, mathematical typesetting, refactoring code, and implementing simulation studies described in this section.</w:t>
      </w:r>
    </w:p>
    <w:p>
      <w:pPr>
        <w:pStyle w:val="BodyText"/>
      </w:pPr>
      <w:r>
        <w:t xml:space="preserve">Simulation designs were either specified by the author or proposed during iterative discussion and subsequently reviewed and approved by the author prior to implementation. AI assistance was used to draft code for approved simulations, which the author reviewed, tested, and validated. Additional large language models (including Gemini, DeepSeek, and Claude) were used to provide feedback on manuscript wording and methodological exposition in a role analogous to informal peer review.</w:t>
      </w:r>
    </w:p>
    <w:p>
      <w:pPr>
        <w:pStyle w:val="BodyText"/>
      </w:pPr>
      <w:r>
        <w:t xml:space="preserve">All scientific decisions, methodological choices, analyses, interpretations, and judgments regarding which suggestions to accept or reject were made solely by the author, who reviewed and understands all content and takes full responsibility for the manuscript.</w:t>
      </w:r>
    </w:p>
    <w:bookmarkEnd w:id="82"/>
    <w:bookmarkEnd w:id="83"/>
    <w:bookmarkStart w:id="135"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22"/>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22"/>
        </w:numPr>
      </w:pPr>
      <w:r>
        <w:rPr>
          <w:b/>
          <w:bCs/>
        </w:rPr>
        <w:t xml:space="preserve">Positive controls (detect injected effects):</w:t>
      </w:r>
      <w:r>
        <w:t xml:space="preserve"> </w:t>
      </w:r>
      <w:r>
        <w:t xml:space="preserve">when known harm/benefit is injected into otherwise-null data, KCOR reliably detects it.</w:t>
      </w:r>
    </w:p>
    <w:p>
      <w:pPr>
        <w:pStyle w:val="FirstParagraph"/>
      </w:pPr>
      <w:r>
        <w:t xml:space="preserve">Throughout, curvature in cumulative hazard plots reflects selection-induced depletion, while linearity after normalization indicates successful removal of that curvature.</w:t>
      </w:r>
    </w:p>
    <w:p>
      <w:pPr>
        <w:pStyle w:val="BodyText"/>
      </w:pPr>
      <w:r>
        <w:t xml:space="preserve">In vaccinated–unvaccinated comparisons, large early differences in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may reflect baseline risk selection rather than intervention effects; in such cases we therefore emphasize</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which reports deviations relative to an early post-enrollment reference while preserving time-varying divergence.</w:t>
      </w:r>
    </w:p>
    <w:bookmarkStart w:id="99" w:name="X250d2743dd947cd04209f9dc9cf02b545517230"/>
    <w:p>
      <w:pPr>
        <w:pStyle w:val="Heading3"/>
      </w:pPr>
      <w:r>
        <w:t xml:space="preserve">3.1 Negative controls: null under selection-induced curvature</w:t>
      </w:r>
    </w:p>
    <w:bookmarkStart w:id="89"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23"/>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23"/>
        </w:numPr>
      </w:pPr>
      <w:r>
        <w:t xml:space="preserve">Two cohorts have different frailty variance</w:t>
      </w:r>
      <w:r>
        <w:t xml:space="preserve"> </w:t>
      </w:r>
      <m:oMath>
        <m:r>
          <m:t>θ</m:t>
        </m:r>
      </m:oMath>
      <w:r>
        <w:t xml:space="preserve"> </w:t>
      </w:r>
      <w:r>
        <w:t xml:space="preserve">(or different selection rules), creating different cohort-level curvature in observed cohort hazards.</w:t>
      </w:r>
    </w:p>
    <w:p>
      <w:pPr>
        <w:pStyle w:val="Compact"/>
        <w:numPr>
          <w:ilvl w:val="0"/>
          <w:numId w:val="1023"/>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during quiet periods and applying gamma-frailty inversion, KCOR should remain approximately constant at 1 over follow-up.</w:t>
      </w:r>
    </w:p>
    <w:bookmarkStart w:id="88"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24"/>
        </w:numPr>
      </w:pPr>
      <w:r>
        <w:t xml:space="preserve">Time unit: weeks.</w:t>
      </w:r>
    </w:p>
    <w:p>
      <w:pPr>
        <w:pStyle w:val="Compact"/>
        <w:numPr>
          <w:ilvl w:val="0"/>
          <w:numId w:val="1024"/>
        </w:numPr>
      </w:pPr>
      <w:r>
        <w:t xml:space="preserve">Baseline hazard is constant during quiet periods; choose a baseline level</w:t>
      </w:r>
      <w:r>
        <w:t xml:space="preserve"> </w:t>
      </w:r>
      <m:oMath>
        <m:r>
          <m:t>k</m:t>
        </m:r>
      </m:oMath>
      <w:r>
        <w:t xml:space="preserve"> </w:t>
      </w:r>
      <w:r>
        <w:t xml:space="preserve">in the chosen time units.</w:t>
      </w:r>
    </w:p>
    <w:p>
      <w:pPr>
        <w:pStyle w:val="Compact"/>
        <w:numPr>
          <w:ilvl w:val="0"/>
          <w:numId w:val="1024"/>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24"/>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4 shows this construction.</w:t>
      </w:r>
    </w:p>
    <w:bookmarkStart w:id="87" w:name="fig:neg_control_synthetic"/>
    <w:p>
      <w:pPr>
        <w:pStyle w:val="CaptionedFigure"/>
      </w:pPr>
      <w:r>
        <w:drawing>
          <wp:inline>
            <wp:extent cx="5334000" cy="3852333"/>
            <wp:effectExtent b="0" l="0" r="0" t="0"/>
            <wp:docPr descr="Figure 4. Synthetic negative control under strong selection (different curvature) but no effect: \mathrm{KCOR}(t) remains flat at 1. Top panel shows cohort hazards with different frailty-mixture weights inducing different curvature. Bottom panel shows \mathrm{KCOR}(t) remaining near 1.0 after normalization, demonstrating successful depletion-neutralization under the null. Uncertainty bands (95% bootstrap intervals) are shown." title="" id="85" name="Picture"/>
            <a:graphic>
              <a:graphicData uri="http://schemas.openxmlformats.org/drawingml/2006/picture">
                <pic:pic>
                  <pic:nvPicPr>
                    <pic:cNvPr descr="figures/fig_neg_control_synthetic.png" id="86" name="Picture"/>
                    <pic:cNvPicPr>
                      <a:picLocks noChangeArrowheads="1" noChangeAspect="1"/>
                    </pic:cNvPicPr>
                  </pic:nvPicPr>
                  <pic:blipFill>
                    <a:blip r:embed="rId84"/>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4. Synthetic negative control under strong selection (different curvature) but no effect: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flat at 1. Top panel shows cohort hazards with different frailty-mixture weights inducing different curvature. Bottom panel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near 1.0 after normalization, demonstrating successful depletion-neutralization under the null. Uncertainty bands (95% bootstrap intervals) are shown.</w:t>
      </w:r>
    </w:p>
    <w:bookmarkEnd w:id="87"/>
    <w:bookmarkEnd w:id="88"/>
    <w:bookmarkEnd w:id="89"/>
    <w:bookmarkStart w:id="98" w:name="Xb12f4dbd996bae02468d30adae747b49cac5ee6"/>
    <w:p>
      <w:pPr>
        <w:pStyle w:val="Heading4"/>
      </w:pPr>
      <w:r>
        <w:t xml:space="preserve">3.1.2 Empirical negative control using national registry data (Czech Republic)</w:t>
      </w:r>
    </w:p>
    <w:p>
      <w:pPr>
        <w:pStyle w:val="FirstParagraph"/>
      </w:pPr>
      <w:r>
        <w:t xml:space="preserve">This application is presented solely to illustrate KCOR’s diagnostic behavior on real registry data and does not support causal inference.</w:t>
      </w:r>
    </w:p>
    <w:p>
      <w:pPr>
        <w:pStyle w:val="BodyText"/>
      </w:pPr>
      <w:r>
        <w:t xml:space="preserve">The repository includes a pragmatic negative control construction that repurposes a real dataset by comparing</w:t>
      </w:r>
      <w:r>
        <w:t xml:space="preserve"> </w:t>
      </w:r>
      <w:r>
        <w:t xml:space="preserve">“like with like”</w:t>
      </w:r>
      <w:r>
        <w:t xml:space="preserve"> </w:t>
      </w:r>
      <w:r>
        <w:t xml:space="preserve">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are consistent with the estimator normalizing selection-induced depletion curvature without introducing spurious time trends or cumulative drift.</w:t>
      </w:r>
    </w:p>
    <w:p>
      <w:pPr>
        <w:pStyle w:val="BodyText"/>
      </w:pPr>
      <w:r>
        <w:t xml:space="preserve">For the empirical age-shift negative control (Figures 5 and 6),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93" w:name="fig:neg_control_10yr"/>
    <w:p>
      <w:pPr>
        <w:pStyle w:val="CaptionedFigure"/>
      </w:pPr>
      <w:r>
        <w:drawing>
          <wp:inline>
            <wp:extent cx="5334000" cy="2773680"/>
            <wp:effectExtent b="0" l="0" r="0" t="0"/>
            <wp:docPr descr="Figure 5. Empirical negative control with approximately 10-year age difference between cohorts. Despite large baseline mortality differences, \mathrm{KCOR}(t) remains near-flat at 1 over follow-up, consistent with a true null effect. Curves are shown as anchored \mathrm{KCOR}(t; t_0), i.e., \mathrm{KCOR}(t)/\mathrm{KCOR}(t_0), which removes pre-existing cumulative differences and displays post-anchor divergence only. KCOR curves are anchored at t_0 = 4 weeks (i.e., plotted as \mathrm{KCOR}(t; t_0)). Uncertainty bands (95% bootstrap intervals) are shown. Data source: Czech Republic mortality and vaccination dataset processed into KCOR_CMR aggregated format (negative-control construction; see Appendix B.2).12" title="" id="91" name="Picture"/>
            <a:graphic>
              <a:graphicData uri="http://schemas.openxmlformats.org/drawingml/2006/picture">
                <pic:pic>
                  <pic:nvPicPr>
                    <pic:cNvPr descr="figures/fig2_neg_control_10yr_age_diff.png" id="92" name="Picture"/>
                    <pic:cNvPicPr>
                      <a:picLocks noChangeArrowheads="1" noChangeAspect="1"/>
                    </pic:cNvPicPr>
                  </pic:nvPicPr>
                  <pic:blipFill>
                    <a:blip r:embed="rId90"/>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5. Empirical negative control with approximately 10-year age difference between cohorts. Despite large baseline mortality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over follow-up, consistent with a true null effect. Curves are shown as anchored</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i.e.,</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rPr>
            <m:sty m:val="p"/>
          </m:rPr>
          <m:t>K</m:t>
        </m:r>
        <m:r>
          <m:rPr>
            <m:sty m:val="p"/>
          </m:rPr>
          <m:t>C</m:t>
        </m:r>
        <m:r>
          <m:rPr>
            <m:sty m:val="p"/>
          </m:rPr>
          <m:t>O</m:t>
        </m:r>
        <m:r>
          <m:rPr>
            <m:sty m:val="p"/>
          </m:rPr>
          <m:t>R</m:t>
        </m:r>
        <m:r>
          <m:rPr>
            <m:sty m:val="p"/>
          </m:rPr>
          <m:t>(</m:t>
        </m:r>
        <m:sSub>
          <m:e>
            <m:r>
              <m:t>t</m:t>
            </m:r>
          </m:e>
          <m:sub>
            <m:r>
              <m:t>0</m:t>
            </m:r>
          </m:sub>
        </m:sSub>
        <m:r>
          <m:rPr>
            <m:sty m:val="p"/>
          </m:rPr>
          <m:t>)</m:t>
        </m:r>
      </m:oMath>
      <w:r>
        <w:t xml:space="preserve">, which removes pre-existing cumulative differences and displays post-anchor divergence only.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Uncertainty bands (95% bootstrap intervals) are shown. Data source: Czech Republic mortality and vaccination dataset processed into KCOR_CMR aggregated format (negative-control construction; see Appendix B.2).</w:t>
      </w:r>
      <w:r>
        <w:rPr>
          <w:vertAlign w:val="superscript"/>
        </w:rPr>
        <w:t xml:space="preserve">12</w:t>
      </w:r>
    </w:p>
    <w:bookmarkEnd w:id="93"/>
    <w:bookmarkStart w:id="97" w:name="fig:neg_control_20yr"/>
    <w:p>
      <w:pPr>
        <w:pStyle w:val="CaptionedFigure"/>
      </w:pPr>
      <w:r>
        <w:drawing>
          <wp:inline>
            <wp:extent cx="5334000" cy="2810466"/>
            <wp:effectExtent b="0" l="0" r="0" t="0"/>
            <wp:docPr descr="Figure 6. Empirical negative control with approximately 20-year age difference between cohorts. Even under extreme composition differences, \mathrm{KCOR}(t) exhibits no systematic drift, demonstrating robustness to selection-induced curvature. KCOR curves are anchored at t_0 = 4 weeks (i.e., plotted as \mathrm{KCOR}(t; t_0)). Uncertainty bands (95% bootstrap intervals) are shown. Data source: Czech Republic mortality and vaccination dataset processed into KCOR_CMR aggregated format (negative-control construction; see Appendix B.2)." title="" id="95" name="Picture"/>
            <a:graphic>
              <a:graphicData uri="http://schemas.openxmlformats.org/drawingml/2006/picture">
                <pic:pic>
                  <pic:nvPicPr>
                    <pic:cNvPr descr="figures/fig3_neg_control_20yr_age_diff.png" id="96" name="Picture"/>
                    <pic:cNvPicPr>
                      <a:picLocks noChangeArrowheads="1" noChangeAspect="1"/>
                    </pic:cNvPicPr>
                  </pic:nvPicPr>
                  <pic:blipFill>
                    <a:blip r:embed="rId94"/>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6. Empirical negative control with approximately 20-year age difference between cohorts. Even under extreme composition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exhibits no systematic drift, demonstrating robustness to selection-induced curvature.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Uncertainty bands (95% bootstrap intervals) are shown. Data source: Czech Republic mortality and vaccination dataset processed into KCOR_CMR aggregated format (negative-control construction; see Appendix B.2).</w:t>
      </w:r>
    </w:p>
    <w:bookmarkEnd w:id="97"/>
    <w:p>
      <w:pPr>
        <w:pStyle w:val="BodyText"/>
      </w:pPr>
      <w:r>
        <w:t xml:space="preserve">Table 7 provides numeric summaries.</w:t>
      </w:r>
    </w:p>
    <w:bookmarkEnd w:id="98"/>
    <w:bookmarkEnd w:id="99"/>
    <w:bookmarkStart w:id="105"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bookmarkStart w:id="100" w:name="eq:pos-control-injection"/>
    <w:p>
      <w:pPr>
        <w:pStyle w:val="BodyText"/>
      </w:pPr>
      <w:pPr>
        <w:tabs>
          <w:tab w:val="center" w:leader="none" w:pos="4680"/>
          <w:tab w:val="right" w:leader="none" w:pos="9360"/>
        </w:tabs>
      </w:pPr>
      <w:r>
        <w:tab/>
      </w:r>
      <w:r>
        <w:t xml:space="preserve"> </w:t>
      </w: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oMath>
      <w:r>
        <w:t xml:space="preserve"> </w:t>
      </w:r>
      <w:r>
        <w:tab/>
      </w:r>
      <w:r>
        <w:t xml:space="preserve"> </w:t>
      </w:r>
      <m:oMath>
        <m:r>
          <m:rPr>
            <m:sty m:val="p"/>
          </m:rPr>
          <m:t>(</m:t>
        </m:r>
        <m:r>
          <m:t>16</m:t>
        </m:r>
        <m:r>
          <m:rPr>
            <m:sty m:val="p"/>
          </m:rPr>
          <m:t>)</m:t>
        </m:r>
      </m:oMath>
    </w:p>
    <w:bookmarkEnd w:id="100"/>
    <w:p>
      <w:pPr>
        <w:pStyle w:val="BodyText"/>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7 and Table 8 confirm this behavior.</w:t>
      </w:r>
    </w:p>
    <w:bookmarkStart w:id="104" w:name="fig:pos_control_injected"/>
    <w:p>
      <w:pPr>
        <w:pStyle w:val="CaptionedFigure"/>
      </w:pPr>
      <w:r>
        <w:drawing>
          <wp:inline>
            <wp:extent cx="5334000" cy="4253184"/>
            <wp:effectExtent b="0" l="0" r="0" t="0"/>
            <wp:docPr descr="Figure 7. Positive control validation: KCOR correctly detects injected effects. Left panels show harm scenario (r=1.2), right panels show benefit scenario (r=0.8). Top row displays cohort hazard curves with effect window shaded. Bottom row shows \mathrm{KCOR}(t) deviating from 1.0 in the expected direction during the effect window. Uncertainty bands (95% bootstrap intervals) are shown." title="" id="102" name="Picture"/>
            <a:graphic>
              <a:graphicData uri="http://schemas.openxmlformats.org/drawingml/2006/picture">
                <pic:pic>
                  <pic:nvPicPr>
                    <pic:cNvPr descr="figures/fig_pos_control_injected.png" id="103" name="Picture"/>
                    <pic:cNvPicPr>
                      <a:picLocks noChangeArrowheads="1" noChangeAspect="1"/>
                    </pic:cNvPicPr>
                  </pic:nvPicPr>
                  <pic:blipFill>
                    <a:blip r:embed="rId101"/>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7. Positive control validation: KCOR correctly detects injected effects. Left panels show harm scenario (r=1.2), right panels show benefit scenario (r=0.8). Top row displays cohort hazard curves with effect window shaded. Bottom row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deviating from 1.0 in the expected direction during the effect window. Uncertainty bands (95% bootstrap intervals) are shown.</w:t>
      </w:r>
    </w:p>
    <w:bookmarkEnd w:id="104"/>
    <w:bookmarkEnd w:id="105"/>
    <w:bookmarkStart w:id="111"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25"/>
        </w:numPr>
      </w:pPr>
      <w:r>
        <w:t xml:space="preserve">Quiet-window selection (calendar ISO-week bounds)</w:t>
      </w:r>
    </w:p>
    <w:p>
      <w:pPr>
        <w:pStyle w:val="Compact"/>
        <w:numPr>
          <w:ilvl w:val="0"/>
          <w:numId w:val="1025"/>
        </w:numPr>
      </w:pPr>
      <w:r>
        <w:t xml:space="preserve">Stabilization skip (early-bin handling)</w:t>
      </w:r>
    </w:p>
    <w:p>
      <w:pPr>
        <w:pStyle w:val="Compact"/>
        <w:numPr>
          <w:ilvl w:val="0"/>
          <w:numId w:val="1025"/>
        </w:numPr>
      </w:pPr>
      <w:r>
        <w:t xml:space="preserve">Time-binning resolution</w:t>
      </w:r>
    </w:p>
    <w:p>
      <w:pPr>
        <w:pStyle w:val="Compact"/>
        <w:numPr>
          <w:ilvl w:val="0"/>
          <w:numId w:val="1025"/>
        </w:numPr>
      </w:pPr>
      <w:r>
        <w:t xml:space="preserve">Age stratification and/or stratified analyses where appropriate</w:t>
      </w:r>
    </w:p>
    <w:p>
      <w:pPr>
        <w:pStyle w:val="Compact"/>
        <w:numPr>
          <w:ilvl w:val="0"/>
          <w:numId w:val="1025"/>
        </w:numPr>
      </w:pPr>
      <w:r>
        <w:t xml:space="preserve">Baseline shape choice (default constant baseline over the fit window; alternatives can be assessed as sensitivity)</w:t>
      </w:r>
    </w:p>
    <w:p>
      <w:pPr>
        <w:pStyle w:val="FirstParagraph"/>
      </w:pPr>
      <w:r>
        <w:t xml:space="preserve">Figure 8 summarizes KCOR stability across the parameter grid.</w:t>
      </w:r>
    </w:p>
    <w:bookmarkStart w:id="109" w:name="fig:sensitivity_overview"/>
    <w:p>
      <w:pPr>
        <w:pStyle w:val="CaptionedFigure"/>
      </w:pPr>
      <w:r>
        <w:drawing>
          <wp:inline>
            <wp:extent cx="5334000" cy="1571483"/>
            <wp:effectExtent b="0" l="0" r="0" t="0"/>
            <wp:docPr descr="Figure 8. Sensitivity analysis summary showing \mathrm{KCOR}(t) values across parameter grid. Heatmaps display \mathrm{KCOR}(t) estimates for different combinations of baseline weeks (rows) and quiet-window start offsets (columns). Across all comparisons, \mathrm{KCOR}(t) 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 title="" id="107" name="Picture"/>
            <a:graphic>
              <a:graphicData uri="http://schemas.openxmlformats.org/drawingml/2006/picture">
                <pic:pic>
                  <pic:nvPicPr>
                    <pic:cNvPr descr="figures/fig_sensitivity_overview.png" id="108" name="Picture"/>
                    <pic:cNvPicPr>
                      <a:picLocks noChangeArrowheads="1" noChangeAspect="1"/>
                    </pic:cNvPicPr>
                  </pic:nvPicPr>
                  <pic:blipFill>
                    <a:blip r:embed="rId106"/>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8. Sensitivity analysis summary showing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across parameter grid. Heatmaps display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estimates for different combinations of baseline weeks (rows) and quiet-window start offsets (columns). Across all comparisons,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w:t>
      </w:r>
    </w:p>
    <w:bookmarkEnd w:id="109"/>
    <w:p>
      <w:pPr>
        <w:pStyle w:val="BodyText"/>
      </w:pPr>
      <w:r>
        <w:t xml:space="preserve">Across all tested parameter ranges,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remained within approximately ±5% of unity, indicating stability under reasonable variations in fitting choices.</w:t>
      </w:r>
    </w:p>
    <w:bookmarkStart w:id="110" w:name="frailty-misspecification-robustness"/>
    <w:p>
      <w:pPr>
        <w:pStyle w:val="Heading4"/>
      </w:pPr>
      <w:r>
        <w:t xml:space="preserve">3.3.1 Frailty misspecification robustness</w:t>
      </w:r>
    </w:p>
    <w:p>
      <w:pPr>
        <w:pStyle w:val="FirstParagraph"/>
      </w:pPr>
      <w:r>
        <w:t xml:space="preserve">To assess robustness to departures from the gamma frailty assumption, we conducted simulations under alternative frailty distributions while maintaining the same selection-induced depletion geometry. Simulations were performed for:</w:t>
      </w:r>
    </w:p>
    <w:p>
      <w:pPr>
        <w:pStyle w:val="Compact"/>
        <w:numPr>
          <w:ilvl w:val="0"/>
          <w:numId w:val="1026"/>
        </w:numPr>
      </w:pPr>
      <w:r>
        <w:rPr>
          <w:b/>
          <w:bCs/>
        </w:rPr>
        <w:t xml:space="preserve">Gamma</w:t>
      </w:r>
      <w:r>
        <w:t xml:space="preserve"> </w:t>
      </w:r>
      <w:r>
        <w:t xml:space="preserve">(baseline reference)</w:t>
      </w:r>
    </w:p>
    <w:p>
      <w:pPr>
        <w:pStyle w:val="Compact"/>
        <w:numPr>
          <w:ilvl w:val="0"/>
          <w:numId w:val="1026"/>
        </w:numPr>
      </w:pPr>
      <w:r>
        <w:rPr>
          <w:b/>
          <w:bCs/>
        </w:rPr>
        <w:t xml:space="preserve">Lognormal</w:t>
      </w:r>
      <w:r>
        <w:t xml:space="preserve"> </w:t>
      </w:r>
      <w:r>
        <w:t xml:space="preserve">frailty</w:t>
      </w:r>
    </w:p>
    <w:p>
      <w:pPr>
        <w:pStyle w:val="Compact"/>
        <w:numPr>
          <w:ilvl w:val="0"/>
          <w:numId w:val="1026"/>
        </w:numPr>
      </w:pPr>
      <w:r>
        <w:rPr>
          <w:b/>
          <w:bCs/>
        </w:rPr>
        <w:t xml:space="preserve">Two-point mixture</w:t>
      </w:r>
      <w:r>
        <w:t xml:space="preserve"> </w:t>
      </w:r>
      <w:r>
        <w:t xml:space="preserve">(discrete frailty)</w:t>
      </w:r>
    </w:p>
    <w:p>
      <w:pPr>
        <w:pStyle w:val="Compact"/>
        <w:numPr>
          <w:ilvl w:val="0"/>
          <w:numId w:val="1026"/>
        </w:numPr>
      </w:pPr>
      <w:r>
        <w:rPr>
          <w:b/>
          <w:bCs/>
        </w:rPr>
        <w:t xml:space="preserve">Bimodal</w:t>
      </w:r>
      <w:r>
        <w:t xml:space="preserve"> </w:t>
      </w:r>
      <w:r>
        <w:t xml:space="preserve">frailty distributions</w:t>
      </w:r>
    </w:p>
    <w:p>
      <w:pPr>
        <w:pStyle w:val="Compact"/>
        <w:numPr>
          <w:ilvl w:val="0"/>
          <w:numId w:val="1026"/>
        </w:numPr>
      </w:pPr>
      <w:r>
        <w:rPr>
          <w:b/>
          <w:bCs/>
        </w:rPr>
        <w:t xml:space="preserve">Correlated frailty</w:t>
      </w:r>
      <w:r>
        <w:t xml:space="preserve"> </w:t>
      </w:r>
      <w:r>
        <w:t xml:space="preserve">(within-subgroup correlation)</w:t>
      </w:r>
    </w:p>
    <w:p>
      <w:pPr>
        <w:pStyle w:val="FirstParagraph"/>
      </w:pPr>
      <w:r>
        <w:t xml:space="preserve">For each frailty specification, we report bias (deviation from true cumulative hazard ratio), variance (trajectory stability), coverage (proportion of simulations where uncertainty intervals contain the true value), and diagnostic failure rate (proportion of simulations where quiet-window diagnostics indicated non-identifiability).</w:t>
      </w:r>
    </w:p>
    <w:p>
      <w:pPr>
        <w:pStyle w:val="BodyText"/>
      </w:pPr>
      <w:r>
        <w:t xml:space="preserve">Under frailty misspecification, KCOR fails gracefully by attenuating toward unity or by failing diagnostic criteria, rather than producing spurious large effects. When the alternative frailty distribution produces similar depletion geometry to gamma frailty, KCOR normalization remains approximately valid, with bias remaining small and diagnostics indicating successful identification. When the alternative frailty structure produces substantially different depletion geometry, KCOR diagnostics (poor cumulative-hazard fit, residual autocorrelation, parameter instability) correctly signal that the gamma-frailty approximation is inadequate,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either remain near-unity (reflecting attenuation) or are not computed when diagnostic thresholds are not met.</w:t>
      </w:r>
    </w:p>
    <w:bookmarkEnd w:id="110"/>
    <w:bookmarkEnd w:id="111"/>
    <w:bookmarkStart w:id="132" w:name="Xc4d8adb0ad5f1ae7badc4f43956d4ea2b8d625b"/>
    <w:p>
      <w:pPr>
        <w:pStyle w:val="Heading3"/>
      </w:pPr>
      <w:r>
        <w:t xml:space="preserve">3.4 Simulation grid: operating characteristics and failure-mode diagnostics</w:t>
      </w:r>
    </w:p>
    <w:p>
      <w:pPr>
        <w:pStyle w:val="FirstParagraph"/>
      </w:pPr>
      <w:r>
        <w:t xml:space="preserve">Simulation studies are structured according to the ADEMP framework: aims (assessing robustness to selection-induced depletion), data-generating mechanisms (frailty heterogeneity with controlled selection and external hazard structure), estimands (cumulative hazard contrasts for KCOR; method-specific contrasts for comparators), methods (KCOR and selected competing approaches), and performance measures (bias, variance, stability across time, and diagnostic failure detection).</w:t>
      </w:r>
    </w:p>
    <w:p>
      <w:pPr>
        <w:pStyle w:val="BodyText"/>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within ±5% of unity over the diagnostic window (weeks 20–100), excluding early transients. These findings are consistent with the conceptual discussion of RMST in §1.3.2, which emphasizes that RMST does not remove selection-induced depletion. See Figures 9 and 10 below.</w:t>
      </w:r>
    </w:p>
    <w:p>
      <w:pPr>
        <w:pStyle w:val="BodyText"/>
      </w:pPr>
      <w:r>
        <w:rPr>
          <w:b/>
          <w:bCs/>
        </w:rPr>
        <w:t xml:space="preserve">Joint frailty and treatment-effect simulation (S7).</w:t>
      </w:r>
      <w:r>
        <w:br/>
      </w:r>
      <w:r>
        <w:t xml:space="preserve">Figure 11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S7 also includes an intentional violation of temporal separability in which the treatment window overlaps the quiet window. In this overlap variant,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no longer stabilize during the nominal quiet period, and fit diagnostics degrade (Figure 12), including increased cumulative-hazard fit error and reduced post-normalization linearity. In these cases,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the method fails transparently via its diagnostics rather than silently misattributing curvature.</w:t>
      </w:r>
    </w:p>
    <w:p>
      <w:pPr>
        <w:pStyle w:val="BodyText"/>
      </w:pPr>
      <w:r>
        <w:rPr>
          <w:b/>
          <w:bCs/>
        </w:rPr>
        <w:t xml:space="preserve">Comparison with shared frailty Cox models.</w:t>
      </w:r>
      <w:r>
        <w:br/>
      </w:r>
      <w:r>
        <w:t xml:space="preserve">Table 9 reports head-to-head comparisons of standard Cox regression, shared frailty Cox models, and KCOR on the S7 simulation (joint frailty and treatment effects) and the gamma-frailty null scenario (selection-only, no treatment effect). Shared frailty Cox models extend standard Cox regression by including a random frailty term shared across individuals, allowing for unobserved heterogeneity. These models estimate instantaneous hazard ratios while accounting for frailty, but do not normalize depletion geometry prior to comparison.</w:t>
      </w:r>
    </w:p>
    <w:p>
      <w:pPr>
        <w:pStyle w:val="BodyText"/>
      </w:pPr>
      <w:r>
        <w:t xml:space="preserve">Under selection-only conditions (gamma-frailty null), standard Cox regression produces non-null hazard ratios (HR ≈ 0.87) driven by depletion dynamics rather than true signal. Shared frailty Cox models partially mitigate this bias (HR ≈ 0.94) by accounting for frailty heterogeneity, but still exhibit residual non-null behavior because they estimate hazard ratios conditional on survival rather than normalizing depletion curvature. KCOR remains near-null (drift &lt; 0.5% per year) because normalization precedes comparison: frailty parameters estimated during quiet windows remove selection-induced curvature before cohort contrast.</w:t>
      </w:r>
    </w:p>
    <w:p>
      <w:pPr>
        <w:pStyle w:val="BodyText"/>
      </w:pPr>
      <w:r>
        <w:t xml:space="preserve">Under joint frailty and treatment effects (S7 harm scenario, r=1.2), standard Cox regression detects the effect (HR ≈ 1.18) but with bias due to residual depletion effects. Shared frailty Cox models show improved performance (HR ≈ 1.19) but still reflect depletion-induced time-varying behavior. KCOR correctly identifies the effect magnitude (KCOR drift ≈ 1.8% per year, consistent with r=1.2) while remaining flat during the quiet window, demonstrating successful temporal separation of selection and treatment mechanisms.</w:t>
      </w:r>
    </w:p>
    <w:p>
      <w:pPr>
        <w:pStyle w:val="BodyText"/>
      </w:pPr>
      <w:r>
        <w:t xml:space="preserve">These comparisons illustrate when shared frailty models help versus when they still fail: shared frailty Cox models improve upon standard Cox regression by accounting for unobserved heterogeneity, but they continue to estimate instantaneous hazard ratios that reflect depletion dynamics rather than normalizing them. KCOR’s distinct role is to explicitly remove depletion-induced curvature before comparison, enabling cumulative contrasts that remain stable under selection-only regimes and correctly detect treatment effects when temporal separability holds.</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115" w:name="fig:sim_grid_overview"/>
    <w:p>
      <w:pPr>
        <w:pStyle w:val="CaptionedFigure"/>
      </w:pPr>
      <w:r>
        <w:drawing>
          <wp:inline>
            <wp:extent cx="5334000" cy="4247078"/>
            <wp:effectExtent b="0" l="0" r="0" t="0"/>
            <wp:docPr descr="Figure 9. Simulation grid overview: \mathrm{KCOR}(t) trajectories across prespecified scenarios, including gamma-frailty null with strong selection, injected hazard increase and decrease, non-gamma frailty, quiet-window contamination, and sparse-event regimes. Under true null, \mathrm{KCOR}(t) remains near-flat at 1; injected effects are detected in the expected direction; adverse regimes are accompanied by degraded diagnostics and reduced interpretability. Uncertainty bands (95% bootstrap intervals) are shown where applicable." title="" id="113" name="Picture"/>
            <a:graphic>
              <a:graphicData uri="http://schemas.openxmlformats.org/drawingml/2006/picture">
                <pic:pic>
                  <pic:nvPicPr>
                    <pic:cNvPr descr="figures/fig_sim_grid_overview.png" id="114" name="Picture"/>
                    <pic:cNvPicPr>
                      <a:picLocks noChangeArrowheads="1" noChangeAspect="1"/>
                    </pic:cNvPicPr>
                  </pic:nvPicPr>
                  <pic:blipFill>
                    <a:blip r:embed="rId112"/>
                    <a:stretch>
                      <a:fillRect/>
                    </a:stretch>
                  </pic:blipFill>
                  <pic:spPr bwMode="auto">
                    <a:xfrm>
                      <a:off x="0" y="0"/>
                      <a:ext cx="5334000" cy="4247078"/>
                    </a:xfrm>
                    <a:prstGeom prst="rect">
                      <a:avLst/>
                    </a:prstGeom>
                    <a:noFill/>
                    <a:ln w="9525">
                      <a:noFill/>
                      <a:headEnd/>
                      <a:tailEnd/>
                    </a:ln>
                  </pic:spPr>
                </pic:pic>
              </a:graphicData>
            </a:graphic>
          </wp:inline>
        </w:drawing>
      </w:r>
    </w:p>
    <w:p>
      <w:pPr>
        <w:pStyle w:val="ImageCaption"/>
      </w:pPr>
      <w:r>
        <w:t xml:space="preserve">Figure 9. Simulation grid overview: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across prespecified scenarios, including gamma-frailty null with strong selection, injected hazard increase and decrease, non-gamma frailty, quiet-window contamination, and sparse-event regimes. Under true null,</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injected effects are detected in the expected direction; adverse regimes are accompanied by degraded diagnostics and reduced interpretability. Uncertainty bands (95% bootstrap intervals) are shown where applicable.</w:t>
      </w:r>
    </w:p>
    <w:bookmarkEnd w:id="115"/>
    <w:bookmarkStart w:id="119" w:name="fig:sim_grid_diagnostics"/>
    <w:p>
      <w:pPr>
        <w:pStyle w:val="CaptionedFigure"/>
      </w:pPr>
      <w:r>
        <w:drawing>
          <wp:inline>
            <wp:extent cx="5334000" cy="2490038"/>
            <wp:effectExtent b="0" l="0" r="0" t="0"/>
            <wp:docPr descr="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 title="" id="117" name="Picture"/>
            <a:graphic>
              <a:graphicData uri="http://schemas.openxmlformats.org/drawingml/2006/picture">
                <pic:pic>
                  <pic:nvPicPr>
                    <pic:cNvPr descr="figures/fig_sim_grid_diagnostics.png" id="118" name="Picture"/>
                    <pic:cNvPicPr>
                      <a:picLocks noChangeArrowheads="1" noChangeAspect="1"/>
                    </pic:cNvPicPr>
                  </pic:nvPicPr>
                  <pic:blipFill>
                    <a:blip r:embed="rId116"/>
                    <a:stretch>
                      <a:fillRect/>
                    </a:stretch>
                  </pic:blipFill>
                  <pic:spPr bwMode="auto">
                    <a:xfrm>
                      <a:off x="0" y="0"/>
                      <a:ext cx="5334000" cy="2490038"/>
                    </a:xfrm>
                    <a:prstGeom prst="rect">
                      <a:avLst/>
                    </a:prstGeom>
                    <a:noFill/>
                    <a:ln w="9525">
                      <a:noFill/>
                      <a:headEnd/>
                      <a:tailEnd/>
                    </a:ln>
                  </pic:spPr>
                </pic:pic>
              </a:graphicData>
            </a:graphic>
          </wp:inline>
        </w:drawing>
      </w:r>
    </w:p>
    <w:p>
      <w:pPr>
        <w:pStyle w:val="ImageCaption"/>
      </w:pPr>
      <w:r>
        <w:t xml:space="preserve">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w:t>
      </w:r>
    </w:p>
    <w:bookmarkEnd w:id="119"/>
    <w:bookmarkStart w:id="123" w:name="fig:s7_overview"/>
    <w:p>
      <w:pPr>
        <w:pStyle w:val="CaptionedFigure"/>
      </w:pPr>
      <w:r>
        <w:drawing>
          <wp:inline>
            <wp:extent cx="5334000" cy="1391685"/>
            <wp:effectExtent b="0" l="0" r="0" t="0"/>
            <wp:docPr descr="Figure 11. S7 simulation results: \mathrm{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mathrm{KCOR}(t) 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 title="" id="121" name="Picture"/>
            <a:graphic>
              <a:graphicData uri="http://schemas.openxmlformats.org/drawingml/2006/picture">
                <pic:pic>
                  <pic:nvPicPr>
                    <pic:cNvPr descr="figures/fig_s7_overview.png" id="122" name="Picture"/>
                    <pic:cNvPicPr>
                      <a:picLocks noChangeArrowheads="1" noChangeAspect="1"/>
                    </pic:cNvPicPr>
                  </pic:nvPicPr>
                  <pic:blipFill>
                    <a:blip r:embed="rId120"/>
                    <a:stretch>
                      <a:fillRect/>
                    </a:stretch>
                  </pic:blipFill>
                  <pic:spPr bwMode="auto">
                    <a:xfrm>
                      <a:off x="0" y="0"/>
                      <a:ext cx="5334000" cy="1391685"/>
                    </a:xfrm>
                    <a:prstGeom prst="rect">
                      <a:avLst/>
                    </a:prstGeom>
                    <a:noFill/>
                    <a:ln w="9525">
                      <a:noFill/>
                      <a:headEnd/>
                      <a:tailEnd/>
                    </a:ln>
                  </pic:spPr>
                </pic:pic>
              </a:graphicData>
            </a:graphic>
          </wp:inline>
        </w:drawing>
      </w:r>
    </w:p>
    <w:p>
      <w:pPr>
        <w:pStyle w:val="ImageCaption"/>
      </w:pPr>
      <w:r>
        <w:t xml:space="preserve">Figure 11. S7 simulation results: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w:t>
      </w:r>
    </w:p>
    <w:bookmarkEnd w:id="123"/>
    <w:bookmarkStart w:id="127" w:name="fig:s7_diagnostics"/>
    <w:p>
      <w:pPr>
        <w:pStyle w:val="CaptionedFigure"/>
      </w:pPr>
      <w:r>
        <w:drawing>
          <wp:inline>
            <wp:extent cx="5334000" cy="4431300"/>
            <wp:effectExtent b="0" l="0" r="0" t="0"/>
            <wp:docPr descr="Figure 12. S7 simulation diagnostics: Fitted frailty variance parameters (\hat{\theta}_0, \hat{\theta}_1), fit quality (RMSE), and convergence status across S7 scenarios. The overlap variant shows degraded fit quality, correctly signaling violation of temporal separability assumptions." title="" id="125" name="Picture"/>
            <a:graphic>
              <a:graphicData uri="http://schemas.openxmlformats.org/drawingml/2006/picture">
                <pic:pic>
                  <pic:nvPicPr>
                    <pic:cNvPr descr="figures/fig_s7_diagnostics.png" id="126" name="Picture"/>
                    <pic:cNvPicPr>
                      <a:picLocks noChangeArrowheads="1" noChangeAspect="1"/>
                    </pic:cNvPicPr>
                  </pic:nvPicPr>
                  <pic:blipFill>
                    <a:blip r:embed="rId124"/>
                    <a:stretch>
                      <a:fillRect/>
                    </a:stretch>
                  </pic:blipFill>
                  <pic:spPr bwMode="auto">
                    <a:xfrm>
                      <a:off x="0" y="0"/>
                      <a:ext cx="5334000" cy="4431300"/>
                    </a:xfrm>
                    <a:prstGeom prst="rect">
                      <a:avLst/>
                    </a:prstGeom>
                    <a:noFill/>
                    <a:ln w="9525">
                      <a:noFill/>
                      <a:headEnd/>
                      <a:tailEnd/>
                    </a:ln>
                  </pic:spPr>
                </pic:pic>
              </a:graphicData>
            </a:graphic>
          </wp:inline>
        </w:drawing>
      </w:r>
    </w:p>
    <w:p>
      <w:pPr>
        <w:pStyle w:val="ImageCaption"/>
      </w:pPr>
      <w:r>
        <w:t xml:space="preserve">Figure 12. S7 simulation diagnostics: Fitted frailty variance parameters (</w:t>
      </w:r>
      <m:oMath>
        <m:sSub>
          <m:e>
            <m:acc>
              <m:accPr>
                <m:chr m:val="̂"/>
              </m:accPr>
              <m:e>
                <m:r>
                  <m:t>θ</m:t>
                </m:r>
              </m:e>
            </m:acc>
          </m:e>
          <m:sub>
            <m:r>
              <m:t>0</m:t>
            </m:r>
          </m:sub>
        </m:sSub>
      </m:oMath>
      <w:r>
        <w:t xml:space="preserve">,</w:t>
      </w:r>
      <w:r>
        <w:t xml:space="preserve"> </w:t>
      </w:r>
      <m:oMath>
        <m:sSub>
          <m:e>
            <m:acc>
              <m:accPr>
                <m:chr m:val="̂"/>
              </m:accPr>
              <m:e>
                <m:r>
                  <m:t>θ</m:t>
                </m:r>
              </m:e>
            </m:acc>
          </m:e>
          <m:sub>
            <m:r>
              <m:t>1</m:t>
            </m:r>
          </m:sub>
        </m:sSub>
      </m:oMath>
      <w:r>
        <w:t xml:space="preserve">), fit quality (RMSE), and convergence status across S7 scenarios. The overlap variant shows degraded fit quality, correctly signaling violation of temporal separability assumptions.</w:t>
      </w:r>
    </w:p>
    <w:bookmarkEnd w:id="127"/>
    <w:bookmarkStart w:id="131" w:name="fig:skip_weeks_sensitivity"/>
    <w:p>
      <w:pPr>
        <w:pStyle w:val="CaptionedFigure"/>
      </w:pPr>
      <w:r>
        <w:drawing>
          <wp:inline>
            <wp:extent cx="5334000" cy="3170886"/>
            <wp:effectExtent b="0" l="0" r="0" t="0"/>
            <wp:docPr descr="Figure 13. Skip-window sensitivity illustrates dynamic selection effects in early follow-up. \mathrm{KCOR}(t) computed on the same fixed-cohort comparison using skip windows of 0, 4, and 8 weeks. Early-time departures that attenuate with larger skip windows are consistent with dynamic selection immediately following cohort entry; later-time behavior is comparatively stable." title="" id="129" name="Picture"/>
            <a:graphic>
              <a:graphicData uri="http://schemas.openxmlformats.org/drawingml/2006/picture">
                <pic:pic>
                  <pic:nvPicPr>
                    <pic:cNvPr descr="figures/fig_skip_weeks_sensitivity.png" id="130" name="Picture"/>
                    <pic:cNvPicPr>
                      <a:picLocks noChangeArrowheads="1" noChangeAspect="1"/>
                    </pic:cNvPicPr>
                  </pic:nvPicPr>
                  <pic:blipFill>
                    <a:blip r:embed="rId128"/>
                    <a:stretch>
                      <a:fillRect/>
                    </a:stretch>
                  </pic:blipFill>
                  <pic:spPr bwMode="auto">
                    <a:xfrm>
                      <a:off x="0" y="0"/>
                      <a:ext cx="5334000" cy="3170886"/>
                    </a:xfrm>
                    <a:prstGeom prst="rect">
                      <a:avLst/>
                    </a:prstGeom>
                    <a:noFill/>
                    <a:ln w="9525">
                      <a:noFill/>
                      <a:headEnd/>
                      <a:tailEnd/>
                    </a:ln>
                  </pic:spPr>
                </pic:pic>
              </a:graphicData>
            </a:graphic>
          </wp:inline>
        </w:drawing>
      </w:r>
    </w:p>
    <w:p>
      <w:pPr>
        <w:pStyle w:val="ImageCaption"/>
      </w:pPr>
      <w:r>
        <w:t xml:space="preserve">Figure 13. Skip-window sensitivity illustrates dynamic selection effects in early follow-up.</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131"/>
    <w:p>
      <w:pPr>
        <w:pStyle w:val="BodyText"/>
      </w:pPr>
      <w:r>
        <w:rPr>
          <w:b/>
          <w:bCs/>
        </w:rPr>
        <w:t xml:space="preserve">Comparison with alternative estimands.</w:t>
      </w:r>
      <w:r>
        <w:br/>
      </w:r>
      <w:r>
        <w:t xml:space="preserve">Table 10 summarizes KCOR, Cox, and RMST behavior under the same simulation settings. We compare KCOR with restricted mean survival time (RMST) and time-varying Cox regression on the same simulation outputs. To make the comparison explicit, we computed RMST up to τ for the same simulation settings. As shown in Table 10, RMST summarizes survival differences that may reflect depletion rather than treatment effect in selection-only regimes because it aggregates survival differences produced by differential depletion, even when the true treatment effect is null. RMST summarizes survival experience up to a prespecified horizon but reflects depletion-induced differences from the underlying survival curves, as survival functions reflect populations whose composition evolves differently over time across cohorts under selection-induced frailty heterogeneity. Time-varying Cox models improve fit to non-proportional hazards but do not normalize selection geometry; they capture time-varying hazard ratios without removing depletion-induced curvature. KCOR remains stable under selection-only regimes because normalization precedes comparison: frailty parameters are estimated during quiet windows and used to invert observed cumulative hazards into depletion-neutralized baseline cumulative hazards prior to cohort contrast. This comparison emphasizes that KCOR targets a specific estimand—cumulative hazard ratios after depletion normalization—rather than claiming global superiority over alternative methods.</w:t>
      </w:r>
    </w:p>
    <w:p>
      <w:pPr>
        <w:pStyle w:val="BodyText"/>
      </w:pPr>
      <w:r>
        <w:rPr>
          <w:b/>
          <w:bCs/>
        </w:rPr>
        <w:t xml:space="preserve">Simulation evaluation followed an ADEMP structure</w:t>
      </w:r>
      <w:r>
        <w:t xml:space="preserve">: the</w:t>
      </w:r>
      <w:r>
        <w:t xml:space="preserve"> </w:t>
      </w:r>
      <w:r>
        <w:rPr>
          <w:i/>
          <w:iCs/>
        </w:rPr>
        <w:t xml:space="preserve">aim</w:t>
      </w:r>
      <w:r>
        <w:t xml:space="preserve"> </w:t>
      </w:r>
      <w:r>
        <w:t xml:space="preserve">was to assess robustness to selection-induced depletion;</w:t>
      </w:r>
      <w:r>
        <w:t xml:space="preserve"> </w:t>
      </w:r>
      <w:r>
        <w:rPr>
          <w:i/>
          <w:iCs/>
        </w:rPr>
        <w:t xml:space="preserve">data-generating mechanisms</w:t>
      </w:r>
      <w:r>
        <w:t xml:space="preserve"> </w:t>
      </w:r>
      <w:r>
        <w:t xml:space="preserve">varied frailty heterogeneity and selection strength under both null and non-null conditions;</w:t>
      </w:r>
      <w:r>
        <w:t xml:space="preserve"> </w:t>
      </w:r>
      <w:r>
        <w:rPr>
          <w:i/>
          <w:iCs/>
        </w:rPr>
        <w:t xml:space="preserve">estimands</w:t>
      </w:r>
      <w:r>
        <w:t xml:space="preserve"> </w:t>
      </w:r>
      <w:r>
        <w:t xml:space="preserve">were method-specific (KCOR, RMST, and time-varying Cox);</w:t>
      </w:r>
      <w:r>
        <w:t xml:space="preserve"> </w:t>
      </w:r>
      <w:r>
        <w:rPr>
          <w:i/>
          <w:iCs/>
        </w:rPr>
        <w:t xml:space="preserve">methods</w:t>
      </w:r>
      <w:r>
        <w:t xml:space="preserve"> </w:t>
      </w:r>
      <w:r>
        <w:t xml:space="preserve">were applied to identical simulated datasets; and</w:t>
      </w:r>
      <w:r>
        <w:t xml:space="preserve"> </w:t>
      </w:r>
      <w:r>
        <w:rPr>
          <w:i/>
          <w:iCs/>
        </w:rPr>
        <w:t xml:space="preserve">performance</w:t>
      </w:r>
      <w:r>
        <w:t xml:space="preserve"> </w:t>
      </w:r>
      <w:r>
        <w:t xml:space="preserve">was assessed via deviation from the null, trajectory stability, and interpretability under known selection structure. Under selection-only scenarios, KCOR remained centered near the null with low instability, whereas RMST and time-varying Cox exhibited systematic non-null behavior that increased with depletion strength, consistent with inherited selection effects rather than true signal (Table 10).</w:t>
      </w:r>
    </w:p>
    <w:p>
      <w:pPr>
        <w:pStyle w:val="BodyText"/>
      </w:pPr>
      <w:r>
        <w:t xml:space="preserve">In simulations where apparent effects arise solely from selection-induced depletion, KCOR was the only method to remain stable and near-null, while RMST and time-varying Cox produced non-null contrasts that varied with frailty strength, reflecting residual depletion geometry rather than causal signal (Table 10). Across selection-only scenarios, KCOR was the only estimand whose median deviation from the null remained approximately zero across the full frailty grid, whereas RMST and time-varying Cox produced systematic non-null contrasts that increased with frailty strength (Table 10).</w:t>
      </w:r>
    </w:p>
    <w:p>
      <w:pPr>
        <w:pStyle w:val="BodyText"/>
      </w:pPr>
      <w:r>
        <w:t xml:space="preserve">PLACEHOLDER See Table 11.</w:t>
      </w:r>
    </w:p>
    <w:bookmarkEnd w:id="132"/>
    <w:bookmarkStart w:id="133"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in later windows behave as expected under negative and positive controls.</w:t>
      </w:r>
    </w:p>
    <w:p>
      <w:pPr>
        <w:pStyle w:val="BodyText"/>
      </w:pPr>
      <w:r>
        <w:rPr>
          <w:b/>
          <w:bCs/>
        </w:rPr>
        <w:t xml:space="preserve">Skip-window sensitivity.</w:t>
      </w:r>
      <w:r>
        <w:t xml:space="preserve"> </w:t>
      </w:r>
      <w:r>
        <w:t xml:space="preserve">Figure 13 illustrates dynamic selection effects by comparing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133"/>
    <w:bookmarkStart w:id="134"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p>
      <w:pPr>
        <w:pStyle w:val="BodyText"/>
      </w:pPr>
      <w:r>
        <w:t xml:space="preserve">We include a national-scale application using Czech registry data to illustrate the behavior of KCOR under real-world non-proportional hazards. This application is intended to demonstrate the method’s operation and diagnostics rather than to support causal inference about the intervention. An applied illustration using Czech national records is provided in the Supplement to demonstrate end-to-end use of KCOR on administrative data; the primary validation in the main text is based on synthetic and empirical control experiments designed to probe failure modes.</w:t>
      </w:r>
    </w:p>
    <w:p>
      <w:pPr>
        <w:pStyle w:val="BodyText"/>
      </w:pPr>
      <w:r>
        <w:t xml:space="preserve">As a validation check, adequacy of the gamma-frailty normalization was assessed using quiet-window fit diagnostics, including the estimated frailty variance, residual dispersion, maximum deviation from linearity, and residual drift per year. For the all-ages cohort—which represents the most heterogeneous and challenging case—these diagnostics showed minimal residual curvature and negligible drift, indicating that gamma frailty adequately explains the observed hazard curvature during the quiet window. Full diagnostic outputs for all cohorts are reported in KCOR_summary.xlsx.</w:t>
      </w:r>
    </w:p>
    <w:bookmarkEnd w:id="134"/>
    <w:bookmarkEnd w:id="135"/>
    <w:bookmarkStart w:id="141" w:name="discussion"/>
    <w:p>
      <w:pPr>
        <w:pStyle w:val="Heading2"/>
      </w:pPr>
      <w:r>
        <w:t xml:space="preserve">4. Discussion</w:t>
      </w:r>
    </w:p>
    <w:p>
      <w:pPr>
        <w:pStyle w:val="FirstParagraph"/>
      </w:pPr>
      <w:r>
        <w:rPr>
          <w:b/>
          <w:bCs/>
        </w:rPr>
        <w:t xml:space="preserve">Scope statement (non-causal positioning).</w:t>
      </w:r>
      <w:r>
        <w:t xml:space="preserve"> </w:t>
      </w:r>
      <w:r>
        <w:t xml:space="preserve">KCOR is not a causal identification strategy. It is a normalization-and-diagnostic framework designed to remove a specific and dominant bias geometry—selection-induced depletion under latent frailty—prior to cohort comparison. The method does not claim to recover treatment-specific causal effects under arbitrary baseline or time-varying confounding. Instead, KCOR produces a depletion-neutralized cumulative contrast whose interpretability is conditional on explicit assumptions and on internal diagnostics indicating that selection-induced curvature has been successfully removed. When those diagnostics fail, KCOR is intended to signal non-identifiability rather than silently produce a corrected estimate.</w:t>
      </w:r>
    </w:p>
    <w:p>
      <w:pPr>
        <w:pStyle w:val="BodyText"/>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36" w:name="X2b15ce1fa8c24db54c476cf8c57606fbe96819a"/>
    <w:p>
      <w:pPr>
        <w:pStyle w:val="Heading3"/>
      </w:pPr>
      <w:r>
        <w:t xml:space="preserve">Limits of attribution and non-identifiability</w:t>
      </w:r>
    </w:p>
    <w:p>
      <w:pPr>
        <w:pStyle w:val="FirstParagraph"/>
      </w:pPr>
      <w:r>
        <w:t xml:space="preserve">KCOR does not uniquely identify the biological, behavioral, or clinical mechanisms responsible for observed hazard heterogeneity. In particular, curvature in the cumulative hazard may arise from multiple sources, including selection on latent frailty, behavior change, seasonality, treatment effects, reporting artifacts, or their combination. Depletion of susceptibles is therefore used as a parsimonious working model whose adequacy is evaluated through diagnostics and negative controls, rather than assumed as a causal truth. KCOR’s estimand is whether a cumulative outcome contrast persists after removal of curvature consistent with selection-induced depletion, not attribution of that curvature to a specific mechanism.</w:t>
      </w:r>
    </w:p>
    <w:bookmarkEnd w:id="136"/>
    <w:bookmarkStart w:id="137" w:name="what-kcor-estimates"/>
    <w:p>
      <w:pPr>
        <w:pStyle w:val="Heading3"/>
      </w:pPr>
      <w:r>
        <w:t xml:space="preserve">4.1 What KCOR estimates</w:t>
      </w:r>
    </w:p>
    <w:p>
      <w:pPr>
        <w:pStyle w:val="FirstParagraph"/>
      </w:pPr>
      <w:r>
        <w:rPr>
          <w:i/>
          <w:iCs/>
        </w:rPr>
        <w:t xml:space="preserve">Table 3 clarifies that KCOR differs from non-proportional hazards methods not in flexibility, but in estimand and direction of inference.</w:t>
      </w:r>
      <w:r>
        <w:t xml:space="preserve"> </w:t>
      </w:r>
      <w:r>
        <w:t xml:space="preserve">KCOR operates at a specific but critical layer of the retrospective inference stack: it both neutralizes selection-induced depletion dynamics and defines how the resulting depletion-neutralized baseline cumulative hazards must be compared. The method’s strength is not the frailty inversion in isolation, but the fact that inversion, diagnostics, and cumulative comparison are mathematically and operationally coupled. Once cohorts are mapped into depletion-neutralized baseline cumulative hazard space,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For intuition, a value such as</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t>1.2</m:t>
        </m:r>
      </m:oMath>
      <w:r>
        <w:t xml:space="preserve"> </w:t>
      </w:r>
      <w:r>
        <w:t xml:space="preserve">indicates that, after depletion normalization, cohort A has accumulated approximately 20% greater cumulative hazard than cohort B by time</w:t>
      </w:r>
      <w:r>
        <w:t xml:space="preserve"> </w:t>
      </w:r>
      <m:oMath>
        <m:r>
          <m:t>t</m:t>
        </m:r>
      </m:oMath>
      <w:r>
        <w:t xml:space="preserve">. This corresponds to a uniformly higher cumulative risk trajectory over follow-up, rather than a time-localized hazard spike, and does not imply a constant instantaneous hazard ratio. Stabilization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following frailty normalization is not an assumption but a falsification test; failure to flatten indicates residual curvature or loss of identifiability, not a substantive cumulative effect. Interpreting normalized hazards without this comparison step discards the central inferential content of the method. As emphasized earlier (§1.6), KCOR is a diagnostic and normalization estimator rather than a causal estimator; interpretation of its cumulative hazard ratio estimand is contingent on the stated assumptions. Whereas Cox regression infers treatment effects through fitted model coefficients, KCOR uses modeling only to normalize selection effects, allowing contrasts to be read directly from the adjusted data via cumulative hazard ratios. For infectious-disease vaccines, any plausible mortality effect is inherently time-local, occurring only during periods of pathogen circulation; the proportional hazards assumption therefore fails structurally, as a constant multiplicative effect over the entire follow-up is biologically implausible.</w:t>
      </w:r>
    </w:p>
    <w:p>
      <w:pPr>
        <w:pStyle w:val="BodyText"/>
      </w:pPr>
      <w:r>
        <w:t xml:space="preserve">As emphasized above, the frailty term is not causal and does not represent a treatment mechanism; it functions solely as a geometric normalization for selection-induced depletion.</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A controlled synthetic null experiment (Section 2.11.1) shows that Cox regression can return statistically significant non-null hazard ratios solely from frailty-induced depletion—even when the true treatment effect is identically zero—reflecting an estimand mismatch where Cox targets a different quantity under depletion than KCOR’s cumulative estimand. Cox is behaving correctly for its estimand, but that estimand may not align with the scientific question when selection-induced depletion is present. KCOR remains centered near unity with negligible post-normalization slope under the same conditions.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27"/>
        </w:numPr>
      </w:pPr>
      <w:r>
        <w:t xml:space="preserve">selection-induced depletion dynamics can be estimated during quiet periods using a gamma-frailty mixture model, and</w:t>
      </w:r>
    </w:p>
    <w:p>
      <w:pPr>
        <w:pStyle w:val="Compact"/>
        <w:numPr>
          <w:ilvl w:val="0"/>
          <w:numId w:val="1027"/>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A useful way to view KCOR is as an intermediate layer between purely descriptive hazard summaries and fully identified causal estimators. KCOR is descriptive in that it summarizes cohort differences in a cumulative-hazard scale under explicit normalization of depletion geometry; it is inferential in that it provides falsifiable diagnostics and control-test behavior that constrain when the normalized contrast is interpretable. This positioning is intentional: under minimal-data constraints, explicitly normalizing a dominant bias geometry and transparently reporting when identifiability is not supported can be more reliable than insisting on point-identification of a causal effect. Accordingly, KCOR should be interpreted as identifying a depletion-adjusted descriptive contrast rather than a causal effect, even when that contrast is temporally aligned with a plausible biological mechanism.</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Having established the behavior of KCOR and the failure modes of standard estimators under controlled conditions, we apply KCOR to complete national registry data from the Czech Republic in a companion analysis. Accordingly, this manuscript focuses on method definition, diagnostics, and operating characteristics; applied causal conclusions are deferred to separate intervention-specific analyses. Interpretation should be read in light of the non-identifiability considerations described above.</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depletion-neutralized baseline cumulative hazards, KCOR’s primary estimand remains cumulative by construction.</w:t>
      </w:r>
    </w:p>
    <w:bookmarkEnd w:id="137"/>
    <w:bookmarkStart w:id="138"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38"/>
    <w:bookmarkStart w:id="139" w:name="practical-guidelines-for-implementation"/>
    <w:p>
      <w:pPr>
        <w:pStyle w:val="Heading3"/>
      </w:pPr>
      <w:r>
        <w:t xml:space="preserve">4.3 Practical Guidelines for Implementation</w:t>
      </w:r>
    </w:p>
    <w:p>
      <w:pPr>
        <w:pStyle w:val="FirstParagraph"/>
      </w:pPr>
      <w:r>
        <w:t xml:space="preserve">This subsection summarizes recommended operational practices for applying KCOR in retrospective cohort studies and for assessing when resulting contrasts are interpretable.</w:t>
      </w:r>
    </w:p>
    <w:p>
      <w:pPr>
        <w:pStyle w:val="BodyText"/>
      </w:pPr>
      <w:r>
        <w:t xml:space="preserve">Recommended reporting includes:</w:t>
      </w:r>
    </w:p>
    <w:p>
      <w:pPr>
        <w:pStyle w:val="Compact"/>
        <w:numPr>
          <w:ilvl w:val="0"/>
          <w:numId w:val="1028"/>
        </w:numPr>
      </w:pPr>
      <w:r>
        <w:t xml:space="preserve">Enrollment definition and justification</w:t>
      </w:r>
    </w:p>
    <w:p>
      <w:pPr>
        <w:pStyle w:val="Compact"/>
        <w:numPr>
          <w:ilvl w:val="0"/>
          <w:numId w:val="1028"/>
        </w:numPr>
      </w:pPr>
      <w:r>
        <w:t xml:space="preserve">Risk set definitions and event-time binning</w:t>
      </w:r>
    </w:p>
    <w:p>
      <w:pPr>
        <w:pStyle w:val="Compact"/>
        <w:numPr>
          <w:ilvl w:val="0"/>
          <w:numId w:val="1028"/>
        </w:numPr>
      </w:pPr>
      <w:r>
        <w:t xml:space="preserve">Quiet-window definition and justification</w:t>
      </w:r>
    </w:p>
    <w:p>
      <w:pPr>
        <w:pStyle w:val="Compact"/>
        <w:numPr>
          <w:ilvl w:val="0"/>
          <w:numId w:val="1028"/>
        </w:numPr>
      </w:pPr>
      <w:r>
        <w:t xml:space="preserve">Baseline-shape choice (default constant baseline over the fit window) and fit diagnostics</w:t>
      </w:r>
    </w:p>
    <w:p>
      <w:pPr>
        <w:pStyle w:val="Compact"/>
        <w:numPr>
          <w:ilvl w:val="0"/>
          <w:numId w:val="1028"/>
        </w:numPr>
      </w:pPr>
      <w:r>
        <w:t xml:space="preserve">Skip/stabilization rule and robustness to nearby values</w:t>
      </w:r>
    </w:p>
    <w:p>
      <w:pPr>
        <w:pStyle w:val="Compact"/>
        <w:numPr>
          <w:ilvl w:val="0"/>
          <w:numId w:val="1028"/>
        </w:numPr>
      </w:pPr>
      <w:r>
        <w:t xml:space="preserve">Predefined negative/positive controls used for validation</w:t>
      </w:r>
    </w:p>
    <w:p>
      <w:pPr>
        <w:pStyle w:val="Compact"/>
        <w:numPr>
          <w:ilvl w:val="0"/>
          <w:numId w:val="1028"/>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bookmarkEnd w:id="139"/>
    <w:bookmarkStart w:id="140" w:name="extension-to-other-outcomes"/>
    <w:p>
      <w:pPr>
        <w:pStyle w:val="Heading3"/>
      </w:pPr>
      <w:r>
        <w:t xml:space="preserve">4.4 Extension to other outcomes</w:t>
      </w:r>
    </w:p>
    <w:p>
      <w:pPr>
        <w:pStyle w:val="FirstParagraph"/>
      </w:pPr>
      <w:r>
        <w:t xml:space="preserve">Although this paper focuses on all-cause mortality, KCOR is applicable to other irreversible outcomes provided that event timing and risk sets are well defined. Application to cause-specific mortality requires careful consideration of competing risks and interpretation of cumulative hazards within cause-restricted populations. Extension to non-fatal outcomes such as hospitalization is conceptually straightforward but may require additional attention to outcome definitions, censoring mechanisms, and recurrent events. These considerations affect interpretation rather than the core KCOR framework.</w:t>
      </w:r>
    </w:p>
    <w:bookmarkEnd w:id="140"/>
    <w:bookmarkEnd w:id="141"/>
    <w:bookmarkStart w:id="145" w:name="limitations"/>
    <w:p>
      <w:pPr>
        <w:pStyle w:val="Heading2"/>
      </w:pPr>
      <w:r>
        <w:t xml:space="preserve">5. Limitations</w:t>
      </w:r>
    </w:p>
    <w:p>
      <w:pPr>
        <w:pStyle w:val="Compact"/>
        <w:numPr>
          <w:ilvl w:val="0"/>
          <w:numId w:val="1029"/>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29"/>
        </w:numPr>
      </w:pPr>
      <w:r>
        <w:rPr>
          <w:b/>
          <w:bCs/>
        </w:rPr>
        <w:t xml:space="preserve">Relation to existing non-PH methods</w:t>
      </w:r>
      <w:r>
        <w:t xml:space="preserve">: KCOR is complementary to time-varying Cox, flexible parametric, additive hazards, and MSM approaches; these methods address different estimands and identification strategies, whereas KCOR targets depletion-geometry normalization under minimal-data constraints (see §1.3.1).</w:t>
      </w:r>
    </w:p>
    <w:p>
      <w:pPr>
        <w:pStyle w:val="Compact"/>
        <w:numPr>
          <w:ilvl w:val="0"/>
          <w:numId w:val="1029"/>
        </w:numPr>
      </w:pPr>
      <m:oMath>
        <m:r>
          <m:t>θ</m:t>
        </m:r>
      </m:oMath>
      <w:r>
        <w:rPr>
          <w:b/>
          <w:bCs/>
        </w:rPr>
        <w:t xml:space="preserve"> </w:t>
      </w:r>
      <w:r>
        <w:rPr>
          <w:b/>
          <w:bCs/>
        </w:rPr>
        <w:t xml:space="preserve">estimation is data-driven</w:t>
      </w:r>
      <w:r>
        <w:t xml:space="preserve">: KCOR does not impose</w:t>
      </w:r>
      <w:r>
        <w:t xml:space="preserve"> </w:t>
      </w:r>
      <m:oMath>
        <m:r>
          <m:t>θ</m:t>
        </m:r>
        <m:r>
          <m:rPr>
            <m:sty m:val="p"/>
          </m:rPr>
          <m:t>=</m:t>
        </m:r>
        <m:r>
          <m:t>0</m:t>
        </m:r>
      </m:oMath>
      <w:r>
        <w:t xml:space="preserve"> </w:t>
      </w:r>
      <w:r>
        <w:t xml:space="preserve">for any cohort. The frequent observation that fitted frailty variance estimates collapse toward zero for vaccinated cohorts is a data-driven result of the frailty fit and should not be interpreted as an assumption of homogeneity.</w:t>
      </w:r>
    </w:p>
    <w:p>
      <w:pPr>
        <w:pStyle w:val="Compact"/>
        <w:numPr>
          <w:ilvl w:val="0"/>
          <w:numId w:val="1029"/>
        </w:numPr>
      </w:pPr>
      <w:r>
        <w:rPr>
          <w:b/>
          <w:bCs/>
        </w:rPr>
        <w:t xml:space="preserve">Sparse events</w:t>
      </w:r>
      <w:r>
        <w:t xml:space="preserve">: When event counts are small, hazard estimation and parameter fitting can be unstable.</w:t>
      </w:r>
    </w:p>
    <w:p>
      <w:pPr>
        <w:pStyle w:val="Compact"/>
        <w:numPr>
          <w:ilvl w:val="0"/>
          <w:numId w:val="1029"/>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29"/>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29"/>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fitted frailty variance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42"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30"/>
        </w:numPr>
      </w:pPr>
      <w:r>
        <w:rPr>
          <w:b/>
          <w:bCs/>
        </w:rPr>
        <w:t xml:space="preserve">Mis-specified quiet window</w:t>
      </w:r>
      <w:r>
        <w:t xml:space="preserve">: If the quiet window overlaps major external shocks (epidemic waves, policy changes, reporting artifacts), the fitted parameters may absorb non-selection dynamics, biasing normalization.</w:t>
      </w:r>
    </w:p>
    <w:p>
      <w:pPr>
        <w:pStyle w:val="Compact"/>
        <w:numPr>
          <w:ilvl w:val="0"/>
          <w:numId w:val="1030"/>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30"/>
        </w:numPr>
      </w:pPr>
      <w:r>
        <w:rPr>
          <w:b/>
          <w:bCs/>
        </w:rPr>
        <w:t xml:space="preserve">Extremely sparse cohorts</w:t>
      </w:r>
      <w:r>
        <w:t xml:space="preserve">: When events are rare, observed cumulative hazards become noisy and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can be weakly identified, often manifesting as unstable fitted frailty variance estimates or wide uncertainty.</w:t>
      </w:r>
    </w:p>
    <w:p>
      <w:pPr>
        <w:pStyle w:val="Compact"/>
        <w:numPr>
          <w:ilvl w:val="0"/>
          <w:numId w:val="1030"/>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31"/>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31"/>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 fitted parameters under small perturbations of the quiet-window bounds.</w:t>
      </w:r>
    </w:p>
    <w:p>
      <w:pPr>
        <w:pStyle w:val="Compact"/>
        <w:numPr>
          <w:ilvl w:val="0"/>
          <w:numId w:val="1031"/>
        </w:numPr>
      </w:pPr>
      <w:r>
        <w:rPr>
          <w:b/>
          <w:bCs/>
        </w:rPr>
        <w:t xml:space="preserve">Sensitivity analyses</w:t>
      </w:r>
      <w:r>
        <w:t xml:space="preserve"> </w:t>
      </w:r>
      <w:r>
        <w:t xml:space="preserve">over plausible quiet windows and skip-weeks values.</w:t>
      </w:r>
    </w:p>
    <w:p>
      <w:pPr>
        <w:pStyle w:val="Compact"/>
        <w:numPr>
          <w:ilvl w:val="0"/>
          <w:numId w:val="1031"/>
        </w:numPr>
      </w:pPr>
      <w:r>
        <w:rPr>
          <w:b/>
          <w:bCs/>
        </w:rPr>
        <w:t xml:space="preserve">Prespecified negative controls</w:t>
      </w:r>
      <w:r>
        <w:t xml:space="preserv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42"/>
    <w:bookmarkStart w:id="143"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KCOR(t)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KCOR(t) trajectories tend to attenuate toward unity rather than diverge, reflecting loss of identifiability rather than false detection. This behavior is illustrated in the S7 overlap variant, where treatment and selection are deliberately confounded in time: KCOR(t)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exclude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43"/>
    <w:bookmarkStart w:id="144" w:name="X5f05abe0762c7ae0ab5904f62ce19850163a03c"/>
    <w:p>
      <w:pPr>
        <w:pStyle w:val="Heading3"/>
      </w:pPr>
      <w:r>
        <w:t xml:space="preserve">5.3 Data requirements and external validation</w:t>
      </w:r>
    </w:p>
    <w:p>
      <w:pPr>
        <w:pStyle w:val="FirstParagraph"/>
      </w:pPr>
      <w:r>
        <w:t xml:space="preserve">In finite samples, KCOR precision is driven primarily by the number of events observed over follow-up. In simulation (selection-only null), cohorts of approximately 5,000 per arm yielded stable KCOR estimates with narrow uncertainty, whereas smaller cohorts exhibited appreciable Monte Carlo variability and occasional spurious deviations. We therefore recommend reporting event counts and conducting a simple cohort-size sensitivity check when applying KCOR to sparse outcomes.</w:t>
      </w:r>
    </w:p>
    <w:p>
      <w:pPr>
        <w:pStyle w:val="BodyText"/>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bookmarkEnd w:id="144"/>
    <w:bookmarkEnd w:id="145"/>
    <w:bookmarkStart w:id="146"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 KCOR relies on five explicit assumptions, of which only one requires substantive dataset-specific validation, and enforces these assumptions diagnostically rather than presuming them, allowing violations to be detected rather than absorbed into model-dependent estimates. Because standard methods for retrospective vaccine evaluation fail under non-proportional hazards and selection-induced depletion, KCOR provides a novel and practical alternative that operates on minimal individual-level information—dates of birth, intervention, and death—while remaining applicable to national registry data where richer covariates are unavailable or unreliable.</w:t>
      </w:r>
    </w:p>
    <w:bookmarkEnd w:id="146"/>
    <w:bookmarkStart w:id="157" w:name="declarations"/>
    <w:p>
      <w:pPr>
        <w:pStyle w:val="Heading2"/>
      </w:pPr>
      <w:r>
        <w:t xml:space="preserve">Declarations</w:t>
      </w:r>
    </w:p>
    <w:bookmarkStart w:id="147" w:name="Xd182db0490b2de20bd2b4e4cc8698599182035f"/>
    <w:p>
      <w:pPr>
        <w:pStyle w:val="Heading3"/>
      </w:pPr>
      <w:r>
        <w:t xml:space="preserve">Ethics approval and consent to participate</w:t>
      </w:r>
    </w:p>
    <w:p>
      <w:pPr>
        <w:pStyle w:val="FirstParagraph"/>
      </w:pPr>
      <w:r>
        <w:t xml:space="preserve">This study used only simulated data and publicly available, aggregated registry summaries that contain no individual-level or identifiable information; as such, it did not constitute human subjects research and was exempt from institutional review board oversight. This is a methods-only manuscript. The primary validation results use synthetic data. Empirical negative-control figures (Figures 5 and 6) use aggregated cohort summaries derived from Czech Republic administrative data; no record-level data are shared in this manuscript.</w:t>
      </w:r>
      <w:r>
        <w:rPr>
          <w:vertAlign w:val="superscript"/>
        </w:rPr>
        <w:t xml:space="preserve">12</w:t>
      </w:r>
    </w:p>
    <w:bookmarkEnd w:id="147"/>
    <w:bookmarkStart w:id="148" w:name="consent-for-publication"/>
    <w:p>
      <w:pPr>
        <w:pStyle w:val="Heading3"/>
      </w:pPr>
      <w:r>
        <w:t xml:space="preserve">Consent for publication</w:t>
      </w:r>
    </w:p>
    <w:p>
      <w:pPr>
        <w:pStyle w:val="FirstParagraph"/>
      </w:pPr>
      <w:r>
        <w:t xml:space="preserve">Not applicable.</w:t>
      </w:r>
    </w:p>
    <w:bookmarkEnd w:id="148"/>
    <w:bookmarkStart w:id="149" w:name="data-availability"/>
    <w:p>
      <w:pPr>
        <w:pStyle w:val="Heading3"/>
      </w:pPr>
      <w:r>
        <w:t xml:space="preserve">Data availability</w:t>
      </w:r>
    </w:p>
    <w:p>
      <w:pPr>
        <w:pStyle w:val="FirstParagraph"/>
      </w:pPr>
      <w:r>
        <w:t xml:space="preserve">No individual-level data were accessed or analyzed in this study.</w:t>
      </w:r>
    </w:p>
    <w:p>
      <w:pPr>
        <w:pStyle w:val="Compact"/>
        <w:numPr>
          <w:ilvl w:val="0"/>
          <w:numId w:val="1032"/>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32"/>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32"/>
        </w:numPr>
      </w:pPr>
      <w:r>
        <w:t xml:space="preserve">The reference implementation includes example datasets in KCOR_CMR format for reproducibility.</w:t>
      </w:r>
    </w:p>
    <w:p>
      <w:pPr>
        <w:pStyle w:val="Compact"/>
        <w:numPr>
          <w:ilvl w:val="0"/>
          <w:numId w:val="1032"/>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49"/>
    <w:bookmarkStart w:id="152" w:name="code-availability"/>
    <w:p>
      <w:pPr>
        <w:pStyle w:val="Heading3"/>
      </w:pPr>
      <w:r>
        <w:t xml:space="preserve">Code availability</w:t>
      </w:r>
    </w:p>
    <w:p>
      <w:pPr>
        <w:pStyle w:val="Compact"/>
        <w:numPr>
          <w:ilvl w:val="0"/>
          <w:numId w:val="1033"/>
        </w:numPr>
      </w:pPr>
      <w:r>
        <w:t xml:space="preserve">The KCOR reference implementation and complete validation suite are available in the project repository.</w:t>
      </w:r>
    </w:p>
    <w:p>
      <w:pPr>
        <w:pStyle w:val="Compact"/>
        <w:numPr>
          <w:ilvl w:val="0"/>
          <w:numId w:val="1033"/>
        </w:numPr>
      </w:pPr>
      <w:r>
        <w:t xml:space="preserve">Repository URL:</w:t>
      </w:r>
      <w:r>
        <w:t xml:space="preserve"> </w:t>
      </w:r>
      <w:hyperlink r:id="rId150">
        <w:r>
          <w:rPr>
            <w:rStyle w:val="Hyperlink"/>
          </w:rPr>
          <w:t xml:space="preserve">https://github.com/skirsch/KCOR</w:t>
        </w:r>
      </w:hyperlink>
    </w:p>
    <w:p>
      <w:pPr>
        <w:pStyle w:val="Compact"/>
        <w:numPr>
          <w:ilvl w:val="0"/>
          <w:numId w:val="1033"/>
        </w:numPr>
      </w:pPr>
      <w:r>
        <w:t xml:space="preserve">Zenodo DOI:</w:t>
      </w:r>
      <w:r>
        <w:t xml:space="preserve"> </w:t>
      </w:r>
      <w:hyperlink r:id="rId151">
        <w:r>
          <w:rPr>
            <w:rStyle w:val="Hyperlink"/>
          </w:rPr>
          <w:t xml:space="preserve">10.5281/zenodo.18050329</w:t>
        </w:r>
      </w:hyperlink>
    </w:p>
    <w:p>
      <w:pPr>
        <w:pStyle w:val="Compact"/>
        <w:numPr>
          <w:ilvl w:val="0"/>
          <w:numId w:val="1033"/>
        </w:numPr>
      </w:pPr>
      <w:r>
        <w:t xml:space="preserve">RMST computation and comparison table generation are implemented via functions</w:t>
      </w:r>
      <w:r>
        <w:t xml:space="preserve"> </w:t>
      </w:r>
      <w:r>
        <w:rPr>
          <w:rStyle w:val="VerbatimChar"/>
        </w:rPr>
        <w:t xml:space="preserve">compute_rmst_from_cohort()</w:t>
      </w:r>
      <w:r>
        <w:t xml:space="preserve"> </w:t>
      </w:r>
      <w:r>
        <w:t xml:space="preserve">and</w:t>
      </w:r>
      <w:r>
        <w:t xml:space="preserve"> </w:t>
      </w:r>
      <w:r>
        <w:rPr>
          <w:rStyle w:val="VerbatimChar"/>
        </w:rPr>
        <w:t xml:space="preserve">generate_comparison_table()</w:t>
      </w:r>
      <w:r>
        <w:t xml:space="preserve"> </w:t>
      </w:r>
      <w:r>
        <w:t xml:space="preserve">in</w:t>
      </w:r>
      <w:r>
        <w:t xml:space="preserve"> </w:t>
      </w:r>
      <w:r>
        <w:rPr>
          <w:rStyle w:val="VerbatimChar"/>
        </w:rPr>
        <w:t xml:space="preserve">test/sim_grid/code/generate_sim_grid.py</w:t>
      </w:r>
      <w:r>
        <w:t xml:space="preserve">. Both RMST and time-varying Cox comparators run on the same simulation outputs as KCOR evaluation; no additional random seeds or data generation are required.</w:t>
      </w:r>
    </w:p>
    <w:bookmarkEnd w:id="152"/>
    <w:bookmarkStart w:id="153" w:name="competing-interests"/>
    <w:p>
      <w:pPr>
        <w:pStyle w:val="Heading3"/>
      </w:pPr>
      <w:r>
        <w:t xml:space="preserve">Competing interests</w:t>
      </w:r>
    </w:p>
    <w:p>
      <w:pPr>
        <w:pStyle w:val="FirstParagraph"/>
      </w:pPr>
      <w:r>
        <w:t xml:space="preserve">The author is a board member of the Vaccine Safety Research Foundation.</w:t>
      </w:r>
    </w:p>
    <w:bookmarkEnd w:id="153"/>
    <w:bookmarkStart w:id="154" w:name="funding"/>
    <w:p>
      <w:pPr>
        <w:pStyle w:val="Heading3"/>
      </w:pPr>
      <w:r>
        <w:t xml:space="preserve">Funding</w:t>
      </w:r>
    </w:p>
    <w:p>
      <w:pPr>
        <w:pStyle w:val="FirstParagraph"/>
      </w:pPr>
      <w:r>
        <w:t xml:space="preserve">This research received no external funding.</w:t>
      </w:r>
    </w:p>
    <w:bookmarkEnd w:id="154"/>
    <w:bookmarkStart w:id="155"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55"/>
    <w:bookmarkStart w:id="156" w:name="acknowledgements"/>
    <w:p>
      <w:pPr>
        <w:pStyle w:val="Heading3"/>
      </w:pPr>
      <w:r>
        <w:t xml:space="preserve">Acknowledgements</w:t>
      </w:r>
    </w:p>
    <w:p>
      <w:pPr>
        <w:pStyle w:val="FirstParagraph"/>
      </w:pPr>
      <w:r>
        <w:t xml:space="preserve">The author thanks James Lyons-Weiler. Dr. Clare Craig, and Paul Fischer for helpful discussions and methodological feedback during the development of this work. All errors remain the author’s responsibility.</w:t>
      </w:r>
    </w:p>
    <w:bookmarkEnd w:id="156"/>
    <w:bookmarkEnd w:id="157"/>
    <w:bookmarkStart w:id="182" w:name="references"/>
    <w:p>
      <w:pPr>
        <w:pStyle w:val="Heading2"/>
      </w:pPr>
      <w:r>
        <w:t xml:space="preserve">References</w:t>
      </w:r>
    </w:p>
    <w:bookmarkStart w:id="181" w:name="refs"/>
    <w:bookmarkStart w:id="159"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58">
        <w:r>
          <w:rPr>
            <w:rStyle w:val="Hyperlink"/>
          </w:rPr>
          <w:t xml:space="preserve">10.2307/2061224</w:t>
        </w:r>
      </w:hyperlink>
    </w:p>
    <w:bookmarkEnd w:id="159"/>
    <w:bookmarkStart w:id="161"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60">
        <w:r>
          <w:rPr>
            <w:rStyle w:val="Hyperlink"/>
          </w:rPr>
          <w:t xml:space="preserve">10.2147/CLEP.S468572</w:t>
        </w:r>
      </w:hyperlink>
    </w:p>
    <w:bookmarkEnd w:id="161"/>
    <w:bookmarkStart w:id="163"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62">
        <w:r>
          <w:rPr>
            <w:rStyle w:val="Hyperlink"/>
          </w:rPr>
          <w:t xml:space="preserve">10.7554/eLife.103690</w:t>
        </w:r>
      </w:hyperlink>
    </w:p>
    <w:bookmarkEnd w:id="163"/>
    <w:bookmarkStart w:id="165" w:name="ref-grambsch1994"/>
    <w:p>
      <w:pPr>
        <w:pStyle w:val="Bibliography"/>
      </w:pPr>
      <w:r>
        <w:t xml:space="preserve">4.</w:t>
      </w:r>
      <w:r>
        <w:t xml:space="preserve"> </w:t>
      </w:r>
      <w:r>
        <w:t xml:space="preserve">	</w:t>
      </w:r>
      <w:r>
        <w:t xml:space="preserve">Grambsch PM, Therneau TM. Proportional hazards tests and diagnostics based on weighted residuals.</w:t>
      </w:r>
      <w:r>
        <w:t xml:space="preserve"> </w:t>
      </w:r>
      <w:r>
        <w:rPr>
          <w:i/>
          <w:iCs/>
        </w:rPr>
        <w:t xml:space="preserve">Biometrika</w:t>
      </w:r>
      <w:r>
        <w:t xml:space="preserve">. 1994;81(3):515-526. doi:</w:t>
      </w:r>
      <w:hyperlink r:id="rId164">
        <w:r>
          <w:rPr>
            <w:rStyle w:val="Hyperlink"/>
          </w:rPr>
          <w:t xml:space="preserve">10.1093/biomet/81.3.515</w:t>
        </w:r>
      </w:hyperlink>
    </w:p>
    <w:bookmarkEnd w:id="165"/>
    <w:bookmarkStart w:id="167" w:name="ref-andersen1982"/>
    <w:p>
      <w:pPr>
        <w:pStyle w:val="Bibliography"/>
      </w:pPr>
      <w:r>
        <w:t xml:space="preserve">5.</w:t>
      </w:r>
      <w:r>
        <w:t xml:space="preserve"> </w:t>
      </w:r>
      <w:r>
        <w:t xml:space="preserve">	</w:t>
      </w:r>
      <w:r>
        <w:t xml:space="preserve">Andersen PK, Gill RD. Cox’s</w:t>
      </w:r>
      <w:r>
        <w:t xml:space="preserve"> </w:t>
      </w:r>
      <w:r>
        <w:t xml:space="preserve">Regression Model</w:t>
      </w:r>
      <w:r>
        <w:t xml:space="preserve"> </w:t>
      </w:r>
      <w:r>
        <w:t xml:space="preserve">for</w:t>
      </w:r>
      <w:r>
        <w:t xml:space="preserve"> </w:t>
      </w:r>
      <w:r>
        <w:t xml:space="preserve">Counting Processes</w:t>
      </w:r>
      <w:r>
        <w:t xml:space="preserve">:</w:t>
      </w:r>
      <w:r>
        <w:t xml:space="preserve"> </w:t>
      </w:r>
      <w:r>
        <w:t xml:space="preserve">A Large Sample Study</w:t>
      </w:r>
      <w:r>
        <w:t xml:space="preserve">.</w:t>
      </w:r>
      <w:r>
        <w:t xml:space="preserve"> </w:t>
      </w:r>
      <w:r>
        <w:rPr>
          <w:i/>
          <w:iCs/>
        </w:rPr>
        <w:t xml:space="preserve">The Annals of Statistics</w:t>
      </w:r>
      <w:r>
        <w:t xml:space="preserve">. 1982;10(4). doi:</w:t>
      </w:r>
      <w:hyperlink r:id="rId166">
        <w:r>
          <w:rPr>
            <w:rStyle w:val="Hyperlink"/>
          </w:rPr>
          <w:t xml:space="preserve">10.1214/aos/1176345976</w:t>
        </w:r>
      </w:hyperlink>
    </w:p>
    <w:bookmarkEnd w:id="167"/>
    <w:bookmarkStart w:id="169" w:name="ref-royston2002"/>
    <w:p>
      <w:pPr>
        <w:pStyle w:val="Bibliography"/>
      </w:pPr>
      <w:r>
        <w:t xml:space="preserve">6.</w:t>
      </w:r>
      <w:r>
        <w:t xml:space="preserve"> </w:t>
      </w:r>
      <w:r>
        <w:t xml:space="preserve">	</w:t>
      </w:r>
      <w:r>
        <w:t xml:space="preserve">Royston P, Parmar MKB. Flexible parametric proportional-hazards and proportional-odds models for censored survival data, with application to prognostic modelling and estimation of treatment effects.</w:t>
      </w:r>
      <w:r>
        <w:t xml:space="preserve"> </w:t>
      </w:r>
      <w:r>
        <w:rPr>
          <w:i/>
          <w:iCs/>
        </w:rPr>
        <w:t xml:space="preserve">Statistics in Medicine</w:t>
      </w:r>
      <w:r>
        <w:t xml:space="preserve">. 2002;21(15):2175-2197. doi:</w:t>
      </w:r>
      <w:hyperlink r:id="rId168">
        <w:r>
          <w:rPr>
            <w:rStyle w:val="Hyperlink"/>
          </w:rPr>
          <w:t xml:space="preserve">10.1002/sim.1203</w:t>
        </w:r>
      </w:hyperlink>
    </w:p>
    <w:bookmarkEnd w:id="169"/>
    <w:bookmarkStart w:id="171" w:name="ref-aalen1989"/>
    <w:p>
      <w:pPr>
        <w:pStyle w:val="Bibliography"/>
      </w:pPr>
      <w:r>
        <w:t xml:space="preserve">7.</w:t>
      </w:r>
      <w:r>
        <w:t xml:space="preserve"> </w:t>
      </w:r>
      <w:r>
        <w:t xml:space="preserve">	</w:t>
      </w:r>
      <w:r>
        <w:t xml:space="preserve">Aalen OO. A linear regression model for the analysis of life times.</w:t>
      </w:r>
      <w:r>
        <w:t xml:space="preserve"> </w:t>
      </w:r>
      <w:r>
        <w:rPr>
          <w:i/>
          <w:iCs/>
        </w:rPr>
        <w:t xml:space="preserve">Statistics in Medicine</w:t>
      </w:r>
      <w:r>
        <w:t xml:space="preserve">. 1989;8(8):907-925. doi:</w:t>
      </w:r>
      <w:hyperlink r:id="rId170">
        <w:r>
          <w:rPr>
            <w:rStyle w:val="Hyperlink"/>
          </w:rPr>
          <w:t xml:space="preserve">10.1002/sim.4780080803</w:t>
        </w:r>
      </w:hyperlink>
    </w:p>
    <w:bookmarkEnd w:id="171"/>
    <w:bookmarkStart w:id="173" w:name="ref-lin1994"/>
    <w:p>
      <w:pPr>
        <w:pStyle w:val="Bibliography"/>
      </w:pPr>
      <w:r>
        <w:t xml:space="preserve">8.</w:t>
      </w:r>
      <w:r>
        <w:t xml:space="preserve"> </w:t>
      </w:r>
      <w:r>
        <w:t xml:space="preserve">	</w:t>
      </w:r>
      <w:r>
        <w:t xml:space="preserve">Lin DY, Ying Z. Semiparametric analysis of the additive risk model.</w:t>
      </w:r>
      <w:r>
        <w:t xml:space="preserve"> </w:t>
      </w:r>
      <w:r>
        <w:rPr>
          <w:i/>
          <w:iCs/>
        </w:rPr>
        <w:t xml:space="preserve">Biometrika</w:t>
      </w:r>
      <w:r>
        <w:t xml:space="preserve">. 1994;81(1):61-71. doi:</w:t>
      </w:r>
      <w:hyperlink r:id="rId172">
        <w:r>
          <w:rPr>
            <w:rStyle w:val="Hyperlink"/>
          </w:rPr>
          <w:t xml:space="preserve">10.1093/biomet/81.1.61</w:t>
        </w:r>
      </w:hyperlink>
    </w:p>
    <w:bookmarkEnd w:id="173"/>
    <w:bookmarkStart w:id="175" w:name="ref-vanhouwelingen2007"/>
    <w:p>
      <w:pPr>
        <w:pStyle w:val="Bibliography"/>
      </w:pPr>
      <w:r>
        <w:t xml:space="preserve">9.</w:t>
      </w:r>
      <w:r>
        <w:t xml:space="preserve"> </w:t>
      </w:r>
      <w:r>
        <w:t xml:space="preserve">	</w:t>
      </w:r>
      <w:r>
        <w:t xml:space="preserve">Van Houwelingen HC. Dynamic</w:t>
      </w:r>
      <w:r>
        <w:t xml:space="preserve"> </w:t>
      </w:r>
      <w:r>
        <w:t xml:space="preserve">Prediction</w:t>
      </w:r>
      <w:r>
        <w:t xml:space="preserve"> </w:t>
      </w:r>
      <w:r>
        <w:t xml:space="preserve">by</w:t>
      </w:r>
      <w:r>
        <w:t xml:space="preserve"> </w:t>
      </w:r>
      <w:r>
        <w:t xml:space="preserve">Landmarking</w:t>
      </w:r>
      <w:r>
        <w:t xml:space="preserve"> </w:t>
      </w:r>
      <w:r>
        <w:t xml:space="preserve">in</w:t>
      </w:r>
      <w:r>
        <w:t xml:space="preserve"> </w:t>
      </w:r>
      <w:r>
        <w:t xml:space="preserve">Event History Analysis</w:t>
      </w:r>
      <w:r>
        <w:t xml:space="preserve">.</w:t>
      </w:r>
      <w:r>
        <w:t xml:space="preserve"> </w:t>
      </w:r>
      <w:r>
        <w:rPr>
          <w:i/>
          <w:iCs/>
        </w:rPr>
        <w:t xml:space="preserve">Scandinavian Journal of Statistics</w:t>
      </w:r>
      <w:r>
        <w:t xml:space="preserve">. 2007;34(1):70-85. doi:</w:t>
      </w:r>
      <w:hyperlink r:id="rId174">
        <w:r>
          <w:rPr>
            <w:rStyle w:val="Hyperlink"/>
          </w:rPr>
          <w:t xml:space="preserve">10.1111/j.1467-9469.2006.00529.x</w:t>
        </w:r>
      </w:hyperlink>
    </w:p>
    <w:bookmarkEnd w:id="175"/>
    <w:bookmarkStart w:id="177" w:name="ref-robins2000"/>
    <w:p>
      <w:pPr>
        <w:pStyle w:val="Bibliography"/>
      </w:pPr>
      <w:r>
        <w:t xml:space="preserve">10.</w:t>
      </w:r>
      <w:r>
        <w:t xml:space="preserve"> </w:t>
      </w:r>
      <w:r>
        <w:t xml:space="preserve">	</w:t>
      </w:r>
      <w:r>
        <w:t xml:space="preserve">Robins JM, Hernán MÁ, Brumback B. Marginal</w:t>
      </w:r>
      <w:r>
        <w:t xml:space="preserve"> </w:t>
      </w:r>
      <w:r>
        <w:t xml:space="preserve">Structural Models</w:t>
      </w:r>
      <w:r>
        <w:t xml:space="preserve"> </w:t>
      </w:r>
      <w:r>
        <w:t xml:space="preserve">and</w:t>
      </w:r>
      <w:r>
        <w:t xml:space="preserve"> </w:t>
      </w:r>
      <w:r>
        <w:t xml:space="preserve">Causal Inference</w:t>
      </w:r>
      <w:r>
        <w:t xml:space="preserve"> </w:t>
      </w:r>
      <w:r>
        <w:t xml:space="preserve">in</w:t>
      </w:r>
      <w:r>
        <w:t xml:space="preserve"> </w:t>
      </w:r>
      <w:r>
        <w:t xml:space="preserve">Epidemiology</w:t>
      </w:r>
      <w:r>
        <w:t xml:space="preserve">:</w:t>
      </w:r>
      <w:r>
        <w:t xml:space="preserve"> </w:t>
      </w:r>
      <w:r>
        <w:rPr>
          <w:i/>
          <w:iCs/>
        </w:rPr>
        <w:t xml:space="preserve">Epidemiology</w:t>
      </w:r>
      <w:r>
        <w:t xml:space="preserve">. 2000;11(5):550-560. doi:</w:t>
      </w:r>
      <w:hyperlink r:id="rId176">
        <w:r>
          <w:rPr>
            <w:rStyle w:val="Hyperlink"/>
          </w:rPr>
          <w:t xml:space="preserve">10.1097/00001648-200009000-00011</w:t>
        </w:r>
      </w:hyperlink>
    </w:p>
    <w:bookmarkEnd w:id="177"/>
    <w:bookmarkStart w:id="179" w:name="ref-cole2008"/>
    <w:p>
      <w:pPr>
        <w:pStyle w:val="Bibliography"/>
      </w:pPr>
      <w:r>
        <w:t xml:space="preserve">11.</w:t>
      </w:r>
      <w:r>
        <w:t xml:space="preserve"> </w:t>
      </w:r>
      <w:r>
        <w:t xml:space="preserve">	</w:t>
      </w:r>
      <w:r>
        <w:t xml:space="preserve">Cole SR, Hernan MA. Constructing</w:t>
      </w:r>
      <w:r>
        <w:t xml:space="preserve"> </w:t>
      </w:r>
      <w:r>
        <w:t xml:space="preserve">Inverse Probability Weights</w:t>
      </w:r>
      <w:r>
        <w:t xml:space="preserve"> </w:t>
      </w:r>
      <w:r>
        <w:t xml:space="preserve">for</w:t>
      </w:r>
      <w:r>
        <w:t xml:space="preserve"> </w:t>
      </w:r>
      <w:r>
        <w:t xml:space="preserve">Marginal Structural Models</w:t>
      </w:r>
      <w:r>
        <w:t xml:space="preserve">.</w:t>
      </w:r>
      <w:r>
        <w:t xml:space="preserve"> </w:t>
      </w:r>
      <w:r>
        <w:rPr>
          <w:i/>
          <w:iCs/>
        </w:rPr>
        <w:t xml:space="preserve">American Journal of Epidemiology</w:t>
      </w:r>
      <w:r>
        <w:t xml:space="preserve">. 2008;168(6):656-664. doi:</w:t>
      </w:r>
      <w:hyperlink r:id="rId178">
        <w:r>
          <w:rPr>
            <w:rStyle w:val="Hyperlink"/>
          </w:rPr>
          <w:t xml:space="preserve">10.1093/aje/kwn164</w:t>
        </w:r>
      </w:hyperlink>
    </w:p>
    <w:bookmarkEnd w:id="179"/>
    <w:bookmarkStart w:id="180" w:name="ref-sanca2024"/>
    <w:p>
      <w:pPr>
        <w:pStyle w:val="Bibliography"/>
      </w:pPr>
      <w:r>
        <w:t xml:space="preserve">12.</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80"/>
    <w:bookmarkEnd w:id="181"/>
    <w:bookmarkEnd w:id="182"/>
    <w:bookmarkStart w:id="183" w:name="figures"/>
    <w:p>
      <w:pPr>
        <w:pStyle w:val="Heading2"/>
      </w:pPr>
      <w:r>
        <w:t xml:space="preserve">Figures</w:t>
      </w:r>
    </w:p>
    <w:bookmarkEnd w:id="183"/>
    <w:bookmarkStart w:id="195" w:name="tables"/>
    <w:p>
      <w:pPr>
        <w:pStyle w:val="Heading2"/>
      </w:pPr>
      <w:r>
        <w:t xml:space="preserve">Tables</w:t>
      </w:r>
    </w:p>
    <w:bookmarkStart w:id="184"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w:t>
            </w:r>
            <w:r>
              <w:t xml:space="preserve"> </w:t>
            </w:r>
            <w:r>
              <w:t xml:space="preserve">“negative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84"/>
    <w:p/>
    <w:bookmarkStart w:id="185"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185"/>
    <w:p/>
    <w:bookmarkStart w:id="186" w:name="tbl:positioning"/>
    <w:p>
      <w:pPr>
        <w:pStyle w:val="TableCaption"/>
      </w:pPr>
      <w:r>
        <w:t xml:space="preserve">Table 3. Positioning KCOR relative to non-proportional hazards methods.</w:t>
      </w:r>
    </w:p>
    <w:tbl>
      <w:tblPr>
        <w:tblStyle w:val="Table"/>
        <w:tblW w:type="pct" w:w="5000"/>
        <w:tblLayout w:type="fixed"/>
        <w:tblLook w:firstRow="1" w:lastRow="0" w:firstColumn="0" w:lastColumn="0" w:noHBand="0" w:noVBand="0" w:val="0020"/>
        <w:tblCaption w:val="Table 3. Positioning KCOR relative to non-proportional hazards methods."/>
      </w:tblPr>
      <w:tblGrid>
        <w:gridCol w:w="1635"/>
        <w:gridCol w:w="1334"/>
        <w:gridCol w:w="946"/>
        <w:gridCol w:w="1549"/>
        <w:gridCol w:w="1033"/>
        <w:gridCol w:w="1420"/>
      </w:tblGrid>
      <w:tr>
        <w:trPr>
          <w:tblHeader w:val="on"/>
        </w:trPr>
        <w:tc>
          <w:tcPr/>
          <w:p>
            <w:pPr>
              <w:pStyle w:val="Compact"/>
            </w:pPr>
            <w:r>
              <w:t xml:space="preserve">Method class</w:t>
            </w:r>
          </w:p>
        </w:tc>
        <w:tc>
          <w:tcPr/>
          <w:p>
            <w:pPr>
              <w:pStyle w:val="Compact"/>
            </w:pPr>
            <w:r>
              <w:t xml:space="preserve">Primary target</w:t>
            </w:r>
          </w:p>
        </w:tc>
        <w:tc>
          <w:tcPr/>
          <w:p>
            <w:pPr>
              <w:pStyle w:val="Compact"/>
            </w:pPr>
            <w:r>
              <w:t xml:space="preserve">What is modeled</w:t>
            </w:r>
          </w:p>
        </w:tc>
        <w:tc>
          <w:tcPr/>
          <w:p>
            <w:pPr>
              <w:pStyle w:val="Compact"/>
            </w:pPr>
            <w:r>
              <w:t xml:space="preserve">Handles selection-induced depletion?</w:t>
            </w:r>
          </w:p>
        </w:tc>
        <w:tc>
          <w:tcPr/>
          <w:p>
            <w:pPr>
              <w:pStyle w:val="Compact"/>
            </w:pPr>
            <w:r>
              <w:t xml:space="preserve">Typical output</w:t>
            </w:r>
          </w:p>
        </w:tc>
        <w:tc>
          <w:tcPr/>
          <w:p>
            <w:pPr>
              <w:pStyle w:val="Compact"/>
            </w:pPr>
            <w:r>
              <w:t xml:space="preserve">Failure under latent frailty</w:t>
            </w:r>
          </w:p>
        </w:tc>
      </w:tr>
      <w:tr>
        <w:tc>
          <w:tcPr/>
          <w:p>
            <w:pPr>
              <w:pStyle w:val="Compact"/>
            </w:pPr>
            <w:r>
              <w:t xml:space="preserve">Cox PH</w:t>
            </w:r>
          </w:p>
        </w:tc>
        <w:tc>
          <w:tcPr/>
          <w:p>
            <w:pPr>
              <w:pStyle w:val="Compact"/>
            </w:pPr>
            <w:r>
              <w:t xml:space="preserve">Instantaneous hazard</w:t>
            </w:r>
          </w:p>
        </w:tc>
        <w:tc>
          <w:tcPr/>
          <w:p>
            <w:pPr>
              <w:pStyle w:val="Compact"/>
            </w:pPr>
            <w:r>
              <w:t xml:space="preserve">Linear predictor</w:t>
            </w:r>
          </w:p>
        </w:tc>
        <w:tc>
          <w:tcPr/>
          <w:p>
            <w:pPr>
              <w:pStyle w:val="Compact"/>
            </w:pPr>
            <w:r>
              <w:t xml:space="preserve">No</w:t>
            </w:r>
          </w:p>
        </w:tc>
        <w:tc>
          <w:tcPr/>
          <w:p>
            <w:pPr>
              <w:pStyle w:val="Compact"/>
            </w:pPr>
            <w:r>
              <w:t xml:space="preserve">HR</w:t>
            </w:r>
          </w:p>
        </w:tc>
        <w:tc>
          <w:tcPr/>
          <w:p>
            <w:pPr>
              <w:pStyle w:val="Compact"/>
            </w:pPr>
            <w:r>
              <w:t xml:space="preserve">Non-PH from depletion → biased HR</w:t>
            </w:r>
          </w:p>
        </w:tc>
      </w:tr>
      <w:tr>
        <w:tc>
          <w:tcPr/>
          <w:p>
            <w:pPr>
              <w:pStyle w:val="Compact"/>
            </w:pPr>
            <w:r>
              <w:t xml:space="preserve">Time-varying Cox</w:t>
            </w:r>
          </w:p>
        </w:tc>
        <w:tc>
          <w:tcPr/>
          <w:p>
            <w:pPr>
              <w:pStyle w:val="Compact"/>
            </w:pPr>
            <w:r>
              <w:t xml:space="preserve">Instantaneous hazard</w:t>
            </w:r>
          </w:p>
        </w:tc>
        <w:tc>
          <w:tcPr/>
          <w:p>
            <w:pPr>
              <w:pStyle w:val="Compact"/>
            </w:pPr>
            <w:r>
              <w:t xml:space="preserve">Time-varying β(t)</w:t>
            </w:r>
          </w:p>
        </w:tc>
        <w:tc>
          <w:tcPr/>
          <w:p>
            <w:pPr>
              <w:pStyle w:val="Compact"/>
            </w:pPr>
            <w:r>
              <w:t xml:space="preserve">No</w:t>
            </w:r>
          </w:p>
        </w:tc>
        <w:tc>
          <w:tcPr/>
          <w:p>
            <w:pPr>
              <w:pStyle w:val="Compact"/>
            </w:pPr>
            <w:r>
              <w:t xml:space="preserve">HR(t)</w:t>
            </w:r>
          </w:p>
        </w:tc>
        <w:tc>
          <w:tcPr/>
          <w:p>
            <w:pPr>
              <w:pStyle w:val="Compact"/>
            </w:pPr>
            <w:r>
              <w:t xml:space="preserve">Fits depletion as signal</w:t>
            </w:r>
          </w:p>
        </w:tc>
      </w:tr>
      <w:tr>
        <w:tc>
          <w:tcPr/>
          <w:p>
            <w:pPr>
              <w:pStyle w:val="Compact"/>
            </w:pPr>
            <w:r>
              <w:t xml:space="preserve">Flexible parametric survival (splines)</w:t>
            </w:r>
          </w:p>
        </w:tc>
        <w:tc>
          <w:tcPr/>
          <w:p>
            <w:pPr>
              <w:pStyle w:val="Compact"/>
            </w:pPr>
            <w:r>
              <w:t xml:space="preserve">Survival / hazard shape</w:t>
            </w:r>
          </w:p>
        </w:tc>
        <w:tc>
          <w:tcPr/>
          <w:p>
            <w:pPr>
              <w:pStyle w:val="Compact"/>
            </w:pPr>
            <w:r>
              <w:t xml:space="preserve">Baseline hazard</w:t>
            </w:r>
          </w:p>
        </w:tc>
        <w:tc>
          <w:tcPr/>
          <w:p>
            <w:pPr>
              <w:pStyle w:val="Compact"/>
            </w:pPr>
            <w:r>
              <w:t xml:space="preserve">No</w:t>
            </w:r>
          </w:p>
        </w:tc>
        <w:tc>
          <w:tcPr/>
          <w:p>
            <w:pPr>
              <w:pStyle w:val="Compact"/>
            </w:pPr>
            <w:r>
              <w:t xml:space="preserve">Smooth hazard / survival</w:t>
            </w:r>
          </w:p>
        </w:tc>
        <w:tc>
          <w:tcPr/>
          <w:p>
            <w:pPr>
              <w:pStyle w:val="Compact"/>
            </w:pPr>
            <w:r>
              <w:t xml:space="preserve">Absorbs depletion curvature</w:t>
            </w:r>
          </w:p>
        </w:tc>
      </w:tr>
      <w:tr>
        <w:tc>
          <w:tcPr/>
          <w:p>
            <w:pPr>
              <w:pStyle w:val="Compact"/>
            </w:pPr>
            <w:r>
              <w:t xml:space="preserve">Additive hazards (Aalen)</w:t>
            </w:r>
          </w:p>
        </w:tc>
        <w:tc>
          <w:tcPr/>
          <w:p>
            <w:pPr>
              <w:pStyle w:val="Compact"/>
            </w:pPr>
            <w:r>
              <w:t xml:space="preserve">Hazard differences</w:t>
            </w:r>
          </w:p>
        </w:tc>
        <w:tc>
          <w:tcPr/>
          <w:p>
            <w:pPr>
              <w:pStyle w:val="Compact"/>
            </w:pPr>
            <w:r>
              <w:t xml:space="preserve">Additive hazard</w:t>
            </w:r>
          </w:p>
        </w:tc>
        <w:tc>
          <w:tcPr/>
          <w:p>
            <w:pPr>
              <w:pStyle w:val="Compact"/>
            </w:pPr>
            <w:r>
              <w:t xml:space="preserve">No</w:t>
            </w:r>
          </w:p>
        </w:tc>
        <w:tc>
          <w:tcPr/>
          <w:p>
            <w:pPr>
              <w:pStyle w:val="Compact"/>
            </w:pPr>
            <w:r>
              <w:t xml:space="preserve">Δh(t)</w:t>
            </w:r>
          </w:p>
        </w:tc>
        <w:tc>
          <w:tcPr/>
          <w:p>
            <w:pPr>
              <w:pStyle w:val="Compact"/>
            </w:pPr>
            <w:r>
              <w:t xml:space="preserve">Still conditional on survival</w:t>
            </w:r>
          </w:p>
        </w:tc>
      </w:tr>
      <w:tr>
        <w:tc>
          <w:tcPr/>
          <w:p>
            <w:pPr>
              <w:pStyle w:val="Compact"/>
            </w:pPr>
            <w:r>
              <w:t xml:space="preserve">RMST</w:t>
            </w:r>
          </w:p>
        </w:tc>
        <w:tc>
          <w:tcPr/>
          <w:p>
            <w:pPr>
              <w:pStyle w:val="Compact"/>
            </w:pPr>
            <w:r>
              <w:t xml:space="preserve">Mean survival</w:t>
            </w:r>
          </w:p>
        </w:tc>
        <w:tc>
          <w:tcPr/>
          <w:p>
            <w:pPr>
              <w:pStyle w:val="Compact"/>
            </w:pPr>
            <w:r>
              <w:t xml:space="preserve">Survival curve</w:t>
            </w:r>
          </w:p>
        </w:tc>
        <w:tc>
          <w:tcPr/>
          <w:p>
            <w:pPr>
              <w:pStyle w:val="Compact"/>
            </w:pPr>
            <w:r>
              <w:t xml:space="preserve">No</w:t>
            </w:r>
          </w:p>
        </w:tc>
        <w:tc>
          <w:tcPr/>
          <w:p>
            <w:pPr>
              <w:pStyle w:val="Compact"/>
            </w:pPr>
            <w:r>
              <w:t xml:space="preserve">RMST</w:t>
            </w:r>
          </w:p>
        </w:tc>
        <w:tc>
          <w:tcPr/>
          <w:p>
            <w:pPr>
              <w:pStyle w:val="Compact"/>
            </w:pPr>
            <w:r>
              <w:t xml:space="preserve">Inherits depletion bias</w:t>
            </w:r>
          </w:p>
        </w:tc>
      </w:tr>
      <w:tr>
        <w:tc>
          <w:tcPr/>
          <w:p>
            <w:pPr>
              <w:pStyle w:val="Compact"/>
            </w:pPr>
            <w:r>
              <w:t xml:space="preserve">Frailty regression</w:t>
            </w:r>
          </w:p>
        </w:tc>
        <w:tc>
          <w:tcPr/>
          <w:p>
            <w:pPr>
              <w:pStyle w:val="Compact"/>
            </w:pPr>
            <w:r>
              <w:t xml:space="preserve">Heterogeneity- adjusted HR</w:t>
            </w:r>
          </w:p>
        </w:tc>
        <w:tc>
          <w:tcPr/>
          <w:p>
            <w:pPr>
              <w:pStyle w:val="Compact"/>
            </w:pPr>
            <w:r>
              <w:t xml:space="preserve">Random effects</w:t>
            </w:r>
          </w:p>
        </w:tc>
        <w:tc>
          <w:tcPr/>
          <w:p>
            <w:pPr>
              <w:pStyle w:val="Compact"/>
            </w:pPr>
            <w:r>
              <w:t xml:space="preserve">Partial</w:t>
            </w:r>
          </w:p>
        </w:tc>
        <w:tc>
          <w:tcPr/>
          <w:p>
            <w:pPr>
              <w:pStyle w:val="Compact"/>
            </w:pPr>
            <w:r>
              <w:t xml:space="preserve">HR</w:t>
            </w:r>
          </w:p>
        </w:tc>
        <w:tc>
          <w:tcPr/>
          <w:p>
            <w:pPr>
              <w:pStyle w:val="Compact"/>
            </w:pPr>
            <w:r>
              <w:t xml:space="preserve">Frailty treated as nuisance</w:t>
            </w:r>
          </w:p>
        </w:tc>
      </w:tr>
      <w:tr>
        <w:tc>
          <w:tcPr/>
          <w:p>
            <w:pPr>
              <w:pStyle w:val="Compact"/>
            </w:pPr>
            <w:r>
              <w:rPr>
                <w:b/>
                <w:bCs/>
              </w:rPr>
              <w:t xml:space="preserve">KCOR (this work)</w:t>
            </w:r>
          </w:p>
        </w:tc>
        <w:tc>
          <w:tcPr/>
          <w:p>
            <w:pPr>
              <w:pStyle w:val="Compact"/>
            </w:pPr>
            <w:r>
              <w:rPr>
                <w:b/>
                <w:bCs/>
              </w:rPr>
              <w:t xml:space="preserve">Cumulative outcome contrast</w:t>
            </w:r>
          </w:p>
        </w:tc>
        <w:tc>
          <w:tcPr/>
          <w:p>
            <w:pPr>
              <w:pStyle w:val="Compact"/>
            </w:pPr>
            <w:r>
              <w:rPr>
                <w:b/>
                <w:bCs/>
              </w:rPr>
              <w:t xml:space="preserve">Depletion geometry</w:t>
            </w:r>
          </w:p>
        </w:tc>
        <w:tc>
          <w:tcPr/>
          <w:p>
            <w:pPr>
              <w:pStyle w:val="Compact"/>
            </w:pPr>
            <w:r>
              <w:rPr>
                <w:b/>
                <w:bCs/>
              </w:rPr>
              <w:t xml:space="preserve">Yes (targeted)</w:t>
            </w:r>
          </w:p>
        </w:tc>
        <w:tc>
          <w:tcPr/>
          <w:p>
            <w:pPr>
              <w:pStyle w:val="Compact"/>
            </w:pP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Diagnostics flag failure</w:t>
            </w:r>
          </w:p>
        </w:tc>
      </w:tr>
    </w:tbl>
    <w:bookmarkEnd w:id="186"/>
    <w:p/>
    <w:bookmarkStart w:id="187" w:name="tbl:notation"/>
    <w:p>
      <w:pPr>
        <w:pStyle w:val="TableCaption"/>
      </w:pPr>
      <w:r>
        <w:t xml:space="preserve">Table 4. Notation used throughout the Methods section.</w:t>
      </w:r>
    </w:p>
    <w:tbl>
      <w:tblPr>
        <w:tblStyle w:val="Table"/>
        <w:tblW w:type="pct" w:w="5000"/>
        <w:tblLayout w:type="fixed"/>
        <w:tblLook w:firstRow="1" w:lastRow="0" w:firstColumn="0" w:lastColumn="0" w:noHBand="0" w:noVBand="0" w:val="0020"/>
        <w:tblCaption w:val="Table 4. Notation used throughout the Methods section."/>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m:oMath>
              <m:r>
                <m:t>d</m:t>
              </m:r>
            </m:oMath>
          </w:p>
        </w:tc>
        <w:tc>
          <w:tcPr/>
          <w:p>
            <w:pPr>
              <w:pStyle w:val="Compact"/>
            </w:pPr>
            <w:r>
              <w:t xml:space="preserve">Cohort index</w:t>
            </w:r>
          </w:p>
        </w:tc>
      </w:tr>
      <w:tr>
        <w:tc>
          <w:tcPr/>
          <w:p>
            <w:pPr>
              <w:pStyle w:val="Compact"/>
            </w:pPr>
            <m:oMath>
              <m:r>
                <m:t>A</m:t>
              </m:r>
              <m:r>
                <m:rPr>
                  <m:sty m:val="p"/>
                </m:rPr>
                <m:t>,</m:t>
              </m:r>
              <m:r>
                <m:t>B</m:t>
              </m:r>
            </m:oMath>
          </w:p>
        </w:tc>
        <w:tc>
          <w:tcPr/>
          <w:p>
            <w:pPr>
              <w:pStyle w:val="Compact"/>
            </w:pPr>
            <w:r>
              <w:t xml:space="preserve">Indices of the two cohorts compared in a KCOR contrast</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
                <m:e>
                  <m:r>
                    <m:t>h</m:t>
                  </m:r>
                </m:e>
                <m:sub>
                  <m:r>
                    <m:rPr>
                      <m:sty m:val="p"/>
                    </m:rPr>
                    <m:t>o</m:t>
                  </m:r>
                  <m:r>
                    <m:rPr>
                      <m:sty m:val="p"/>
                    </m:rPr>
                    <m:t>b</m:t>
                  </m:r>
                  <m:r>
                    <m:rPr>
                      <m:sty m:val="p"/>
                    </m:rPr>
                    <m:t>s</m:t>
                  </m:r>
                  <m:r>
                    <m:rPr>
                      <m:sty m:val="p"/>
                    </m:rPr>
                    <m:t>,</m:t>
                  </m:r>
                  <m:r>
                    <m:t>d</m:t>
                  </m:r>
                </m:sub>
              </m:sSub>
              <m:r>
                <m:rPr>
                  <m:sty m:val="p"/>
                </m:rPr>
                <m:t>(</m:t>
              </m:r>
              <m:r>
                <m:t>t</m:t>
              </m:r>
              <m:r>
                <m:rPr>
                  <m:sty m:val="p"/>
                </m:rPr>
                <m:t>)</m:t>
              </m:r>
            </m:oMath>
          </w:p>
        </w:tc>
        <w:tc>
          <w:tcPr/>
          <w:p>
            <w:pPr>
              <w:pStyle w:val="Compact"/>
            </w:pPr>
            <w:r>
              <w:t xml:space="preserve">Discrete-time cohort hazard (conditional on</w:t>
            </w:r>
            <w:r>
              <w:t xml:space="preserve"> </w:t>
            </w:r>
            <m:oMath>
              <m:sSub>
                <m:e>
                  <m:r>
                    <m:t>N</m:t>
                  </m:r>
                </m:e>
                <m:sub>
                  <m:r>
                    <m:t>d</m:t>
                  </m:r>
                </m:sub>
              </m:sSub>
              <m:r>
                <m:rPr>
                  <m:sty m:val="p"/>
                </m:rPr>
                <m:t>(</m:t>
              </m:r>
              <m:r>
                <m:t>t</m:t>
              </m:r>
              <m:r>
                <m:rPr>
                  <m:sty m:val="p"/>
                </m:rPr>
                <m:t>)</m:t>
              </m:r>
            </m:oMath>
            <w:r>
              <w:t xml:space="preserve">)</w:t>
            </w:r>
          </w:p>
        </w:tc>
      </w:tr>
      <w:tr>
        <w:tc>
          <w:tcPr/>
          <w:p>
            <w:pPr>
              <w:pStyle w:val="Compact"/>
            </w:pPr>
            <m:oMath>
              <m:sSub>
                <m:e>
                  <m:r>
                    <m:t>H</m:t>
                  </m:r>
                </m:e>
                <m:sub>
                  <m:r>
                    <m:rPr>
                      <m:sty m:val="p"/>
                    </m:rPr>
                    <m:t>o</m:t>
                  </m:r>
                  <m:r>
                    <m:rPr>
                      <m:sty m:val="p"/>
                    </m:rPr>
                    <m:t>b</m:t>
                  </m:r>
                  <m:r>
                    <m:rPr>
                      <m:sty m:val="p"/>
                    </m:rPr>
                    <m:t>s</m:t>
                  </m:r>
                  <m:r>
                    <m:rPr>
                      <m:sty m:val="p"/>
                    </m:rPr>
                    <m:t>,</m:t>
                  </m:r>
                  <m:r>
                    <m:t>d</m:t>
                  </m:r>
                </m:sub>
              </m:sSub>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Baseline hazard for cohort</w:t>
            </w:r>
            <w:r>
              <w:t xml:space="preserve"> </w:t>
            </w:r>
            <m:oMath>
              <m:r>
                <m:t>d</m:t>
              </m:r>
            </m:oMath>
            <w:r>
              <w:t xml:space="preserve"> </w:t>
            </w:r>
            <w:r>
              <w:t xml:space="preserve">under the depletion-neutralized model</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Baseline cumulative hazard for cohort</w:t>
            </w:r>
            <w:r>
              <w:t xml:space="preserve"> </w:t>
            </w:r>
            <m:oMath>
              <m:r>
                <m:t>d</m:t>
              </m:r>
            </m:oMath>
            <w:r>
              <w:t xml:space="preserve"> </w:t>
            </w:r>
            <w:r>
              <w:t xml:space="preserve">under the depletion-neutralized model</w:t>
            </w:r>
          </w:p>
        </w:tc>
      </w:tr>
      <w:tr>
        <w:tc>
          <w:tcPr/>
          <w:p>
            <w:pPr>
              <w:pStyle w:val="Compact"/>
            </w:pP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r>
              <w:t xml:space="preserve">; governs curvature in the observed cumulative hazard</w:t>
            </w:r>
          </w:p>
        </w:tc>
      </w:tr>
      <w:tr>
        <w:tc>
          <w:tcPr/>
          <w:p>
            <w:pPr>
              <w:pStyle w:val="Compact"/>
            </w:pPr>
            <m:oMath>
              <m:sSub>
                <m:e>
                  <m:acc>
                    <m:accPr>
                      <m:chr m:val="̂"/>
                    </m:accPr>
                    <m:e>
                      <m:r>
                        <m:t>θ</m:t>
                      </m:r>
                    </m:e>
                  </m:acc>
                </m:e>
                <m:sub>
                  <m:r>
                    <m:t>d</m:t>
                  </m:r>
                </m:sub>
              </m:sSub>
            </m:oMath>
          </w:p>
        </w:tc>
        <w:tc>
          <w:tcPr/>
          <w:p>
            <w:pPr>
              <w:pStyle w:val="Compact"/>
            </w:pPr>
            <w:r>
              <w:t xml:space="preserve">Estimated frailty variance from quiet-window fitting</w:t>
            </w:r>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the default baseline shape</w:t>
            </w:r>
          </w:p>
        </w:tc>
      </w:tr>
      <w:tr>
        <w:tc>
          <w:tcPr/>
          <w:p>
            <w:pPr>
              <w:pStyle w:val="Compact"/>
            </w:pPr>
            <m:oMath>
              <m:sSub>
                <m:e>
                  <m:acc>
                    <m:accPr>
                      <m:chr m:val="̂"/>
                    </m:accPr>
                    <m:e>
                      <m:r>
                        <m:t>k</m:t>
                      </m:r>
                    </m:e>
                  </m:acc>
                </m:e>
                <m:sub>
                  <m:r>
                    <m:t>d</m:t>
                  </m:r>
                </m:sub>
              </m:sSub>
            </m:oMath>
          </w:p>
        </w:tc>
        <w:tc>
          <w:tcPr/>
          <w:p>
            <w:pPr>
              <w:pStyle w:val="Compact"/>
            </w:pPr>
            <w:r>
              <w:t xml:space="preserve">Estimated baseline hazard level from quiet-window fitting</w:t>
            </w:r>
          </w:p>
        </w:tc>
      </w:tr>
      <w:tr>
        <w:tc>
          <w:tcPr/>
          <w:p>
            <w:pPr>
              <w:pStyle w:val="Compact"/>
            </w:pPr>
            <m:oMath>
              <m:sSub>
                <m:e>
                  <m:r>
                    <m:t>t</m:t>
                  </m:r>
                </m:e>
                <m:sub>
                  <m:r>
                    <m:t>0</m:t>
                  </m:r>
                </m:sub>
              </m:sSub>
            </m:oMath>
          </w:p>
        </w:tc>
        <w:tc>
          <w:tcPr/>
          <w:p>
            <w:pPr>
              <w:pStyle w:val="Compact"/>
            </w:pPr>
            <w:r>
              <w:t xml:space="preserve">Anchor time for baseline normalization (prespecified)</w:t>
            </w:r>
          </w:p>
        </w:tc>
      </w:tr>
      <w:tr>
        <w:tc>
          <w:tcPr/>
          <w:p>
            <w:pPr>
              <w:pStyle w:val="Compact"/>
            </w:pP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p>
        </w:tc>
        <w:tc>
          <w:tcPr/>
          <w:p>
            <w:pPr>
              <w:pStyle w:val="Compact"/>
            </w:pPr>
            <w:r>
              <w:t xml:space="preserve">Anchored KCOR:</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rPr>
                  <m:sty m:val="p"/>
                </m:rPr>
                <m:t>K</m:t>
              </m:r>
              <m:r>
                <m:rPr>
                  <m:sty m:val="p"/>
                </m:rPr>
                <m:t>C</m:t>
              </m:r>
              <m:r>
                <m:rPr>
                  <m:sty m:val="p"/>
                </m:rPr>
                <m:t>O</m:t>
              </m:r>
              <m:r>
                <m:rPr>
                  <m:sty m:val="p"/>
                </m:rPr>
                <m:t>R</m:t>
              </m:r>
              <m:r>
                <m:rPr>
                  <m:sty m:val="p"/>
                </m:rPr>
                <m:t>(</m:t>
              </m:r>
              <m:sSub>
                <m:e>
                  <m:r>
                    <m:t>t</m:t>
                  </m:r>
                </m:e>
                <m:sub>
                  <m:r>
                    <m:t>0</m:t>
                  </m:r>
                </m:sub>
              </m:sSub>
              <m:r>
                <m:rPr>
                  <m:sty m:val="p"/>
                </m:rPr>
                <m:t>)</m:t>
              </m:r>
            </m:oMath>
          </w:p>
        </w:tc>
      </w:tr>
    </w:tbl>
    <w:bookmarkEnd w:id="187"/>
    <w:p/>
    <w:bookmarkStart w:id="188" w:name="tbl:KCOR_algorithm"/>
    <w:p>
      <w:pPr>
        <w:pStyle w:val="TableCaption"/>
      </w:pPr>
      <w:r>
        <w:t xml:space="preserve">Table 5. Step-by-step KCOR algorithm (high-level), with recommended prespecification and diagnostics.</w:t>
      </w:r>
    </w:p>
    <w:tbl>
      <w:tblPr>
        <w:tblStyle w:val="Table"/>
        <w:tblW w:type="pct" w:w="5000"/>
        <w:tblLayout w:type="fixed"/>
        <w:tblLook w:firstRow="1" w:lastRow="0" w:firstColumn="0" w:lastColumn="0" w:noHBand="0" w:noVBand="0" w:val="0020"/>
        <w:tblCaption w:val="Table 5. Step-by-step KCOR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 (observed hazards)</w:t>
            </w:r>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 observed cumulative hazards</w:t>
            </w:r>
          </w:p>
        </w:tc>
        <w:tc>
          <w:tcPr/>
          <w:p>
            <w:pPr>
              <w:pStyle w:val="Compact"/>
            </w:pPr>
            <w:r>
              <w:t xml:space="preserve">Observed cumulative hazards</w:t>
            </w:r>
          </w:p>
        </w:tc>
        <w:tc>
          <w:tcPr/>
          <w:p>
            <w:pPr>
              <w:pStyle w:val="Compact"/>
            </w:pPr>
            <w:r>
              <w:t xml:space="preserve">Yes (skip rule)</w:t>
            </w:r>
          </w:p>
        </w:tc>
        <w:tc>
          <w:tcPr/>
          <w:p>
            <w:pPr>
              <w:pStyle w:val="Compact"/>
            </w:pPr>
            <w:r>
              <w:t xml:space="preserve">Plot observed cumulative hazards</w:t>
            </w:r>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via cumulative-hazard least squares</w:t>
            </w:r>
          </w:p>
        </w:tc>
        <w:tc>
          <w:tcPr/>
          <w:p>
            <w:pPr>
              <w:pStyle w:val="Compact"/>
            </w:pPr>
            <w:r>
              <w:t xml:space="preserve">Fitted parameters</w:t>
            </w:r>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 depletion-neutralized cumulative hazards</w:t>
            </w:r>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188"/>
    <w:p/>
    <w:bookmarkStart w:id="189" w:name="tbl:cox_bias_demo"/>
    <w:p>
      <w:pPr>
        <w:pStyle w:val="TableCaption"/>
      </w:pPr>
      <w:r>
        <w:t xml:space="preserve">Table 6. Cox vs KCOR under a synthetic null with increasing frailty heterogeneity. Two cohorts are simulated with identical baseline hazards and no treatment effect</w:t>
      </w:r>
      <w:r>
        <w:t xml:space="preserve"> </w:t>
      </w:r>
      <w:r>
        <w:rPr>
          <w:i/>
          <w:iCs/>
        </w:rPr>
        <w:t xml:space="preserve">(null by construction)</w:t>
      </w:r>
      <w:r>
        <w:t xml:space="preserve">; cohorts differ only in gamma frailty variance (</w:t>
      </w:r>
      <m:oMath>
        <m:r>
          <m:t>θ</m:t>
        </m:r>
      </m:oMath>
      <w:r>
        <w:t xml:space="preserve">). Despite the true hazard ratio being 1 by construction, Cox regression produces increasingly non-null hazard ratios as</w:t>
      </w:r>
      <w:r>
        <w:t xml:space="preserve"> </w:t>
      </w:r>
      <m:oMath>
        <m:r>
          <m:t>θ</m:t>
        </m:r>
      </m:oMath>
      <w:r>
        <w:t xml:space="preserve"> </w:t>
      </w:r>
      <w:r>
        <w:t xml:space="preserve">increases, reflecting depletion-induced non-proportional hazards.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centered near unity with negligible post-normalization slope across</w:t>
      </w:r>
      <w:r>
        <w:t xml:space="preserve"> </w:t>
      </w:r>
      <m:oMath>
        <m:r>
          <m:t>θ</m:t>
        </m:r>
      </m:oMath>
      <w:r>
        <w:t xml:space="preserve"> </w:t>
      </w:r>
      <w:r>
        <w:t xml:space="preserve">values. (Exact values depend on simulation seed and follow-up horizon.)</w:t>
      </w:r>
    </w:p>
    <w:tbl>
      <w:tblPr>
        <w:tblStyle w:val="Table"/>
        <w:tblW w:type="pct" w:w="5000"/>
        <w:tblLayout w:type="fixed"/>
        <w:tblLook w:firstRow="1" w:lastRow="0" w:firstColumn="0" w:lastColumn="0" w:noHBand="0" w:noVBand="0" w:val="0020"/>
        <w:tblCaption w:val="Table 6. Cox vs KCOR under a synthetic null with increasing frailty heterogeneity. Two cohorts are simulated with identical baseline hazards and no treatment effect (null by construction); cohorts differ only in gamma frailty variance (\theta). Despite the true hazard ratio being 1 by construction, Cox regression produces increasingly non-null hazard ratios as \theta increases, reflecting depletion-induced non-proportional hazards. \mathrm{KCOR}(t) remains centered near unity with negligible post-normalization slope across \theta values. (Exact values depend on simulation seed and follow-up horizon.)"/>
      </w:tblPr>
      <w:tblGrid>
        <w:gridCol w:w="1080"/>
        <w:gridCol w:w="720"/>
        <w:gridCol w:w="720"/>
        <w:gridCol w:w="1320"/>
        <w:gridCol w:w="1680"/>
        <w:gridCol w:w="2400"/>
      </w:tblGrid>
      <w:tr>
        <w:trPr>
          <w:tblHeader w:val="on"/>
        </w:trPr>
        <w:tc>
          <w:tcPr/>
          <w:p>
            <w:pPr>
              <w:pStyle w:val="Compact"/>
              <w:jc w:val="right"/>
            </w:pPr>
            <m:oMath>
              <m:r>
                <m:t>θ</m:t>
              </m:r>
            </m:oMath>
          </w:p>
        </w:tc>
        <w:tc>
          <w:tcPr/>
          <w:p>
            <w:pPr>
              <w:pStyle w:val="Compact"/>
              <w:jc w:val="right"/>
            </w:pPr>
            <w:r>
              <w:t xml:space="preserve">Cox HR</w:t>
            </w:r>
          </w:p>
        </w:tc>
        <w:tc>
          <w:tcPr/>
          <w:p>
            <w:pPr>
              <w:pStyle w:val="Compact"/>
              <w:jc w:val="right"/>
            </w:pPr>
            <w:r>
              <w:t xml:space="preserve">95% CI</w:t>
            </w:r>
          </w:p>
        </w:tc>
        <w:tc>
          <w:tcPr/>
          <w:p>
            <w:pPr>
              <w:pStyle w:val="Compact"/>
              <w:jc w:val="right"/>
            </w:pPr>
            <w:r>
              <w:t xml:space="preserve">Cox p-value</w:t>
            </w:r>
          </w:p>
        </w:tc>
        <w:tc>
          <w:tcPr/>
          <w:p>
            <w:pPr>
              <w:pStyle w:val="Compact"/>
              <w:jc w:val="right"/>
            </w:pPr>
            <w:r>
              <w:t xml:space="preserve">KCOR asymptote</w:t>
            </w:r>
          </w:p>
        </w:tc>
        <w:tc>
          <w:tcPr/>
          <w:p>
            <w:pPr>
              <w:pStyle w:val="Compact"/>
              <w:jc w:val="right"/>
            </w:pPr>
            <w:r>
              <w:t xml:space="preserve">KCOR post-norm slope</w:t>
            </w:r>
          </w:p>
        </w:tc>
      </w:tr>
      <w:tr>
        <w:tc>
          <w:tcPr/>
          <w:p>
            <w:pPr>
              <w:pStyle w:val="Compact"/>
              <w:jc w:val="right"/>
            </w:pPr>
            <w:r>
              <w:t xml:space="preserve">0.0</w:t>
            </w:r>
          </w:p>
        </w:tc>
        <w:tc>
          <w:tcPr/>
          <w:p>
            <w:pPr>
              <w:pStyle w:val="Compact"/>
              <w:jc w:val="right"/>
            </w:pPr>
            <w:r>
              <w:t xml:space="preserve">0.988</w:t>
            </w:r>
          </w:p>
        </w:tc>
        <w:tc>
          <w:tcPr/>
          <w:p>
            <w:pPr>
              <w:pStyle w:val="Compact"/>
              <w:jc w:val="right"/>
            </w:pPr>
            <w:r>
              <w:t xml:space="preserve">[0.969, 1.008]</w:t>
            </w:r>
          </w:p>
        </w:tc>
        <w:tc>
          <w:tcPr/>
          <w:p>
            <w:pPr>
              <w:pStyle w:val="Compact"/>
              <w:jc w:val="right"/>
            </w:pPr>
            <w:r>
              <w:t xml:space="preserve">0.234</w:t>
            </w:r>
          </w:p>
        </w:tc>
        <w:tc>
          <w:tcPr/>
          <w:p>
            <w:pPr>
              <w:pStyle w:val="Compact"/>
              <w:jc w:val="right"/>
            </w:pPr>
            <w:r>
              <w:t xml:space="preserve">0.988</w:t>
            </w:r>
          </w:p>
        </w:tc>
        <w:tc>
          <w:tcPr/>
          <w:p>
            <w:pPr>
              <w:pStyle w:val="Compact"/>
              <w:jc w:val="right"/>
            </w:pPr>
            <m:oMath>
              <m:r>
                <m:t>7.6</m:t>
              </m:r>
              <m:r>
                <m:rPr>
                  <m:sty m:val="p"/>
                </m:rPr>
                <m:t>×</m:t>
              </m:r>
              <m:sSup>
                <m:e>
                  <m:r>
                    <m:t>10</m:t>
                  </m:r>
                </m:e>
                <m:sup>
                  <m:r>
                    <m:rPr>
                      <m:sty m:val="p"/>
                    </m:rPr>
                    <m:t>−</m:t>
                  </m:r>
                  <m:r>
                    <m:t>4</m:t>
                  </m:r>
                </m:sup>
              </m:sSup>
            </m:oMath>
          </w:p>
        </w:tc>
      </w:tr>
      <w:tr>
        <w:tc>
          <w:tcPr/>
          <w:p>
            <w:pPr>
              <w:pStyle w:val="Compact"/>
              <w:jc w:val="right"/>
            </w:pPr>
            <w:r>
              <w:t xml:space="preserve">0.5</w:t>
            </w:r>
          </w:p>
        </w:tc>
        <w:tc>
          <w:tcPr/>
          <w:p>
            <w:pPr>
              <w:pStyle w:val="Compact"/>
              <w:jc w:val="right"/>
            </w:pPr>
            <w:r>
              <w:t xml:space="preserve">0.965</w:t>
            </w:r>
          </w:p>
        </w:tc>
        <w:tc>
          <w:tcPr/>
          <w:p>
            <w:pPr>
              <w:pStyle w:val="Compact"/>
              <w:jc w:val="right"/>
            </w:pPr>
            <w:r>
              <w:t xml:space="preserve">[0.946, 0.985]</w:t>
            </w:r>
          </w:p>
        </w:tc>
        <w:tc>
          <w:tcPr/>
          <w:p>
            <w:pPr>
              <w:pStyle w:val="Compact"/>
              <w:jc w:val="right"/>
            </w:pPr>
            <m:oMath>
              <m:r>
                <m:t>4.9</m:t>
              </m:r>
              <m:r>
                <m:rPr>
                  <m:sty m:val="p"/>
                </m:rPr>
                <m:t>×</m:t>
              </m:r>
              <m:sSup>
                <m:e>
                  <m:r>
                    <m:t>10</m:t>
                  </m:r>
                </m:e>
                <m:sup>
                  <m:r>
                    <m:rPr>
                      <m:sty m:val="p"/>
                    </m:rPr>
                    <m:t>−</m:t>
                  </m:r>
                  <m:r>
                    <m:t>4</m:t>
                  </m:r>
                </m:sup>
              </m:sSup>
            </m:oMath>
          </w:p>
        </w:tc>
        <w:tc>
          <w:tcPr/>
          <w:p>
            <w:pPr>
              <w:pStyle w:val="Compact"/>
              <w:jc w:val="right"/>
            </w:pPr>
            <w:r>
              <w:t xml:space="preserve">0.990</w:t>
            </w:r>
          </w:p>
        </w:tc>
        <w:tc>
          <w:tcPr/>
          <w:p>
            <w:pPr>
              <w:pStyle w:val="Compact"/>
              <w:jc w:val="right"/>
            </w:pPr>
            <m:oMath>
              <m:r>
                <m:rPr>
                  <m:sty m:val="p"/>
                </m:rPr>
                <m:t>−</m:t>
              </m:r>
              <m:r>
                <m:t>3.8</m:t>
              </m:r>
              <m:r>
                <m:rPr>
                  <m:sty m:val="p"/>
                </m:rPr>
                <m:t>×</m:t>
              </m:r>
              <m:sSup>
                <m:e>
                  <m:r>
                    <m:t>10</m:t>
                  </m:r>
                </m:e>
                <m:sup>
                  <m:r>
                    <m:rPr>
                      <m:sty m:val="p"/>
                    </m:rPr>
                    <m:t>−</m:t>
                  </m:r>
                  <m:r>
                    <m:t>5</m:t>
                  </m:r>
                </m:sup>
              </m:sSup>
            </m:oMath>
          </w:p>
        </w:tc>
      </w:tr>
      <w:tr>
        <w:tc>
          <w:tcPr/>
          <w:p>
            <w:pPr>
              <w:pStyle w:val="Compact"/>
              <w:jc w:val="right"/>
            </w:pPr>
            <w:r>
              <w:t xml:space="preserve">1.0</w:t>
            </w:r>
          </w:p>
        </w:tc>
        <w:tc>
          <w:tcPr/>
          <w:p>
            <w:pPr>
              <w:pStyle w:val="Compact"/>
              <w:jc w:val="right"/>
            </w:pPr>
            <w:r>
              <w:t xml:space="preserve">0.944</w:t>
            </w:r>
          </w:p>
        </w:tc>
        <w:tc>
          <w:tcPr/>
          <w:p>
            <w:pPr>
              <w:pStyle w:val="Compact"/>
              <w:jc w:val="right"/>
            </w:pPr>
            <w:r>
              <w:t xml:space="preserve">[0.926, 0.963]</w:t>
            </w:r>
          </w:p>
        </w:tc>
        <w:tc>
          <w:tcPr/>
          <w:p>
            <w:pPr>
              <w:pStyle w:val="Compact"/>
              <w:jc w:val="right"/>
            </w:pPr>
            <m:oMath>
              <m:r>
                <m:t>1.7</m:t>
              </m:r>
              <m:r>
                <m:rPr>
                  <m:sty m:val="p"/>
                </m:rPr>
                <m:t>×</m:t>
              </m:r>
              <m:sSup>
                <m:e>
                  <m:r>
                    <m:t>10</m:t>
                  </m:r>
                </m:e>
                <m:sup>
                  <m:r>
                    <m:rPr>
                      <m:sty m:val="p"/>
                    </m:rPr>
                    <m:t>−</m:t>
                  </m:r>
                  <m:r>
                    <m:t>8</m:t>
                  </m:r>
                </m:sup>
              </m:sSup>
            </m:oMath>
          </w:p>
        </w:tc>
        <w:tc>
          <w:tcPr/>
          <w:p>
            <w:pPr>
              <w:pStyle w:val="Compact"/>
              <w:jc w:val="right"/>
            </w:pPr>
            <w:r>
              <w:t xml:space="preserve">0.992</w:t>
            </w:r>
          </w:p>
        </w:tc>
        <w:tc>
          <w:tcPr/>
          <w:p>
            <w:pPr>
              <w:pStyle w:val="Compact"/>
              <w:jc w:val="right"/>
            </w:pPr>
            <m:oMath>
              <m:r>
                <m:rPr>
                  <m:sty m:val="p"/>
                </m:rPr>
                <m:t>−</m:t>
              </m:r>
              <m:r>
                <m:t>3.0</m:t>
              </m:r>
              <m:r>
                <m:rPr>
                  <m:sty m:val="p"/>
                </m:rPr>
                <m:t>×</m:t>
              </m:r>
              <m:sSup>
                <m:e>
                  <m:r>
                    <m:t>10</m:t>
                  </m:r>
                </m:e>
                <m:sup>
                  <m:r>
                    <m:rPr>
                      <m:sty m:val="p"/>
                    </m:rPr>
                    <m:t>−</m:t>
                  </m:r>
                  <m:r>
                    <m:t>4</m:t>
                  </m:r>
                </m:sup>
              </m:sSup>
            </m:oMath>
          </w:p>
        </w:tc>
      </w:tr>
      <w:tr>
        <w:tc>
          <w:tcPr/>
          <w:p>
            <w:pPr>
              <w:pStyle w:val="Compact"/>
              <w:jc w:val="right"/>
            </w:pPr>
            <w:r>
              <w:t xml:space="preserve">2.0</w:t>
            </w:r>
          </w:p>
        </w:tc>
        <w:tc>
          <w:tcPr/>
          <w:p>
            <w:pPr>
              <w:pStyle w:val="Compact"/>
              <w:jc w:val="right"/>
            </w:pPr>
            <w:r>
              <w:t xml:space="preserve">0.902</w:t>
            </w:r>
          </w:p>
        </w:tc>
        <w:tc>
          <w:tcPr/>
          <w:p>
            <w:pPr>
              <w:pStyle w:val="Compact"/>
              <w:jc w:val="right"/>
            </w:pPr>
            <w:r>
              <w:t xml:space="preserve">[0.884, 0.921]</w:t>
            </w:r>
          </w:p>
        </w:tc>
        <w:tc>
          <w:tcPr/>
          <w:p>
            <w:pPr>
              <w:pStyle w:val="Compact"/>
              <w:jc w:val="right"/>
            </w:pPr>
            <m:oMath>
              <m:r>
                <m:t>2.4</m:t>
              </m:r>
              <m:r>
                <m:rPr>
                  <m:sty m:val="p"/>
                </m:rPr>
                <m:t>×</m:t>
              </m:r>
              <m:sSup>
                <m:e>
                  <m:r>
                    <m:t>10</m:t>
                  </m:r>
                </m:e>
                <m:sup>
                  <m:r>
                    <m:rPr>
                      <m:sty m:val="p"/>
                    </m:rPr>
                    <m:t>−</m:t>
                  </m:r>
                  <m:r>
                    <m:t>23</m:t>
                  </m:r>
                </m:sup>
              </m:sSup>
            </m:oMath>
          </w:p>
        </w:tc>
        <w:tc>
          <w:tcPr/>
          <w:p>
            <w:pPr>
              <w:pStyle w:val="Compact"/>
              <w:jc w:val="right"/>
            </w:pPr>
            <w:r>
              <w:t xml:space="preserve">0.991</w:t>
            </w:r>
          </w:p>
        </w:tc>
        <w:tc>
          <w:tcPr/>
          <w:p>
            <w:pPr>
              <w:pStyle w:val="Compact"/>
              <w:jc w:val="right"/>
            </w:pPr>
            <m:oMath>
              <m:r>
                <m:t>3.7</m:t>
              </m:r>
              <m:r>
                <m:rPr>
                  <m:sty m:val="p"/>
                </m:rPr>
                <m:t>×</m:t>
              </m:r>
              <m:sSup>
                <m:e>
                  <m:r>
                    <m:t>10</m:t>
                  </m:r>
                </m:e>
                <m:sup>
                  <m:r>
                    <m:rPr>
                      <m:sty m:val="p"/>
                    </m:rPr>
                    <m:t>−</m:t>
                  </m:r>
                  <m:r>
                    <m:t>4</m:t>
                  </m:r>
                </m:sup>
              </m:sSup>
            </m:oMath>
          </w:p>
        </w:tc>
      </w:tr>
      <w:tr>
        <w:tc>
          <w:tcPr/>
          <w:p>
            <w:pPr>
              <w:pStyle w:val="Compact"/>
              <w:jc w:val="right"/>
            </w:pPr>
            <w:r>
              <w:t xml:space="preserve">5.0</w:t>
            </w:r>
          </w:p>
        </w:tc>
        <w:tc>
          <w:tcPr/>
          <w:p>
            <w:pPr>
              <w:pStyle w:val="Compact"/>
              <w:jc w:val="right"/>
            </w:pPr>
            <w:r>
              <w:t xml:space="preserve">0.804</w:t>
            </w:r>
          </w:p>
        </w:tc>
        <w:tc>
          <w:tcPr/>
          <w:p>
            <w:pPr>
              <w:pStyle w:val="Compact"/>
              <w:jc w:val="right"/>
            </w:pPr>
            <w:r>
              <w:t xml:space="preserve">[0.787, 0.820]</w:t>
            </w:r>
          </w:p>
        </w:tc>
        <w:tc>
          <w:tcPr/>
          <w:p>
            <w:pPr>
              <w:pStyle w:val="Compact"/>
              <w:jc w:val="right"/>
            </w:pPr>
            <m:oMath>
              <m:r>
                <m:t>1.5</m:t>
              </m:r>
              <m:r>
                <m:rPr>
                  <m:sty m:val="p"/>
                </m:rPr>
                <m:t>×</m:t>
              </m:r>
              <m:sSup>
                <m:e>
                  <m:r>
                    <m:t>10</m:t>
                  </m:r>
                </m:e>
                <m:sup>
                  <m:r>
                    <m:rPr>
                      <m:sty m:val="p"/>
                    </m:rPr>
                    <m:t>−</m:t>
                  </m:r>
                  <m:r>
                    <m:t>93</m:t>
                  </m:r>
                </m:sup>
              </m:sSup>
            </m:oMath>
          </w:p>
        </w:tc>
        <w:tc>
          <w:tcPr/>
          <w:p>
            <w:pPr>
              <w:pStyle w:val="Compact"/>
              <w:jc w:val="right"/>
            </w:pPr>
            <w:r>
              <w:t xml:space="preserve">0.993</w:t>
            </w:r>
          </w:p>
        </w:tc>
        <w:tc>
          <w:tcPr/>
          <w:p>
            <w:pPr>
              <w:pStyle w:val="Compact"/>
              <w:jc w:val="right"/>
            </w:pPr>
            <m:oMath>
              <m:r>
                <m:rPr>
                  <m:sty m:val="p"/>
                </m:rPr>
                <m:t>−</m:t>
              </m:r>
              <m:r>
                <m:t>5.3</m:t>
              </m:r>
              <m:r>
                <m:rPr>
                  <m:sty m:val="p"/>
                </m:rPr>
                <m:t>×</m:t>
              </m:r>
              <m:sSup>
                <m:e>
                  <m:r>
                    <m:t>10</m:t>
                  </m:r>
                </m:e>
                <m:sup>
                  <m:r>
                    <m:rPr>
                      <m:sty m:val="p"/>
                    </m:rPr>
                    <m:t>−</m:t>
                  </m:r>
                  <m:r>
                    <m:t>4</m:t>
                  </m:r>
                </m:sup>
              </m:sSup>
            </m:oMath>
          </w:p>
        </w:tc>
      </w:tr>
      <w:tr>
        <w:tc>
          <w:tcPr/>
          <w:p>
            <w:pPr>
              <w:pStyle w:val="Compact"/>
              <w:jc w:val="right"/>
            </w:pPr>
            <w:r>
              <w:t xml:space="preserve">10.0</w:t>
            </w:r>
          </w:p>
        </w:tc>
        <w:tc>
          <w:tcPr/>
          <w:p>
            <w:pPr>
              <w:pStyle w:val="Compact"/>
              <w:jc w:val="right"/>
            </w:pPr>
            <w:r>
              <w:t xml:space="preserve">0.701</w:t>
            </w:r>
          </w:p>
        </w:tc>
        <w:tc>
          <w:tcPr/>
          <w:p>
            <w:pPr>
              <w:pStyle w:val="Compact"/>
              <w:jc w:val="right"/>
            </w:pPr>
            <w:r>
              <w:t xml:space="preserve">[0.686, 0.717]</w:t>
            </w:r>
          </w:p>
        </w:tc>
        <w:tc>
          <w:tcPr/>
          <w:p>
            <w:pPr>
              <w:pStyle w:val="Compact"/>
              <w:jc w:val="right"/>
            </w:pPr>
            <m:oMath>
              <m:r>
                <m:rPr>
                  <m:sty m:val="p"/>
                </m:rPr>
                <m:t>&lt;</m:t>
              </m:r>
              <m:sSup>
                <m:e>
                  <m:r>
                    <m:t>10</m:t>
                  </m:r>
                </m:e>
                <m:sup>
                  <m:r>
                    <m:rPr>
                      <m:sty m:val="p"/>
                    </m:rPr>
                    <m:t>−</m:t>
                  </m:r>
                  <m:r>
                    <m:t>200</m:t>
                  </m:r>
                </m:sup>
              </m:sSup>
            </m:oMath>
          </w:p>
        </w:tc>
        <w:tc>
          <w:tcPr/>
          <w:p>
            <w:pPr>
              <w:pStyle w:val="Compact"/>
              <w:jc w:val="right"/>
            </w:pPr>
            <w:r>
              <w:t xml:space="preserve">1.020</w:t>
            </w:r>
          </w:p>
        </w:tc>
        <w:tc>
          <w:tcPr/>
          <w:p>
            <w:pPr>
              <w:pStyle w:val="Compact"/>
              <w:jc w:val="right"/>
            </w:pPr>
            <m:oMath>
              <m:r>
                <m:t>3.2</m:t>
              </m:r>
              <m:r>
                <m:rPr>
                  <m:sty m:val="p"/>
                </m:rPr>
                <m:t>×</m:t>
              </m:r>
              <m:sSup>
                <m:e>
                  <m:r>
                    <m:t>10</m:t>
                  </m:r>
                </m:e>
                <m:sup>
                  <m:r>
                    <m:rPr>
                      <m:sty m:val="p"/>
                    </m:rPr>
                    <m:t>−</m:t>
                  </m:r>
                  <m:r>
                    <m:t>4</m:t>
                  </m:r>
                </m:sup>
              </m:sSup>
            </m:oMath>
          </w:p>
        </w:tc>
      </w:tr>
      <w:tr>
        <w:tc>
          <w:tcPr/>
          <w:p>
            <w:pPr>
              <w:pStyle w:val="Compact"/>
              <w:jc w:val="right"/>
            </w:pPr>
            <w:r>
              <w:t xml:space="preserve">20.0</w:t>
            </w:r>
          </w:p>
        </w:tc>
        <w:tc>
          <w:tcPr/>
          <w:p>
            <w:pPr>
              <w:pStyle w:val="Compact"/>
              <w:jc w:val="right"/>
            </w:pPr>
            <w:r>
              <w:t xml:space="preserve">0.551</w:t>
            </w:r>
          </w:p>
        </w:tc>
        <w:tc>
          <w:tcPr/>
          <w:p>
            <w:pPr>
              <w:pStyle w:val="Compact"/>
              <w:jc w:val="right"/>
            </w:pPr>
            <w:r>
              <w:t xml:space="preserve">[0.539, 0.564]</w:t>
            </w:r>
          </w:p>
        </w:tc>
        <w:tc>
          <w:tcPr/>
          <w:p>
            <w:pPr>
              <w:pStyle w:val="Compact"/>
              <w:jc w:val="right"/>
            </w:pPr>
            <m:oMath>
              <m:r>
                <m:rPr>
                  <m:sty m:val="p"/>
                </m:rPr>
                <m:t>&lt;</m:t>
              </m:r>
              <m:sSup>
                <m:e>
                  <m:r>
                    <m:t>10</m:t>
                  </m:r>
                </m:e>
                <m:sup>
                  <m:r>
                    <m:rPr>
                      <m:sty m:val="p"/>
                    </m:rPr>
                    <m:t>−</m:t>
                  </m:r>
                  <m:r>
                    <m:t>300</m:t>
                  </m:r>
                </m:sup>
              </m:sSup>
            </m:oMath>
          </w:p>
        </w:tc>
        <w:tc>
          <w:tcPr/>
          <w:p>
            <w:pPr>
              <w:pStyle w:val="Compact"/>
              <w:jc w:val="right"/>
            </w:pPr>
            <w:r>
              <w:t xml:space="preserve">1.024</w:t>
            </w:r>
          </w:p>
        </w:tc>
        <w:tc>
          <w:tcPr/>
          <w:p>
            <w:pPr>
              <w:pStyle w:val="Compact"/>
              <w:jc w:val="right"/>
            </w:pPr>
            <m:oMath>
              <m:r>
                <m:rPr>
                  <m:sty m:val="p"/>
                </m:rPr>
                <m:t>−</m:t>
              </m:r>
              <m:r>
                <m:t>1.6</m:t>
              </m:r>
              <m:r>
                <m:rPr>
                  <m:sty m:val="p"/>
                </m:rPr>
                <m:t>×</m:t>
              </m:r>
              <m:sSup>
                <m:e>
                  <m:r>
                    <m:t>10</m:t>
                  </m:r>
                </m:e>
                <m:sup>
                  <m:r>
                    <m:rPr>
                      <m:sty m:val="p"/>
                    </m:rPr>
                    <m:t>−</m:t>
                  </m:r>
                  <m:r>
                    <m:t>4</m:t>
                  </m:r>
                </m:sup>
              </m:sSup>
            </m:oMath>
          </w:p>
        </w:tc>
      </w:tr>
    </w:tbl>
    <w:bookmarkEnd w:id="189"/>
    <w:p/>
    <w:bookmarkStart w:id="190" w:name="tbl:neg_control_summary"/>
    <w:p>
      <w:pPr>
        <w:pStyle w:val="TableCaption"/>
      </w:pPr>
      <w:r>
        <w:t xml:space="preserve">Table 7. Example end-of-window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7. Example end-of-window \mathrm{KCOR}(t)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190"/>
    <w:p/>
    <w:bookmarkStart w:id="191" w:name="tbl:pos_control_summary"/>
    <w:p>
      <w:pPr>
        <w:pStyle w:val="TableCaption"/>
      </w:pPr>
      <w:r>
        <w:t xml:space="preserve">Table 8.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8.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191"/>
    <w:p/>
    <w:bookmarkStart w:id="192" w:name="tbl:joint_frailty_comparison"/>
    <w:p>
      <w:pPr>
        <w:pStyle w:val="TableCaption"/>
      </w:pPr>
      <w:r>
        <w:t xml:space="preserve">Table 9. Comparison of Cox regression, shared frailty Cox models, and KCOR under selection-only and joint frailty + treatment effect scenarios. Results are from S7 simulation (joint frailty + treatment) and gamma-frailty null scenario (selection-only). Standard Cox regression produces non-null hazard ratios under selection-only conditions due to depletion dynamics. Shared frailty Cox models partially mitigate this bias but still exhibit residual non-null behavior. KCOR remains near-null under selection-only conditions and correctly detects treatment effects when temporal separability holds.</w:t>
      </w:r>
    </w:p>
    <w:tbl>
      <w:tblPr>
        <w:tblStyle w:val="Table"/>
        <w:tblW w:type="pct" w:w="5000"/>
        <w:tblLayout w:type="fixed"/>
        <w:tblLook w:firstRow="1" w:lastRow="0" w:firstColumn="0" w:lastColumn="0" w:noHBand="0" w:noVBand="0" w:val="0020"/>
        <w:tblCaption w:val="Table 9. Comparison of Cox regression, shared frailty Cox models, and KCOR under selection-only and joint frailty + treatment effect scenarios. Results are from S7 simulation (joint frailty + treatment) and gamma-frailty null scenario (selection-only). Standard Cox regression produces non-null hazard ratios under selection-only conditions due to depletion dynamics. Shared frailty Cox models partially mitigate this bias but still exhibit residual non-null behavior. KCOR remains near-null under selection-only conditions and correctly detects treatment effects when temporal separability holds."/>
      </w:tblPr>
      <w:tblGrid>
        <w:gridCol w:w="553"/>
        <w:gridCol w:w="941"/>
        <w:gridCol w:w="443"/>
        <w:gridCol w:w="1218"/>
        <w:gridCol w:w="941"/>
        <w:gridCol w:w="1163"/>
        <w:gridCol w:w="1495"/>
        <w:gridCol w:w="1163"/>
      </w:tblGrid>
      <w:tr>
        <w:trPr>
          <w:tblHeader w:val="on"/>
        </w:trPr>
        <w:tc>
          <w:tcPr/>
          <w:p>
            <w:pPr>
              <w:pStyle w:val="Compact"/>
            </w:pPr>
            <w:r>
              <w:t xml:space="preserve">Scenario</w:t>
            </w:r>
          </w:p>
        </w:tc>
        <w:tc>
          <w:tcPr/>
          <w:p>
            <w:pPr>
              <w:pStyle w:val="Compact"/>
            </w:pPr>
            <w:r>
              <w:t xml:space="preserve">True effect (r)</w:t>
            </w:r>
          </w:p>
        </w:tc>
        <w:tc>
          <w:tcPr/>
          <w:p>
            <w:pPr>
              <w:pStyle w:val="Compact"/>
            </w:pPr>
            <w:r>
              <w:t xml:space="preserve">Cox HR</w:t>
            </w:r>
          </w:p>
        </w:tc>
        <w:tc>
          <w:tcPr/>
          <w:p>
            <w:pPr>
              <w:pStyle w:val="Compact"/>
            </w:pPr>
            <w:r>
              <w:t xml:space="preserve">Shared frailty Cox HR</w:t>
            </w:r>
          </w:p>
        </w:tc>
        <w:tc>
          <w:tcPr/>
          <w:p>
            <w:pPr>
              <w:pStyle w:val="Compact"/>
            </w:pPr>
            <w:r>
              <w:t xml:space="preserve">KCOR drift/year</w:t>
            </w:r>
          </w:p>
        </w:tc>
        <w:tc>
          <w:tcPr/>
          <w:p>
            <w:pPr>
              <w:pStyle w:val="Compact"/>
            </w:pPr>
            <w:r>
              <w:t xml:space="preserve">Cox indicates null?</w:t>
            </w:r>
          </w:p>
        </w:tc>
        <w:tc>
          <w:tcPr/>
          <w:p>
            <w:pPr>
              <w:pStyle w:val="Compact"/>
            </w:pPr>
            <w:r>
              <w:t xml:space="preserve">Frailty-Cox indicates null?</w:t>
            </w:r>
          </w:p>
        </w:tc>
        <w:tc>
          <w:tcPr/>
          <w:p>
            <w:pPr>
              <w:pStyle w:val="Compact"/>
            </w:pPr>
            <w:r>
              <w:t xml:space="preserve">KCOR indicates null?</w:t>
            </w:r>
          </w:p>
        </w:tc>
      </w:tr>
      <w:tr>
        <w:tc>
          <w:tcPr/>
          <w:p>
            <w:pPr>
              <w:pStyle w:val="Compact"/>
            </w:pPr>
            <w:r>
              <w:t xml:space="preserve">Gamma-frailty null</w:t>
            </w:r>
          </w:p>
        </w:tc>
        <w:tc>
          <w:tcPr/>
          <w:p>
            <w:pPr>
              <w:pStyle w:val="Compact"/>
            </w:pPr>
            <w:r>
              <w:t xml:space="preserve">1.0 (null)</w:t>
            </w:r>
          </w:p>
        </w:tc>
        <w:tc>
          <w:tcPr/>
          <w:p>
            <w:pPr>
              <w:pStyle w:val="Compact"/>
            </w:pPr>
            <w:r>
              <w:t xml:space="preserve">0.87</w:t>
            </w:r>
          </w:p>
        </w:tc>
        <w:tc>
          <w:tcPr/>
          <w:p>
            <w:pPr>
              <w:pStyle w:val="Compact"/>
            </w:pPr>
            <w:r>
              <w:t xml:space="preserve">0.94</w:t>
            </w:r>
          </w:p>
        </w:tc>
        <w:tc>
          <w:tcPr/>
          <w:p>
            <w:pPr>
              <w:pStyle w:val="Compact"/>
            </w:pPr>
            <w:r>
              <w:t xml:space="preserve">&lt; 0.5%</w:t>
            </w:r>
          </w:p>
        </w:tc>
        <w:tc>
          <w:tcPr/>
          <w:p>
            <w:pPr>
              <w:pStyle w:val="Compact"/>
            </w:pPr>
            <w:r>
              <w:t xml:space="preserve">No (HR ≠ 1)</w:t>
            </w:r>
          </w:p>
        </w:tc>
        <w:tc>
          <w:tcPr/>
          <w:p>
            <w:pPr>
              <w:pStyle w:val="Compact"/>
            </w:pPr>
            <w:r>
              <w:t xml:space="preserve">No (HR ≠ 1)</w:t>
            </w:r>
          </w:p>
        </w:tc>
        <w:tc>
          <w:tcPr/>
          <w:p>
            <w:pPr>
              <w:pStyle w:val="Compact"/>
            </w:pPr>
            <w:r>
              <w:t xml:space="preserve">Yes (flat)</w:t>
            </w:r>
          </w:p>
        </w:tc>
      </w:tr>
      <w:tr>
        <w:tc>
          <w:tcPr/>
          <w:p>
            <w:pPr>
              <w:pStyle w:val="Compact"/>
            </w:pPr>
            <w:r>
              <w:t xml:space="preserve">S7 harm (r=1.2)</w:t>
            </w:r>
          </w:p>
        </w:tc>
        <w:tc>
          <w:tcPr/>
          <w:p>
            <w:pPr>
              <w:pStyle w:val="Compact"/>
            </w:pPr>
            <w:r>
              <w:t xml:space="preserve">1.2</w:t>
            </w:r>
          </w:p>
        </w:tc>
        <w:tc>
          <w:tcPr/>
          <w:p>
            <w:pPr>
              <w:pStyle w:val="Compact"/>
            </w:pPr>
            <w:r>
              <w:t xml:space="preserve">1.18</w:t>
            </w:r>
          </w:p>
        </w:tc>
        <w:tc>
          <w:tcPr/>
          <w:p>
            <w:pPr>
              <w:pStyle w:val="Compact"/>
            </w:pPr>
            <w:r>
              <w:t xml:space="preserve">1.19</w:t>
            </w:r>
          </w:p>
        </w:tc>
        <w:tc>
          <w:tcPr/>
          <w:p>
            <w:pPr>
              <w:pStyle w:val="Compact"/>
            </w:pPr>
            <w:r>
              <w:t xml:space="preserve">+1.8%</w:t>
            </w:r>
          </w:p>
        </w:tc>
        <w:tc>
          <w:tcPr/>
          <w:p>
            <w:pPr>
              <w:pStyle w:val="Compact"/>
            </w:pPr>
            <w:r>
              <w:t xml:space="preserve">No (detects effect)</w:t>
            </w:r>
          </w:p>
        </w:tc>
        <w:tc>
          <w:tcPr/>
          <w:p>
            <w:pPr>
              <w:pStyle w:val="Compact"/>
            </w:pPr>
            <w:r>
              <w:t xml:space="preserve">No (detects effect)</w:t>
            </w:r>
          </w:p>
        </w:tc>
        <w:tc>
          <w:tcPr/>
          <w:p>
            <w:pPr>
              <w:pStyle w:val="Compact"/>
            </w:pPr>
            <w:r>
              <w:t xml:space="preserve">No (detects effect)</w:t>
            </w:r>
          </w:p>
        </w:tc>
      </w:tr>
      <w:tr>
        <w:tc>
          <w:tcPr/>
          <w:p>
            <w:pPr>
              <w:pStyle w:val="Compact"/>
            </w:pPr>
            <w:r>
              <w:t xml:space="preserve">S7 benefit (r=0.8)</w:t>
            </w:r>
          </w:p>
        </w:tc>
        <w:tc>
          <w:tcPr/>
          <w:p>
            <w:pPr>
              <w:pStyle w:val="Compact"/>
            </w:pPr>
            <w:r>
              <w:t xml:space="preserve">0.8</w:t>
            </w:r>
          </w:p>
        </w:tc>
        <w:tc>
          <w:tcPr/>
          <w:p>
            <w:pPr>
              <w:pStyle w:val="Compact"/>
            </w:pPr>
            <w:r>
              <w:t xml:space="preserve">0.83</w:t>
            </w:r>
          </w:p>
        </w:tc>
        <w:tc>
          <w:tcPr/>
          <w:p>
            <w:pPr>
              <w:pStyle w:val="Compact"/>
            </w:pPr>
            <w:r>
              <w:t xml:space="preserve">0.82</w:t>
            </w:r>
          </w:p>
        </w:tc>
        <w:tc>
          <w:tcPr/>
          <w:p>
            <w:pPr>
              <w:pStyle w:val="Compact"/>
            </w:pPr>
            <w:r>
              <w:t xml:space="preserve">-2.1%</w:t>
            </w:r>
          </w:p>
        </w:tc>
        <w:tc>
          <w:tcPr/>
          <w:p>
            <w:pPr>
              <w:pStyle w:val="Compact"/>
            </w:pPr>
            <w:r>
              <w:t xml:space="preserve">No (detects effect)</w:t>
            </w:r>
          </w:p>
        </w:tc>
        <w:tc>
          <w:tcPr/>
          <w:p>
            <w:pPr>
              <w:pStyle w:val="Compact"/>
            </w:pPr>
            <w:r>
              <w:t xml:space="preserve">No (detects effect)</w:t>
            </w:r>
          </w:p>
        </w:tc>
        <w:tc>
          <w:tcPr/>
          <w:p>
            <w:pPr>
              <w:pStyle w:val="Compact"/>
            </w:pPr>
            <w:r>
              <w:t xml:space="preserve">No (detects effect)</w:t>
            </w:r>
          </w:p>
        </w:tc>
      </w:tr>
    </w:tbl>
    <w:bookmarkEnd w:id="192"/>
    <w:p/>
    <w:bookmarkStart w:id="193" w:name="tbl:comparison_estimands"/>
    <w:p>
      <w:pPr>
        <w:pStyle w:val="TableCaption"/>
      </w:pPr>
      <w:r>
        <w:t xml:space="preserve">Table 10.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w:t>
      </w:r>
    </w:p>
    <w:tbl>
      <w:tblPr>
        <w:tblStyle w:val="Table"/>
        <w:tblW w:type="pct" w:w="5000"/>
        <w:tblLayout w:type="fixed"/>
        <w:tblLook w:firstRow="1" w:lastRow="0" w:firstColumn="0" w:lastColumn="0" w:noHBand="0" w:noVBand="0" w:val="0020"/>
        <w:tblCaption w:val="Table 10.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
      </w:tblPr>
      <w:tblGrid>
        <w:gridCol w:w="627"/>
        <w:gridCol w:w="1254"/>
        <w:gridCol w:w="2509"/>
        <w:gridCol w:w="1646"/>
        <w:gridCol w:w="1881"/>
      </w:tblGrid>
      <w:tr>
        <w:trPr>
          <w:tblHeader w:val="on"/>
        </w:trPr>
        <w:tc>
          <w:tcPr/>
          <w:p>
            <w:pPr>
              <w:pStyle w:val="Compact"/>
            </w:pPr>
            <w:r>
              <w:t xml:space="preserve">Method</w:t>
            </w:r>
          </w:p>
        </w:tc>
        <w:tc>
          <w:tcPr/>
          <w:p>
            <w:pPr>
              <w:pStyle w:val="Compact"/>
            </w:pPr>
            <w:r>
              <w:t xml:space="preserve">Target estimand</w:t>
            </w:r>
          </w:p>
        </w:tc>
        <w:tc>
          <w:tcPr/>
          <w:p>
            <w:pPr>
              <w:pStyle w:val="Compact"/>
            </w:pPr>
            <w:r>
              <w:t xml:space="preserve">Deviation from null (selection-only scenarios)</w:t>
            </w:r>
          </w:p>
        </w:tc>
        <w:tc>
          <w:tcPr/>
          <w:p>
            <w:pPr>
              <w:pStyle w:val="Compact"/>
            </w:pPr>
            <w:r>
              <w:t xml:space="preserve">Variance/instability</w:t>
            </w:r>
          </w:p>
        </w:tc>
        <w:tc>
          <w:tcPr/>
          <w:p>
            <w:pPr>
              <w:pStyle w:val="Compact"/>
            </w:pPr>
            <w:r>
              <w:t xml:space="preserve">Interpretability notes</w:t>
            </w:r>
          </w:p>
        </w:tc>
      </w:tr>
      <w:tr>
        <w:tc>
          <w:tcPr/>
          <w:p>
            <w:pPr>
              <w:pStyle w:val="Compact"/>
            </w:pPr>
            <w:r>
              <w:rPr>
                <w:b/>
                <w:bCs/>
              </w:rPr>
              <w:t xml:space="preserve">KCOR</w:t>
            </w:r>
          </w:p>
        </w:tc>
        <w:tc>
          <w:tcPr/>
          <w:p>
            <w:pPr>
              <w:pStyle w:val="Compact"/>
            </w:pPr>
            <w:r>
              <w:t xml:space="preserve">Cumulative hazard ratio (depletion-normalized)</w:t>
            </w:r>
          </w:p>
        </w:tc>
        <w:tc>
          <w:tcPr/>
          <w:p>
            <w:pPr>
              <w:pStyle w:val="Compact"/>
            </w:pPr>
            <w:r>
              <w:t xml:space="preserve">Near zero (median KCOR ≈ 1.0)</w:t>
            </w:r>
          </w:p>
        </w:tc>
        <w:tc>
          <w:tcPr/>
          <w:p>
            <w:pPr>
              <w:pStyle w:val="Compact"/>
            </w:pPr>
            <w:r>
              <w:t xml:space="preserve">Low (stable trajectory)</w:t>
            </w:r>
          </w:p>
        </w:tc>
        <w:tc>
          <w:tcPr/>
          <w:p>
            <w:pPr>
              <w:pStyle w:val="Compact"/>
            </w:pPr>
            <w:r>
              <w:t xml:space="preserve">Stable under selection-induced depletion; normalization precedes comparison</w:t>
            </w:r>
          </w:p>
        </w:tc>
      </w:tr>
      <w:tr>
        <w:tc>
          <w:tcPr/>
          <w:p>
            <w:pPr>
              <w:pStyle w:val="Compact"/>
            </w:pPr>
            <w:r>
              <w:rPr>
                <w:b/>
                <w:bCs/>
              </w:rPr>
              <w:t xml:space="preserve">RMST</w:t>
            </w:r>
          </w:p>
        </w:tc>
        <w:tc>
          <w:tcPr/>
          <w:p>
            <w:pPr>
              <w:pStyle w:val="Compact"/>
            </w:pPr>
            <w:r>
              <w:t xml:space="preserve">Restricted mean survival time</w:t>
            </w:r>
          </w:p>
        </w:tc>
        <w:tc>
          <w:tcPr/>
          <w:p>
            <w:pPr>
              <w:pStyle w:val="Compact"/>
            </w:pPr>
            <w:r>
              <w:t xml:space="preserve">Non-zero (depends on depletion strength)</w:t>
            </w:r>
          </w:p>
        </w:tc>
        <w:tc>
          <w:tcPr/>
          <w:p>
            <w:pPr>
              <w:pStyle w:val="Compact"/>
            </w:pPr>
            <w:r>
              <w:t xml:space="preserve">Moderate (depends on depletion strength)</w:t>
            </w:r>
          </w:p>
        </w:tc>
        <w:tc>
          <w:tcPr/>
          <w:p>
            <w:pPr>
              <w:pStyle w:val="Compact"/>
            </w:pPr>
            <w:r>
              <w:t xml:space="preserve">Summarizes survival differences that may reflect depletion rather than treatment effect; does not normalize selection geometry</w:t>
            </w:r>
          </w:p>
        </w:tc>
      </w:tr>
      <w:tr>
        <w:tc>
          <w:tcPr/>
          <w:p>
            <w:pPr>
              <w:pStyle w:val="Compact"/>
            </w:pPr>
            <w:r>
              <w:rPr>
                <w:b/>
                <w:bCs/>
              </w:rPr>
              <w:t xml:space="preserve">Cox</w:t>
            </w:r>
          </w:p>
        </w:tc>
        <w:tc>
          <w:tcPr/>
          <w:p>
            <w:pPr>
              <w:pStyle w:val="Compact"/>
            </w:pPr>
            <w:r>
              <w:t xml:space="preserve">Time-varying hazard ratio</w:t>
            </w:r>
          </w:p>
        </w:tc>
        <w:tc>
          <w:tcPr/>
          <w:p>
            <w:pPr>
              <w:pStyle w:val="Compact"/>
            </w:pPr>
            <w:r>
              <w:t xml:space="preserve">Non-zero under frailty heterogeneity</w:t>
            </w:r>
          </w:p>
        </w:tc>
        <w:tc>
          <w:tcPr/>
          <w:p>
            <w:pPr>
              <w:pStyle w:val="Compact"/>
            </w:pPr>
            <w:r>
              <w:t xml:space="preserve">Moderate (HR instability across time windows)</w:t>
            </w:r>
          </w:p>
        </w:tc>
        <w:tc>
          <w:tcPr/>
          <w:p>
            <w:pPr>
              <w:pStyle w:val="Compact"/>
            </w:pPr>
            <w:r>
              <w:t xml:space="preserve">Improves fit to non-proportional hazards but does not normalize selection geometry; inherits depletion structure</w:t>
            </w:r>
          </w:p>
        </w:tc>
      </w:tr>
    </w:tbl>
    <w:bookmarkEnd w:id="193"/>
    <w:p/>
    <w:bookmarkStart w:id="194" w:name="tbl:bootstrap_coverage"/>
    <w:p>
      <w:pPr>
        <w:pStyle w:val="TableCaption"/>
      </w:pPr>
      <w:r>
        <w:t xml:space="preserve">Table 11. Bootstrap coverage for KCOR uncertainty intervals. Coverage is evaluated across simulation scenarios using stratified bootstrap resampling. Nominal 95% confidence intervals are compared to empirical coverage (proportion of simulations where the true value lies within the interval).</w:t>
      </w:r>
    </w:p>
    <w:tbl>
      <w:tblPr>
        <w:tblStyle w:val="Table"/>
        <w:tblW w:type="pct" w:w="5000"/>
        <w:tblLayout w:type="fixed"/>
        <w:tblLook w:firstRow="1" w:lastRow="0" w:firstColumn="0" w:lastColumn="0" w:noHBand="0" w:noVBand="0" w:val="0020"/>
        <w:tblCaption w:val="Table 11. Bootstrap coverage for KCOR uncertainty intervals. Coverage is evaluated across simulation scenarios using stratified bootstrap resampling. Nominal 95% confidence intervals are compared to empirical coverage (proportion of simulations where the true value lies within the interval)."/>
      </w:tblPr>
      <w:tblGrid>
        <w:gridCol w:w="1494"/>
        <w:gridCol w:w="2540"/>
        <w:gridCol w:w="2839"/>
        <w:gridCol w:w="1046"/>
      </w:tblGrid>
      <w:tr>
        <w:trPr>
          <w:tblHeader w:val="on"/>
        </w:trPr>
        <w:tc>
          <w:tcPr/>
          <w:p>
            <w:pPr>
              <w:pStyle w:val="Compact"/>
            </w:pPr>
            <w:r>
              <w:t xml:space="preserve">Scenario</w:t>
            </w:r>
          </w:p>
        </w:tc>
        <w:tc>
          <w:tcPr/>
          <w:p>
            <w:pPr>
              <w:pStyle w:val="Compact"/>
            </w:pPr>
            <w:r>
              <w:t xml:space="preserve">Nominal coverage</w:t>
            </w:r>
          </w:p>
        </w:tc>
        <w:tc>
          <w:tcPr/>
          <w:p>
            <w:pPr>
              <w:pStyle w:val="Compact"/>
            </w:pPr>
            <w:r>
              <w:t xml:space="preserve">Empirical coverage</w:t>
            </w:r>
          </w:p>
        </w:tc>
        <w:tc>
          <w:tcPr/>
          <w:p>
            <w:pPr>
              <w:pStyle w:val="Compact"/>
            </w:pPr>
            <w:r>
              <w:t xml:space="preserve">Notes</w:t>
            </w:r>
          </w:p>
        </w:tc>
      </w:tr>
      <w:tr>
        <w:tc>
          <w:tcPr/>
          <w:p>
            <w:pPr>
              <w:pStyle w:val="Compact"/>
            </w:pPr>
            <w:r>
              <w:t xml:space="preserve">Gamma-frailty null</w:t>
            </w:r>
          </w:p>
        </w:tc>
        <w:tc>
          <w:tcPr/>
          <w:p>
            <w:pPr>
              <w:pStyle w:val="Compact"/>
            </w:pPr>
            <w:r>
              <w:t xml:space="preserve">95%</w:t>
            </w:r>
          </w:p>
        </w:tc>
        <w:tc>
          <w:tcPr/>
          <w:p>
            <w:pPr>
              <w:pStyle w:val="Compact"/>
            </w:pPr>
            <w:r>
              <w:t xml:space="preserve">94.2%</w:t>
            </w:r>
          </w:p>
        </w:tc>
        <w:tc>
          <w:tcPr/>
          <w:p>
            <w:pPr>
              <w:pStyle w:val="Compact"/>
            </w:pPr>
            <w:r>
              <w:t xml:space="preserve">Coverage evaluated under selection-only conditions</w:t>
            </w:r>
          </w:p>
        </w:tc>
      </w:tr>
      <w:tr>
        <w:tc>
          <w:tcPr/>
          <w:p>
            <w:pPr>
              <w:pStyle w:val="Compact"/>
            </w:pPr>
            <w:r>
              <w:t xml:space="preserve">Injected effect (harm)</w:t>
            </w:r>
          </w:p>
        </w:tc>
        <w:tc>
          <w:tcPr/>
          <w:p>
            <w:pPr>
              <w:pStyle w:val="Compact"/>
            </w:pPr>
            <w:r>
              <w:t xml:space="preserve">95%</w:t>
            </w:r>
          </w:p>
        </w:tc>
        <w:tc>
          <w:tcPr/>
          <w:p>
            <w:pPr>
              <w:pStyle w:val="Compact"/>
            </w:pPr>
            <w:r>
              <w:t xml:space="preserve">93.8%</w:t>
            </w:r>
          </w:p>
        </w:tc>
        <w:tc>
          <w:tcPr/>
          <w:p>
            <w:pPr>
              <w:pStyle w:val="Compact"/>
            </w:pPr>
            <w:r>
              <w:t xml:space="preserve">Coverage evaluated under known treatment effect</w:t>
            </w:r>
          </w:p>
        </w:tc>
      </w:tr>
      <w:tr>
        <w:tc>
          <w:tcPr/>
          <w:p>
            <w:pPr>
              <w:pStyle w:val="Compact"/>
            </w:pPr>
            <w:r>
              <w:t xml:space="preserve">Injected effect (benefit)</w:t>
            </w:r>
          </w:p>
        </w:tc>
        <w:tc>
          <w:tcPr/>
          <w:p>
            <w:pPr>
              <w:pStyle w:val="Compact"/>
            </w:pPr>
            <w:r>
              <w:t xml:space="preserve">95%</w:t>
            </w:r>
          </w:p>
        </w:tc>
        <w:tc>
          <w:tcPr/>
          <w:p>
            <w:pPr>
              <w:pStyle w:val="Compact"/>
            </w:pPr>
            <w:r>
              <w:t xml:space="preserve">93.5%</w:t>
            </w:r>
          </w:p>
        </w:tc>
        <w:tc>
          <w:tcPr/>
          <w:p>
            <w:pPr>
              <w:pStyle w:val="Compact"/>
            </w:pPr>
            <w:r>
              <w:t xml:space="preserve">Coverage evaluated under known treatment effect</w:t>
            </w:r>
          </w:p>
        </w:tc>
      </w:tr>
      <w:tr>
        <w:tc>
          <w:tcPr/>
          <w:p>
            <w:pPr>
              <w:pStyle w:val="Compact"/>
            </w:pPr>
            <w:r>
              <w:t xml:space="preserve">Non-gamma frailty</w:t>
            </w:r>
          </w:p>
        </w:tc>
        <w:tc>
          <w:tcPr/>
          <w:p>
            <w:pPr>
              <w:pStyle w:val="Compact"/>
            </w:pPr>
            <w:r>
              <w:t xml:space="preserve">95%</w:t>
            </w:r>
          </w:p>
        </w:tc>
        <w:tc>
          <w:tcPr/>
          <w:p>
            <w:pPr>
              <w:pStyle w:val="Compact"/>
            </w:pPr>
            <w:r>
              <w:t xml:space="preserve">89.3%</w:t>
            </w:r>
          </w:p>
        </w:tc>
        <w:tc>
          <w:tcPr/>
          <w:p>
            <w:pPr>
              <w:pStyle w:val="Compact"/>
            </w:pPr>
            <w:r>
              <w:t xml:space="preserve">Coverage under frailty misspecification</w:t>
            </w:r>
          </w:p>
        </w:tc>
      </w:tr>
      <w:tr>
        <w:tc>
          <w:tcPr/>
          <w:p>
            <w:pPr>
              <w:pStyle w:val="Compact"/>
            </w:pPr>
            <w:r>
              <w:t xml:space="preserve">Sparse events</w:t>
            </w:r>
          </w:p>
        </w:tc>
        <w:tc>
          <w:tcPr/>
          <w:p>
            <w:pPr>
              <w:pStyle w:val="Compact"/>
            </w:pPr>
            <w:r>
              <w:t xml:space="preserve">95%</w:t>
            </w:r>
          </w:p>
        </w:tc>
        <w:tc>
          <w:tcPr/>
          <w:p>
            <w:pPr>
              <w:pStyle w:val="Compact"/>
            </w:pPr>
            <w:r>
              <w:t xml:space="preserve">87.6%</w:t>
            </w:r>
          </w:p>
        </w:tc>
        <w:tc>
          <w:tcPr/>
          <w:p>
            <w:pPr>
              <w:pStyle w:val="Compact"/>
            </w:pPr>
            <w:r>
              <w:t xml:space="preserve">Coverage under reduced event counts</w:t>
            </w:r>
          </w:p>
        </w:tc>
      </w:tr>
    </w:tbl>
    <w:bookmarkEnd w:id="194"/>
    <w:bookmarkEnd w:id="195"/>
    <w:bookmarkEnd w:id="196"/>
    <w:bookmarkEnd w:id="1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63" Target="media/rId63.png" /><Relationship Type="http://schemas.openxmlformats.org/officeDocument/2006/relationships/image" Id="rId84" Target="media/rId84.png" /><Relationship Type="http://schemas.openxmlformats.org/officeDocument/2006/relationships/image" Id="rId101" Target="media/rId101.png" /><Relationship Type="http://schemas.openxmlformats.org/officeDocument/2006/relationships/image" Id="rId124" Target="media/rId124.png" /><Relationship Type="http://schemas.openxmlformats.org/officeDocument/2006/relationships/image" Id="rId120" Target="media/rId120.png" /><Relationship Type="http://schemas.openxmlformats.org/officeDocument/2006/relationships/image" Id="rId106" Target="media/rId106.png" /><Relationship Type="http://schemas.openxmlformats.org/officeDocument/2006/relationships/image" Id="rId116" Target="media/rId116.png" /><Relationship Type="http://schemas.openxmlformats.org/officeDocument/2006/relationships/image" Id="rId112" Target="media/rId112.png" /><Relationship Type="http://schemas.openxmlformats.org/officeDocument/2006/relationships/image" Id="rId128" Target="media/rId128.png" /><Relationship Type="http://schemas.openxmlformats.org/officeDocument/2006/relationships/hyperlink" Id="rId168" Target="https://doi.org/10.1002/sim.1203" TargetMode="External" /><Relationship Type="http://schemas.openxmlformats.org/officeDocument/2006/relationships/hyperlink" Id="rId170" Target="https://doi.org/10.1002/sim.4780080803" TargetMode="External" /><Relationship Type="http://schemas.openxmlformats.org/officeDocument/2006/relationships/hyperlink" Id="rId178" Target="https://doi.org/10.1093/aje/kwn164" TargetMode="External" /><Relationship Type="http://schemas.openxmlformats.org/officeDocument/2006/relationships/hyperlink" Id="rId172" Target="https://doi.org/10.1093/biomet/81.1.61" TargetMode="External" /><Relationship Type="http://schemas.openxmlformats.org/officeDocument/2006/relationships/hyperlink" Id="rId164" Target="https://doi.org/10.1093/biomet/81.3.515" TargetMode="External" /><Relationship Type="http://schemas.openxmlformats.org/officeDocument/2006/relationships/hyperlink" Id="rId176" Target="https://doi.org/10.1097/00001648-200009000-00011" TargetMode="External" /><Relationship Type="http://schemas.openxmlformats.org/officeDocument/2006/relationships/hyperlink" Id="rId174" Target="https://doi.org/10.1111/j.1467-9469.2006.00529.x" TargetMode="External" /><Relationship Type="http://schemas.openxmlformats.org/officeDocument/2006/relationships/hyperlink" Id="rId166" Target="https://doi.org/10.1214/aos/1176345976" TargetMode="External" /><Relationship Type="http://schemas.openxmlformats.org/officeDocument/2006/relationships/hyperlink" Id="rId160" Target="https://doi.org/10.2147/CLEP.S468572" TargetMode="External" /><Relationship Type="http://schemas.openxmlformats.org/officeDocument/2006/relationships/hyperlink" Id="rId158" Target="https://doi.org/10.2307/2061224" TargetMode="External" /><Relationship Type="http://schemas.openxmlformats.org/officeDocument/2006/relationships/hyperlink" Id="rId151" Target="https://doi.org/10.5281/zenodo.18050329" TargetMode="External" /><Relationship Type="http://schemas.openxmlformats.org/officeDocument/2006/relationships/hyperlink" Id="rId162" Target="https://doi.org/10.7554/eLife.103690" TargetMode="External" /><Relationship Type="http://schemas.openxmlformats.org/officeDocument/2006/relationships/hyperlink" Id="rId150"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68" Target="https://doi.org/10.1002/sim.1203" TargetMode="External" /><Relationship Type="http://schemas.openxmlformats.org/officeDocument/2006/relationships/hyperlink" Id="rId170" Target="https://doi.org/10.1002/sim.4780080803" TargetMode="External" /><Relationship Type="http://schemas.openxmlformats.org/officeDocument/2006/relationships/hyperlink" Id="rId178" Target="https://doi.org/10.1093/aje/kwn164" TargetMode="External" /><Relationship Type="http://schemas.openxmlformats.org/officeDocument/2006/relationships/hyperlink" Id="rId172" Target="https://doi.org/10.1093/biomet/81.1.61" TargetMode="External" /><Relationship Type="http://schemas.openxmlformats.org/officeDocument/2006/relationships/hyperlink" Id="rId164" Target="https://doi.org/10.1093/biomet/81.3.515" TargetMode="External" /><Relationship Type="http://schemas.openxmlformats.org/officeDocument/2006/relationships/hyperlink" Id="rId176" Target="https://doi.org/10.1097/00001648-200009000-00011" TargetMode="External" /><Relationship Type="http://schemas.openxmlformats.org/officeDocument/2006/relationships/hyperlink" Id="rId174" Target="https://doi.org/10.1111/j.1467-9469.2006.00529.x" TargetMode="External" /><Relationship Type="http://schemas.openxmlformats.org/officeDocument/2006/relationships/hyperlink" Id="rId166" Target="https://doi.org/10.1214/aos/1176345976" TargetMode="External" /><Relationship Type="http://schemas.openxmlformats.org/officeDocument/2006/relationships/hyperlink" Id="rId160" Target="https://doi.org/10.2147/CLEP.S468572" TargetMode="External" /><Relationship Type="http://schemas.openxmlformats.org/officeDocument/2006/relationships/hyperlink" Id="rId158" Target="https://doi.org/10.2307/2061224" TargetMode="External" /><Relationship Type="http://schemas.openxmlformats.org/officeDocument/2006/relationships/hyperlink" Id="rId151" Target="https://doi.org/10.5281/zenodo.18050329" TargetMode="External" /><Relationship Type="http://schemas.openxmlformats.org/officeDocument/2006/relationships/hyperlink" Id="rId162" Target="https://doi.org/10.7554/eLife.103690" TargetMode="External" /><Relationship Type="http://schemas.openxmlformats.org/officeDocument/2006/relationships/hyperlink" Id="rId150"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2026-01-08T06:09:55Z</dcterms:created>
  <dcterms:modified xsi:type="dcterms:W3CDTF">2026-01-08T06:09:55Z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drop_div">
    <vt:lpwstr>supp</vt:lpwstr>
  </property>
  <property fmtid="{D5CDD505-2E9C-101B-9397-08002B2CF9AE}" pid="16" name="eqLabels">
    <vt:lpwstr>arabic</vt:lpwstr>
  </property>
  <property fmtid="{D5CDD505-2E9C-101B-9397-08002B2CF9AE}" pid="17" name="eqnBlockInlineMath">
    <vt:lpwstr>True</vt:lpwstr>
  </property>
  <property fmtid="{D5CDD505-2E9C-101B-9397-08002B2CF9AE}" pid="18" name="eqnBlockTemplate">
    <vt:lpwstr>ti</vt:lpwstr>
  </property>
  <property fmtid="{D5CDD505-2E9C-101B-9397-08002B2CF9AE}" pid="19" name="eqnDisplayTemplate">
    <vt:lpwstr>e</vt:lpwstr>
  </property>
  <property fmtid="{D5CDD505-2E9C-101B-9397-08002B2CF9AE}" pid="20" name="eqnIndexTemplate">
    <vt:lpwstr>(i)</vt:lpwstr>
  </property>
  <property fmtid="{D5CDD505-2E9C-101B-9397-08002B2CF9AE}" pid="21" name="eqnInlineTableTemplate">
    <vt:lpwstr>e</vt:lpwstr>
  </property>
  <property fmtid="{D5CDD505-2E9C-101B-9397-08002B2CF9AE}" pid="22" name="eqnInlineTemplate">
    <vt:lpwstr>eequationNumberTeX{i}</vt:lpwstr>
  </property>
  <property fmtid="{D5CDD505-2E9C-101B-9397-08002B2CF9AE}" pid="23" name="eqnPrefix">
    <vt:lpwstr/>
  </property>
  <property fmtid="{D5CDD505-2E9C-101B-9397-08002B2CF9AE}" pid="24" name="eqnPrefixTemplate">
    <vt:lpwstr>(i)</vt:lpwstr>
  </property>
  <property fmtid="{D5CDD505-2E9C-101B-9397-08002B2CF9AE}" pid="25" name="eqnTemplate">
    <vt:lpwstr>(i)</vt:lpwstr>
  </property>
  <property fmtid="{D5CDD505-2E9C-101B-9397-08002B2CF9AE}" pid="26" name="equationNumberTeX">
    <vt:lpwstr>\qquad</vt:lpwstr>
  </property>
  <property fmtid="{D5CDD505-2E9C-101B-9397-08002B2CF9AE}" pid="27" name="figLabels">
    <vt:lpwstr>arabic</vt:lpwstr>
  </property>
  <property fmtid="{D5CDD505-2E9C-101B-9397-08002B2CF9AE}" pid="28" name="figPrefix">
    <vt:lpwstr/>
  </property>
  <property fmtid="{D5CDD505-2E9C-101B-9397-08002B2CF9AE}" pid="29" name="figPrefixTemplate">
    <vt:lpwstr>i</vt:lpwstr>
  </property>
  <property fmtid="{D5CDD505-2E9C-101B-9397-08002B2CF9AE}" pid="30" name="figureTemplate">
    <vt:lpwstr>figureTitle i. t</vt:lpwstr>
  </property>
  <property fmtid="{D5CDD505-2E9C-101B-9397-08002B2CF9AE}" pid="31" name="figureTitle">
    <vt:lpwstr>Figure</vt:lpwstr>
  </property>
  <property fmtid="{D5CDD505-2E9C-101B-9397-08002B2CF9AE}" pid="32" name="lastDelim">
    <vt:lpwstr>, </vt:lpwstr>
  </property>
  <property fmtid="{D5CDD505-2E9C-101B-9397-08002B2CF9AE}" pid="33" name="linkReferences">
    <vt:lpwstr>False</vt:lpwstr>
  </property>
  <property fmtid="{D5CDD505-2E9C-101B-9397-08002B2CF9AE}" pid="34" name="listItemTitleDelim">
    <vt:lpwstr>.</vt:lpwstr>
  </property>
  <property fmtid="{D5CDD505-2E9C-101B-9397-08002B2CF9AE}" pid="35" name="listOfMetadata">
    <vt:lpwstr>False</vt:lpwstr>
  </property>
  <property fmtid="{D5CDD505-2E9C-101B-9397-08002B2CF9AE}" pid="36" name="listingTemplate">
    <vt:lpwstr>listingTitle ititleDelim t</vt:lpwstr>
  </property>
  <property fmtid="{D5CDD505-2E9C-101B-9397-08002B2CF9AE}" pid="37" name="listingTitle">
    <vt:lpwstr>Listing</vt:lpwstr>
  </property>
  <property fmtid="{D5CDD505-2E9C-101B-9397-08002B2CF9AE}" pid="38" name="listings">
    <vt:lpwstr>False</vt:lpwstr>
  </property>
  <property fmtid="{D5CDD505-2E9C-101B-9397-08002B2CF9AE}" pid="39" name="lofItemTemplate">
    <vt:lpwstr>lofItemTitleilistItemTitleDelimt </vt:lpwstr>
  </property>
  <property fmtid="{D5CDD505-2E9C-101B-9397-08002B2CF9AE}" pid="40" name="lofItemTitle">
    <vt:lpwstr/>
  </property>
  <property fmtid="{D5CDD505-2E9C-101B-9397-08002B2CF9AE}" pid="41" name="lofTitle">
    <vt:lpwstr>List of Figures</vt:lpwstr>
  </property>
  <property fmtid="{D5CDD505-2E9C-101B-9397-08002B2CF9AE}" pid="42" name="lolItemTemplate">
    <vt:lpwstr>lolItemTitleilistItemTitleDelimt </vt:lpwstr>
  </property>
  <property fmtid="{D5CDD505-2E9C-101B-9397-08002B2CF9AE}" pid="43" name="lolItemTitle">
    <vt:lpwstr/>
  </property>
  <property fmtid="{D5CDD505-2E9C-101B-9397-08002B2CF9AE}" pid="44" name="lolTitle">
    <vt:lpwstr>List of Listings</vt:lpwstr>
  </property>
  <property fmtid="{D5CDD505-2E9C-101B-9397-08002B2CF9AE}" pid="45" name="lotItemTemplate">
    <vt:lpwstr>lotItemTitleilistItemTitleDelimt </vt:lpwstr>
  </property>
  <property fmtid="{D5CDD505-2E9C-101B-9397-08002B2CF9AE}" pid="46" name="lotItemTitle">
    <vt:lpwstr/>
  </property>
  <property fmtid="{D5CDD505-2E9C-101B-9397-08002B2CF9AE}" pid="47" name="lotTitle">
    <vt:lpwstr>List of Tables</vt:lpwstr>
  </property>
  <property fmtid="{D5CDD505-2E9C-101B-9397-08002B2CF9AE}" pid="48" name="lstLabels">
    <vt:lpwstr>arabic</vt:lpwstr>
  </property>
  <property fmtid="{D5CDD505-2E9C-101B-9397-08002B2CF9AE}" pid="49" name="lstPrefix">
    <vt:lpwstr/>
  </property>
  <property fmtid="{D5CDD505-2E9C-101B-9397-08002B2CF9AE}" pid="50" name="lstPrefixTemplate">
    <vt:lpwstr>p i</vt:lpwstr>
  </property>
  <property fmtid="{D5CDD505-2E9C-101B-9397-08002B2CF9AE}" pid="51" name="nameInLink">
    <vt:lpwstr>False</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True</vt:lpwstr>
  </property>
  <property fmtid="{D5CDD505-2E9C-101B-9397-08002B2CF9AE}" pid="69" name="tableTemplate">
    <vt:lpwstr>tableTitle i.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i</vt:lpwstr>
  </property>
  <property fmtid="{D5CDD505-2E9C-101B-9397-08002B2CF9AE}" pid="74" name="titleDelim">
    <vt:lpwstr/>
  </property>
</Properties>
</file>