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50.png" ContentType="image/png"/>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supp"/>
    <w:bookmarkStart w:id="84"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30" w:name="appendix-a.-mathematical-derivations"/>
    <w:p>
      <w:pPr>
        <w:pStyle w:val="Heading3"/>
      </w:pPr>
      <w:r>
        <w:t xml:space="preserve">Appendix A. Mathematical derivations</w:t>
      </w:r>
    </w:p>
    <w:bookmarkStart w:id="14"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bookmarkStart w:id="9" w:name="eq:A.1"/>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oMath>
      <w:r>
        <w:t xml:space="preserve"> </w:t>
      </w:r>
      <w:r>
        <w:tab/>
      </w:r>
      <w:r>
        <w:t xml:space="preserve"> </w:t>
      </w:r>
      <m:oMath>
        <m:r>
          <m:rPr>
            <m:sty m:val="p"/>
          </m:rPr>
          <m:t>(</m:t>
        </m:r>
        <m:r>
          <m:t>17</m:t>
        </m:r>
        <m:r>
          <m:rPr>
            <m:sty m:val="p"/>
          </m:rPr>
          <m:t>)</m:t>
        </m:r>
      </m:oMath>
    </w:p>
    <w:bookmarkEnd w:id="9"/>
    <w:p>
      <w:pPr>
        <w:pStyle w:val="BodyText"/>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bookmarkStart w:id="10" w:name="eq:A.2"/>
    <w:p>
      <w:pPr>
        <w:pStyle w:val="BodyText"/>
      </w:pPr>
      <w:pPr>
        <w:tabs>
          <w:tab w:val="center" w:leader="none" w:pos="4680"/>
          <w:tab w:val="right" w:leader="none" w:pos="9360"/>
        </w:tabs>
      </w:pPr>
      <w:r>
        <w:tab/>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ab/>
      </w:r>
      <w:r>
        <w:t xml:space="preserve"> </w:t>
      </w:r>
      <m:oMath>
        <m:r>
          <m:rPr>
            <m:sty m:val="p"/>
          </m:rPr>
          <m:t>(</m:t>
        </m:r>
        <m:r>
          <m:t>18</m:t>
        </m:r>
        <m:r>
          <m:rPr>
            <m:sty m:val="p"/>
          </m:rPr>
          <m:t>)</m:t>
        </m:r>
      </m:oMath>
    </w:p>
    <w:bookmarkEnd w:id="10"/>
    <w:p>
      <w:pPr>
        <w:pStyle w:val="BodyText"/>
      </w:pPr>
      <w:r>
        <w:t xml:space="preserve">denote the individual survival function, where</w:t>
      </w:r>
    </w:p>
    <w:bookmarkStart w:id="11" w:name="eq:A.3"/>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19</m:t>
        </m:r>
        <m:r>
          <m:rPr>
            <m:sty m:val="p"/>
          </m:rPr>
          <m:t>)</m:t>
        </m:r>
      </m:oMath>
    </w:p>
    <w:bookmarkEnd w:id="11"/>
    <w:p>
      <w:pPr>
        <w:pStyle w:val="BodyText"/>
      </w:pPr>
      <w:r>
        <w:t xml:space="preserve">is the baseline cumulative hazard.</w:t>
      </w:r>
    </w:p>
    <w:p>
      <w:pPr>
        <w:pStyle w:val="BodyText"/>
      </w:pPr>
      <w:r>
        <w:t xml:space="preserve">The cohort survival function, obtained by integrating over the frailty distribution, is</w:t>
      </w:r>
    </w:p>
    <w:bookmarkStart w:id="12" w:name="eq:A.4"/>
    <w:p>
      <w:pPr>
        <w:pStyle w:val="BodyText"/>
      </w:pPr>
      <w:pPr>
        <w:tabs>
          <w:tab w:val="center" w:leader="none" w:pos="4680"/>
          <w:tab w:val="right" w:leader="none" w:pos="9360"/>
        </w:tabs>
      </w:pPr>
      <w:r>
        <w:tab/>
      </w:r>
      <w:r>
        <w:t xml:space="preserve"> </w:t>
      </w: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oMath>
      <w:r>
        <w:t xml:space="preserve"> </w:t>
      </w:r>
      <w:r>
        <w:tab/>
      </w:r>
      <w:r>
        <w:t xml:space="preserve"> </w:t>
      </w:r>
      <m:oMath>
        <m:r>
          <m:rPr>
            <m:sty m:val="p"/>
          </m:rPr>
          <m:t>(</m:t>
        </m:r>
        <m:r>
          <m:t>20</m:t>
        </m:r>
        <m:r>
          <m:rPr>
            <m:sty m:val="p"/>
          </m:rPr>
          <m:t>)</m:t>
        </m:r>
      </m:oMath>
    </w:p>
    <w:bookmarkEnd w:id="12"/>
    <w:p>
      <w:pPr>
        <w:pStyle w:val="BodyText"/>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bookmarkStart w:id="13" w:name="eq:A.5"/>
    <w:p>
      <w:pPr>
        <w:pStyle w:val="BodyText"/>
      </w:pPr>
      <w:pPr>
        <w:tabs>
          <w:tab w:val="center" w:leader="none" w:pos="4680"/>
          <w:tab w:val="right" w:leader="none" w:pos="9360"/>
        </w:tabs>
      </w:pPr>
      <w:r>
        <w:tab/>
      </w:r>
      <w:r>
        <w:t xml:space="preserve"> </w:t>
      </w: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oMath>
      <w:r>
        <w:t xml:space="preserve"> </w:t>
      </w:r>
      <w:r>
        <w:tab/>
      </w:r>
      <w:r>
        <w:t xml:space="preserve"> </w:t>
      </w:r>
      <m:oMath>
        <m:r>
          <m:rPr>
            <m:sty m:val="p"/>
          </m:rPr>
          <m:t>(</m:t>
        </m:r>
        <m:r>
          <m:t>21</m:t>
        </m:r>
        <m:r>
          <m:rPr>
            <m:sty m:val="p"/>
          </m:rPr>
          <m:t>)</m:t>
        </m:r>
      </m:oMath>
    </w:p>
    <w:bookmarkEnd w:id="13"/>
    <w:p>
      <w:pPr>
        <w:pStyle w:val="BodyText"/>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14"/>
    <w:bookmarkStart w:id="1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bookmarkStart w:id="15" w:name="eq:A.6"/>
    <w:p>
      <w:pPr>
        <w:pStyle w:val="BodyText"/>
      </w:pPr>
      <w:pPr>
        <w:tabs>
          <w:tab w:val="center" w:leader="none" w:pos="4680"/>
          <w:tab w:val="right" w:leader="none" w:pos="9360"/>
        </w:tabs>
      </w:pPr>
      <w:r>
        <w:tab/>
      </w:r>
      <w:r>
        <w:t xml:space="preserve"> </w:t>
      </w: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w:r>
        <w:t xml:space="preserve"> </w:t>
      </w:r>
      <w:r>
        <w:tab/>
      </w:r>
      <w:r>
        <w:t xml:space="preserve"> </w:t>
      </w:r>
      <m:oMath>
        <m:r>
          <m:rPr>
            <m:sty m:val="p"/>
          </m:rPr>
          <m:t>(</m:t>
        </m:r>
        <m:r>
          <m:t>22</m:t>
        </m:r>
        <m:r>
          <m:rPr>
            <m:sty m:val="p"/>
          </m:rPr>
          <m:t>)</m:t>
        </m:r>
      </m:oMath>
    </w:p>
    <w:bookmarkEnd w:id="15"/>
    <w:p>
      <w:pPr>
        <w:pStyle w:val="BodyText"/>
      </w:pPr>
      <w:r>
        <w:t xml:space="preserve">The cohort survival function becomes:</w:t>
      </w:r>
    </w:p>
    <w:bookmarkStart w:id="16" w:name="eq:A.7"/>
    <w:p>
      <w:pPr>
        <w:pStyle w:val="BodyText"/>
      </w:pPr>
      <w:pPr>
        <w:tabs>
          <w:tab w:val="center" w:leader="none" w:pos="4680"/>
          <w:tab w:val="right" w:leader="none" w:pos="9360"/>
        </w:tabs>
      </w:pPr>
      <w:r>
        <w:tab/>
      </w:r>
      <w:r>
        <w:t xml:space="preserve"> </w:t>
      </w: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w:r>
        <w:t xml:space="preserve"> </w:t>
      </w:r>
      <w:r>
        <w:tab/>
      </w:r>
      <w:r>
        <w:t xml:space="preserve"> </w:t>
      </w:r>
      <m:oMath>
        <m:r>
          <m:rPr>
            <m:sty m:val="p"/>
          </m:rPr>
          <m:t>(</m:t>
        </m:r>
        <m:r>
          <m:t>23</m:t>
        </m:r>
        <m:r>
          <m:rPr>
            <m:sty m:val="p"/>
          </m:rPr>
          <m:t>)</m:t>
        </m:r>
      </m:oMath>
    </w:p>
    <w:bookmarkEnd w:id="16"/>
    <w:p>
      <w:pPr>
        <w:pStyle w:val="BodyText"/>
      </w:pPr>
      <w:r>
        <w:t xml:space="preserve">The observed cumulative hazard is defined as:</w:t>
      </w:r>
    </w:p>
    <w:bookmarkStart w:id="17" w:name="eq:A.8"/>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w:r>
        <w:t xml:space="preserve"> </w:t>
      </w:r>
      <w:r>
        <w:tab/>
      </w:r>
      <w:r>
        <w:t xml:space="preserve"> </w:t>
      </w:r>
      <m:oMath>
        <m:r>
          <m:rPr>
            <m:sty m:val="p"/>
          </m:rPr>
          <m:t>(</m:t>
        </m:r>
        <m:r>
          <m:t>24</m:t>
        </m:r>
        <m:r>
          <m:rPr>
            <m:sty m:val="p"/>
          </m:rPr>
          <m:t>)</m:t>
        </m:r>
      </m:oMath>
    </w:p>
    <w:bookmarkEnd w:id="17"/>
    <w:p>
      <w:pPr>
        <w:pStyle w:val="BodyText"/>
      </w:pPr>
      <w:r>
        <w:t xml:space="preserve">Substituting the gamma Laplace transform yields the canonical gamma-frailty identity:</w:t>
      </w:r>
    </w:p>
    <w:bookmarkStart w:id="18" w:name="eq:A.9"/>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25</m:t>
        </m:r>
        <m:r>
          <m:rPr>
            <m:sty m:val="p"/>
          </m:rPr>
          <m:t>)</m:t>
        </m:r>
      </m:oMath>
    </w:p>
    <w:bookmarkEnd w:id="18"/>
    <w:p>
      <w:pPr>
        <w:pStyle w:val="BodyText"/>
      </w:pPr>
      <w:r>
        <w:t xml:space="preserve">This is the gamma-frailty identity (see Equation (6) in the main text).</w:t>
      </w:r>
    </w:p>
    <w:bookmarkEnd w:id="19"/>
    <w:bookmarkStart w:id="21"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bookmarkStart w:id="20" w:name="eq:A.10"/>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26</m:t>
        </m:r>
        <m:r>
          <m:rPr>
            <m:sty m:val="p"/>
          </m:rPr>
          <m:t>)</m:t>
        </m:r>
      </m:oMath>
    </w:p>
    <w:bookmarkEnd w:id="20"/>
    <w:p>
      <w:pPr>
        <w:pStyle w:val="BodyText"/>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21"/>
    <w:bookmarkStart w:id="2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22"/>
    <w:bookmarkStart w:id="26"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r>
        <w:t xml:space="preserve"> </w:t>
      </w:r>
    </w:p>
    <w:bookmarkStart w:id="23" w:name="eq:A.11"/>
    <w:p>
      <w:pPr>
        <w:pStyle w:val="BodyText"/>
      </w:pPr>
      <w:pPr>
        <w:tabs>
          <w:tab w:val="center" w:leader="none" w:pos="4680"/>
          <w:tab w:val="right" w:leader="none" w:pos="9360"/>
        </w:tabs>
      </w:pPr>
      <w:r>
        <w:tab/>
      </w:r>
      <w:r>
        <w:t xml:space="preserve"> </w:t>
      </w: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w:r>
        <w:t xml:space="preserve"> </w:t>
      </w:r>
      <w:r>
        <w:tab/>
      </w:r>
      <w:r>
        <w:t xml:space="preserve"> </w:t>
      </w:r>
      <m:oMath>
        <m:r>
          <m:rPr>
            <m:sty m:val="p"/>
          </m:rPr>
          <m:t>(</m:t>
        </m:r>
        <m:r>
          <m:t>27</m:t>
        </m:r>
        <m:r>
          <m:rPr>
            <m:sty m:val="p"/>
          </m:rPr>
          <m:t>)</m:t>
        </m:r>
      </m:oMath>
    </w:p>
    <w:bookmarkEnd w:id="23"/>
    <w:p>
      <w:pPr>
        <w:pStyle w:val="BodyText"/>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r>
        <w:t xml:space="preserve"> </w:t>
      </w:r>
    </w:p>
    <w:bookmarkStart w:id="24" w:name="eq:A.12"/>
    <w:p>
      <w:pPr>
        <w:pStyle w:val="BodyText"/>
      </w:pPr>
      <w:pPr>
        <w:tabs>
          <w:tab w:val="center" w:leader="none" w:pos="4680"/>
          <w:tab w:val="right" w:leader="none" w:pos="9360"/>
        </w:tabs>
      </w:pPr>
      <w:r>
        <w:tab/>
      </w:r>
      <w:r>
        <w:t xml:space="preserve"> </w:t>
      </w: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w:r>
        <w:t xml:space="preserve"> </w:t>
      </w:r>
      <w:r>
        <w:tab/>
      </w:r>
      <w:r>
        <w:t xml:space="preserve"> </w:t>
      </w:r>
      <m:oMath>
        <m:r>
          <m:rPr>
            <m:sty m:val="p"/>
          </m:rPr>
          <m:t>(</m:t>
        </m:r>
        <m:r>
          <m:t>28</m:t>
        </m:r>
        <m:r>
          <m:rPr>
            <m:sty m:val="p"/>
          </m:rPr>
          <m:t>)</m:t>
        </m:r>
      </m:oMath>
    </w:p>
    <w:bookmarkEnd w:id="24"/>
    <w:p>
      <w:pPr>
        <w:pStyle w:val="BodyText"/>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r>
        <w:t xml:space="preserve"> </w:t>
      </w:r>
    </w:p>
    <w:bookmarkStart w:id="25" w:name="eq:A.13"/>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w:r>
        <w:t xml:space="preserve"> </w:t>
      </w:r>
      <w:r>
        <w:tab/>
      </w:r>
      <w:r>
        <w:t xml:space="preserve"> </w:t>
      </w:r>
      <m:oMath>
        <m:r>
          <m:rPr>
            <m:sty m:val="p"/>
          </m:rPr>
          <m:t>(</m:t>
        </m:r>
        <m:r>
          <m:t>29</m:t>
        </m:r>
        <m:r>
          <m:rPr>
            <m:sty m:val="p"/>
          </m:rPr>
          <m:t>)</m:t>
        </m:r>
      </m:oMath>
    </w:p>
    <w:bookmarkEnd w:id="25"/>
    <w:p>
      <w:pPr>
        <w:pStyle w:val="BodyText"/>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26"/>
    <w:bookmarkStart w:id="29"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bookmarkStart w:id="27" w:name="eq:A.14"/>
    <w:p>
      <w:pPr>
        <w:pStyle w:val="BodyText"/>
      </w:pPr>
      <w:pPr>
        <w:tabs>
          <w:tab w:val="center" w:leader="none" w:pos="4680"/>
          <w:tab w:val="right" w:leader="none" w:pos="9360"/>
        </w:tabs>
      </w:pPr>
      <w:r>
        <w:tab/>
      </w:r>
      <w:r>
        <w:t xml:space="preserve"> </w:t>
      </w: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30</m:t>
        </m:r>
        <m:r>
          <m:rPr>
            <m:sty m:val="p"/>
          </m:rPr>
          <m:t>)</m:t>
        </m:r>
      </m:oMath>
    </w:p>
    <w:bookmarkEnd w:id="27"/>
    <w:p>
      <w:pPr>
        <w:pStyle w:val="BodyText"/>
      </w:pPr>
      <w:r>
        <w:t xml:space="preserve">If the variance of the depletion-neutralized cumulative hazard is available (e.g., from bootstrap or analytic propagation through the inversion), then:</w:t>
      </w:r>
    </w:p>
    <w:bookmarkStart w:id="28" w:name="eq:A.15"/>
    <w:p>
      <w:pPr>
        <w:pStyle w:val="BodyText"/>
      </w:pPr>
      <w:pPr>
        <w:tabs>
          <w:tab w:val="center" w:leader="none" w:pos="4680"/>
          <w:tab w:val="right" w:leader="none" w:pos="9360"/>
        </w:tabs>
      </w:pPr>
      <w:r>
        <w:tab/>
      </w:r>
      <w:r>
        <w:t xml:space="preserve"> </w:t>
      </w: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w:r>
        <w:t xml:space="preserve"> </w:t>
      </w:r>
      <w:r>
        <w:tab/>
      </w:r>
      <w:r>
        <w:t xml:space="preserve"> </w:t>
      </w:r>
      <m:oMath>
        <m:r>
          <m:rPr>
            <m:sty m:val="p"/>
          </m:rPr>
          <m:t>(</m:t>
        </m:r>
        <m:r>
          <m:t>31</m:t>
        </m:r>
        <m:r>
          <m:rPr>
            <m:sty m:val="p"/>
          </m:rPr>
          <m:t>)</m:t>
        </m:r>
      </m:oMath>
    </w:p>
    <w:bookmarkEnd w:id="28"/>
    <w:p>
      <w:pPr>
        <w:pStyle w:val="BodyText"/>
      </w:pPr>
      <w:r>
        <w:t xml:space="preserve">In practice, Monte Carlo resampling provides a more robust approach that captures uncertainty from both event realization and parameter estimation.</w:t>
      </w:r>
    </w:p>
    <w:bookmarkEnd w:id="29"/>
    <w:bookmarkEnd w:id="30"/>
    <w:bookmarkStart w:id="44" w:name="appendix-b.-control-test-specifications"/>
    <w:p>
      <w:pPr>
        <w:pStyle w:val="Heading3"/>
      </w:pPr>
      <w:r>
        <w:t xml:space="preserve">Appendix B. Control-test specifications</w:t>
      </w:r>
    </w:p>
    <w:bookmarkStart w:id="31"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31"/>
    <w:bookmarkStart w:id="32"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32"/>
    <w:bookmarkStart w:id="33"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33"/>
    <w:bookmarkStart w:id="34"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2022-24</w:t>
      </w:r>
    </w:p>
    <w:p>
      <w:pPr>
        <w:pStyle w:val="Compact"/>
        <w:numPr>
          <w:ilvl w:val="0"/>
          <w:numId w:val="1006"/>
        </w:numPr>
      </w:pPr>
      <w:r>
        <w:rPr>
          <w:b/>
          <w:bCs/>
        </w:rPr>
        <w:t xml:space="preserve">Quiet-window end</w:t>
      </w:r>
      <w:r>
        <w:t xml:space="preserve">: Fixed at 2024-16</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34"/>
    <w:bookmarkStart w:id="3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35"/>
    <w:bookmarkStart w:id="43"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37"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bookmarkStart w:id="36" w:name="eq:B.1"/>
    <w:p>
      <w:pPr>
        <w:pStyle w:val="BodyText"/>
      </w:pPr>
      <w:pPr>
        <w:tabs>
          <w:tab w:val="center" w:leader="none" w:pos="4680"/>
          <w:tab w:val="right" w:leader="none" w:pos="9360"/>
        </w:tabs>
      </w:pPr>
      <w:r>
        <w:tab/>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w:r>
        <w:t xml:space="preserve"> </w:t>
      </w:r>
      <w:r>
        <w:tab/>
      </w:r>
      <w:r>
        <w:t xml:space="preserve"> </w:t>
      </w:r>
      <m:oMath>
        <m:r>
          <m:rPr>
            <m:sty m:val="p"/>
          </m:rPr>
          <m:t>(</m:t>
        </m:r>
        <m:r>
          <m:t>32</m:t>
        </m:r>
        <m:r>
          <m:rPr>
            <m:sty m:val="p"/>
          </m:rPr>
          <m:t>)</m:t>
        </m:r>
      </m:oMath>
    </w:p>
    <w:bookmarkEnd w:id="36"/>
    <w:p>
      <w:pPr>
        <w:pStyle w:val="BodyText"/>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37"/>
    <w:bookmarkStart w:id="38"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38"/>
    <w:bookmarkStart w:id="39"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39"/>
    <w:bookmarkStart w:id="40"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40"/>
    <w:bookmarkStart w:id="41"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41"/>
    <w:bookmarkStart w:id="42"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42"/>
    <w:bookmarkEnd w:id="43"/>
    <w:bookmarkEnd w:id="44"/>
    <w:bookmarkStart w:id="63" w:name="X3fb27f9d14d988b0afc4c757bd6d2a45d2ae0b5"/>
    <w:p>
      <w:pPr>
        <w:pStyle w:val="Heading3"/>
      </w:pPr>
      <w:r>
        <w:t xml:space="preserve">Appendix C. Additional figures and diagnostics</w:t>
      </w:r>
    </w:p>
    <w:bookmarkStart w:id="45"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45"/>
    <w:bookmarkStart w:id="47" w:name="c.2-residual-analysis"/>
    <w:p>
      <w:pPr>
        <w:pStyle w:val="Heading4"/>
      </w:pPr>
      <w:r>
        <w:t xml:space="preserve">C.2 Residual analysis</w:t>
      </w:r>
    </w:p>
    <w:p>
      <w:pPr>
        <w:pStyle w:val="FirstParagraph"/>
      </w:pPr>
      <w:r>
        <w:t xml:space="preserve">Fit residuals should be examined for. Define residuals:</w:t>
      </w:r>
    </w:p>
    <w:bookmarkStart w:id="46" w:name="eq:C.1"/>
    <w:p>
      <w:pPr>
        <w:pStyle w:val="BodyText"/>
      </w:pPr>
      <w:pPr>
        <w:tabs>
          <w:tab w:val="center" w:leader="none" w:pos="4680"/>
          <w:tab w:val="right" w:leader="none" w:pos="9360"/>
        </w:tabs>
      </w:pPr>
      <w:r>
        <w:tab/>
      </w:r>
      <w:r>
        <w:t xml:space="preserve"> </w:t>
      </w: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w:r>
        <w:t xml:space="preserve"> </w:t>
      </w:r>
      <w:r>
        <w:tab/>
      </w:r>
      <w:r>
        <w:t xml:space="preserve"> </w:t>
      </w:r>
      <m:oMath>
        <m:r>
          <m:rPr>
            <m:sty m:val="p"/>
          </m:rPr>
          <m:t>(</m:t>
        </m:r>
        <m:r>
          <m:t>33</m:t>
        </m:r>
        <m:r>
          <m:rPr>
            <m:sty m:val="p"/>
          </m:rPr>
          <m:t>)</m:t>
        </m:r>
      </m:oMath>
    </w:p>
    <w:bookmarkEnd w:id="46"/>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47"/>
    <w:bookmarkStart w:id="48"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48"/>
    <w:bookmarkStart w:id="49"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49"/>
    <w:bookmarkStart w:id="62" w:name="c.5-robustness-to-age-stratification"/>
    <w:p>
      <w:pPr>
        <w:pStyle w:val="Heading4"/>
      </w:pPr>
      <w:r>
        <w:t xml:space="preserve">C.5 Robustness to age stratification</w:t>
      </w:r>
    </w:p>
    <w:bookmarkStart w:id="53"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51" name="Picture"/>
            <a:graphic>
              <a:graphicData uri="http://schemas.openxmlformats.org/drawingml/2006/picture">
                <pic:pic>
                  <pic:nvPicPr>
                    <pic:cNvPr descr="figures/supplement/kcor_realdata_yob1930_enroll2022w26_eval2023.png" id="52" name="Picture"/>
                    <pic:cNvPicPr>
                      <a:picLocks noChangeArrowheads="1" noChangeAspect="1"/>
                    </pic:cNvPicPr>
                  </pic:nvPicPr>
                  <pic:blipFill>
                    <a:blip r:embed="rId50"/>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53"/>
    <w:bookmarkStart w:id="57"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55" name="Picture"/>
            <a:graphic>
              <a:graphicData uri="http://schemas.openxmlformats.org/drawingml/2006/picture">
                <pic:pic>
                  <pic:nvPicPr>
                    <pic:cNvPr descr="figures/supplement/kcor_realdata_yob1940_enroll2022w26_eval2023.png" id="56" name="Picture"/>
                    <pic:cNvPicPr>
                      <a:picLocks noChangeArrowheads="1" noChangeAspect="1"/>
                    </pic:cNvPicPr>
                  </pic:nvPicPr>
                  <pic:blipFill>
                    <a:blip r:embed="rId54"/>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57"/>
    <w:bookmarkStart w:id="61"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59" name="Picture"/>
            <a:graphic>
              <a:graphicData uri="http://schemas.openxmlformats.org/drawingml/2006/picture">
                <pic:pic>
                  <pic:nvPicPr>
                    <pic:cNvPr descr="figures/supplement/kcor_realdata_yob1950_enroll2022w26_eval2023.png" id="60" name="Picture"/>
                    <pic:cNvPicPr>
                      <a:picLocks noChangeArrowheads="1" noChangeAspect="1"/>
                    </pic:cNvPicPr>
                  </pic:nvPicPr>
                  <pic:blipFill>
                    <a:blip r:embed="rId5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61"/>
    <w:bookmarkEnd w:id="62"/>
    <w:bookmarkEnd w:id="63"/>
    <w:bookmarkStart w:id="74"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64"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64"/>
    <w:bookmarkStart w:id="68"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bookmarkStart w:id="65" w:name="eq:C.2"/>
    <w:p>
      <w:pPr>
        <w:pStyle w:val="BodyText"/>
      </w:pPr>
      <w:pPr>
        <w:tabs>
          <w:tab w:val="center" w:leader="none" w:pos="4680"/>
          <w:tab w:val="right" w:leader="none" w:pos="9360"/>
        </w:tabs>
      </w:pPr>
      <w:r>
        <w:tab/>
      </w:r>
      <w:r>
        <w:t xml:space="preserve"> </w:t>
      </w:r>
      <m:oMath>
        <m:sSub>
          <m:e>
            <m:acc>
              <m:accPr>
                <m:chr m:val="̂"/>
              </m:accPr>
              <m:e>
                <m:r>
                  <m:t>θ</m:t>
                </m:r>
              </m:e>
            </m:acc>
          </m:e>
          <m:sub>
            <m:r>
              <m:t>d</m:t>
            </m:r>
          </m:sub>
        </m:sSub>
        <m:r>
          <m:rPr>
            <m:sty m:val="p"/>
          </m:rPr>
          <m:t>≈</m:t>
        </m:r>
        <m:r>
          <m:t>0</m:t>
        </m:r>
      </m:oMath>
      <w:r>
        <w:t xml:space="preserve"> </w:t>
      </w:r>
      <w:r>
        <w:tab/>
      </w:r>
      <w:r>
        <w:t xml:space="preserve"> </w:t>
      </w:r>
      <m:oMath>
        <m:r>
          <m:rPr>
            <m:sty m:val="p"/>
          </m:rPr>
          <m:t>(</m:t>
        </m:r>
        <m:r>
          <m:t>34</m:t>
        </m:r>
        <m:r>
          <m:rPr>
            <m:sty m:val="p"/>
          </m:rPr>
          <m:t>)</m:t>
        </m:r>
      </m:oMath>
    </w:p>
    <w:bookmarkEnd w:id="65"/>
    <w:p>
      <w:pPr>
        <w:pStyle w:val="BodyText"/>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PLACEHOLDER See Table 13.</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bookmarkStart w:id="66" w:name="eq:C.3"/>
    <w:p>
      <w:pPr>
        <w:pStyle w:val="BodyText"/>
      </w:pPr>
      <w:pPr>
        <w:tabs>
          <w:tab w:val="center" w:leader="none" w:pos="4680"/>
          <w:tab w:val="right" w:leader="none" w:pos="9360"/>
        </w:tabs>
      </w:pPr>
      <w:r>
        <w:tab/>
      </w:r>
      <w:r>
        <w:t xml:space="preserve"> </w:t>
      </w:r>
      <m:oMath>
        <m:sSub>
          <m:e>
            <m:acc>
              <m:accPr>
                <m:chr m:val="̂"/>
              </m:accPr>
              <m:e>
                <m:r>
                  <m:t>θ</m:t>
                </m:r>
              </m:e>
            </m:acc>
          </m:e>
          <m:sub>
            <m:r>
              <m:t>d</m:t>
            </m:r>
          </m:sub>
        </m:sSub>
        <m:r>
          <m:rPr>
            <m:sty m:val="p"/>
          </m:rPr>
          <m:t>&gt;</m:t>
        </m:r>
        <m:r>
          <m:t>0</m:t>
        </m:r>
      </m:oMath>
      <w:r>
        <w:t xml:space="preserve"> </w:t>
      </w:r>
      <w:r>
        <w:tab/>
      </w:r>
      <w:r>
        <w:t xml:space="preserve"> </w:t>
      </w:r>
      <m:oMath>
        <m:r>
          <m:rPr>
            <m:sty m:val="p"/>
          </m:rPr>
          <m:t>(</m:t>
        </m:r>
        <m:r>
          <m:t>35</m:t>
        </m:r>
        <m:r>
          <m:rPr>
            <m:sty m:val="p"/>
          </m:rPr>
          <m:t>)</m:t>
        </m:r>
      </m:oMath>
    </w:p>
    <w:bookmarkEnd w:id="66"/>
    <w:p>
      <w:pPr>
        <w:pStyle w:val="BodyText"/>
      </w:pPr>
      <w:r>
        <w:t xml:space="preserve">for Dose 0 cohorts and</w:t>
      </w:r>
    </w:p>
    <w:bookmarkStart w:id="67" w:name="eq:C.4"/>
    <w:p>
      <w:pPr>
        <w:pStyle w:val="BodyText"/>
      </w:pPr>
      <w:pPr>
        <w:tabs>
          <w:tab w:val="center" w:leader="none" w:pos="4680"/>
          <w:tab w:val="right" w:leader="none" w:pos="9360"/>
        </w:tabs>
      </w:pPr>
      <w:r>
        <w:tab/>
      </w:r>
      <w:r>
        <w:t xml:space="preserve"> </w:t>
      </w:r>
      <m:oMath>
        <m:sSub>
          <m:e>
            <m:acc>
              <m:accPr>
                <m:chr m:val="̂"/>
              </m:accPr>
              <m:e>
                <m:r>
                  <m:t>θ</m:t>
                </m:r>
              </m:e>
            </m:acc>
          </m:e>
          <m:sub>
            <m:r>
              <m:t>d</m:t>
            </m:r>
          </m:sub>
        </m:sSub>
        <m:r>
          <m:rPr>
            <m:sty m:val="p"/>
          </m:rPr>
          <m:t>≈</m:t>
        </m:r>
        <m:r>
          <m:t>0</m:t>
        </m:r>
      </m:oMath>
      <w:r>
        <w:t xml:space="preserve"> </w:t>
      </w:r>
      <w:r>
        <w:tab/>
      </w:r>
      <w:r>
        <w:t xml:space="preserve"> </w:t>
      </w:r>
      <m:oMath>
        <m:r>
          <m:rPr>
            <m:sty m:val="p"/>
          </m:rPr>
          <m:t>(</m:t>
        </m:r>
        <m:r>
          <m:t>36</m:t>
        </m:r>
        <m:r>
          <m:rPr>
            <m:sty m:val="p"/>
          </m:rPr>
          <m:t>)</m:t>
        </m:r>
      </m:oMath>
    </w:p>
    <w:bookmarkEnd w:id="67"/>
    <w:p>
      <w:pPr>
        <w:pStyle w:val="BodyText"/>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see Table 14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68"/>
    <w:bookmarkStart w:id="73"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bookmarkStart w:id="72"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70" name="Picture"/>
            <a:graphic>
              <a:graphicData uri="http://schemas.openxmlformats.org/drawingml/2006/picture">
                <pic:pic>
                  <pic:nvPicPr>
                    <pic:cNvPr descr="figures/kcor_realdata_allages_enroll2022w26_eval2023.png" id="71" name="Picture"/>
                    <pic:cNvPicPr>
                      <a:picLocks noChangeArrowheads="1" noChangeAspect="1"/>
                    </pic:cNvPicPr>
                  </pic:nvPicPr>
                  <pic:blipFill>
                    <a:blip r:embed="rId69"/>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72"/>
    <w:bookmarkEnd w:id="73"/>
    <w:bookmarkEnd w:id="74"/>
    <w:bookmarkStart w:id="83"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75"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75"/>
    <w:bookmarkStart w:id="76"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76"/>
    <w:bookmarkStart w:id="77"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77"/>
    <w:bookmarkStart w:id="78"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78"/>
    <w:bookmarkStart w:id="79"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79"/>
    <w:bookmarkStart w:id="80"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80"/>
    <w:bookmarkStart w:id="81"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81"/>
    <w:bookmarkStart w:id="82"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82"/>
    <w:bookmarkEnd w:id="83"/>
    <w:bookmarkEnd w:id="84"/>
    <w:bookmarkStart w:id="88" w:name="supplementary-tables"/>
    <w:p>
      <w:pPr>
        <w:pStyle w:val="Heading2"/>
      </w:pPr>
      <w:r>
        <w:t xml:space="preserve">Supplementary Tables</w:t>
      </w:r>
    </w:p>
    <w:bookmarkStart w:id="85" w:name="tbl:frailty_diagnostics"/>
    <w:p>
      <w:pPr>
        <w:pStyle w:val="TableCaption"/>
      </w:pPr>
      <w:r>
        <w:t xml:space="preserve">Table 12. Table S1: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Table S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5"/>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86" w:name="tbl:czech_diagnostic_gate"/>
    <w:p>
      <w:pPr>
        <w:pStyle w:val="TableCaption"/>
      </w:pPr>
      <w:r>
        <w:t xml:space="preserve">Table 13. Table S2: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Table S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86"/>
    <w:p/>
    <w:bookmarkStart w:id="87" w:name="tbl:raw_cumulative_outcomes"/>
    <w:p>
      <w:pPr>
        <w:pStyle w:val="TableCaption"/>
      </w:pPr>
      <w:r>
        <w:t xml:space="preserve">Table 14. Table S3: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Table S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7"/>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2026-01-08T06:09:56Z</dcterms:created>
  <dcterms:modified xsi:type="dcterms:W3CDTF">2026-01-08T06:09:56Z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