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0.png" ContentType="image/png"/>
  <Override PartName="/word/media/rId74.png" ContentType="image/png"/>
  <Override PartName="/word/media/rId57.png" ContentType="image/png"/>
  <Override PartName="/word/media/rId64.png" ContentType="image/png"/>
  <Override PartName="/word/media/rId82.png" ContentType="image/png"/>
  <Override PartName="/word/media/rId88.png" ContentType="image/png"/>
  <Override PartName="/word/media/rId97.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0"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8"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X.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8"/>
    <w:bookmarkStart w:id="19"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bookmarkEnd w:id="19"/>
    <w:bookmarkEnd w:id="20"/>
    <w:bookmarkStart w:id="62" w:name="methods"/>
    <w:p>
      <w:pPr>
        <w:pStyle w:val="Heading2"/>
      </w:pPr>
      <w:r>
        <w:t xml:space="preserve">2. Methods</w:t>
      </w:r>
    </w:p>
    <w:p>
      <w:pPr>
        <w:pStyle w:val="FirstParagraph"/>
      </w:pPr>
      <w:r>
        <w:t xml:space="preserve">Table tbl. 2 defines the notation used throughout this section.</w:t>
      </w:r>
    </w:p>
    <w:bookmarkStart w:id="21"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1"/>
    <w:p>
      <w:pPr>
        <w:pStyle w:val="BodyText"/>
      </w:pPr>
      <w:r>
        <w:t xml:space="preserve">For COVID-19 vaccination analyses, intervention count corresponds to the number of vaccine doses received; more generally, this can index any discrete exposure level.</w:t>
      </w:r>
    </w:p>
    <w:bookmarkStart w:id="23"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5"/>
        </w:numPr>
      </w:pPr>
      <w:r>
        <w:rPr>
          <w:b/>
          <w:bCs/>
        </w:rPr>
        <w:t xml:space="preserve">Level effects</w:t>
      </w:r>
      <w:r>
        <w:t xml:space="preserve">: multiplicative shifts in hazard that are constant over time.</w:t>
      </w:r>
    </w:p>
    <w:p>
      <w:pPr>
        <w:pStyle w:val="Compact"/>
        <w:numPr>
          <w:ilvl w:val="0"/>
          <w:numId w:val="1005"/>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2" w:name="Xa2c880308399c73fd197b9524b9e5e52fc09404"/>
    <w:p>
      <w:pPr>
        <w:pStyle w:val="Heading4"/>
      </w:pPr>
      <w:r>
        <w:t xml:space="preserve">2.1.1 Assumptions and identifiability conditions</w:t>
      </w:r>
    </w:p>
    <w:p>
      <w:pPr>
        <w:pStyle w:val="FirstParagraph"/>
      </w:pPr>
      <w:r>
        <w:t xml:space="preserve">KCOR relies on the following assumptions for valid inference:</w:t>
      </w:r>
    </w:p>
    <w:p>
      <w:pPr>
        <w:pStyle w:val="Compact"/>
        <w:numPr>
          <w:ilvl w:val="0"/>
          <w:numId w:val="1006"/>
        </w:numPr>
      </w:pPr>
      <w:r>
        <w:rPr>
          <w:b/>
          <w:bCs/>
        </w:rPr>
        <w:t xml:space="preserve">Fixed cohorts at enrollment</w:t>
      </w:r>
      <w:r>
        <w:t xml:space="preserve">: Individuals are assigned to cohorts at enrollment and do not switch; no censoring or as-treated switching is permitted in the primary estimand.</w:t>
      </w:r>
    </w:p>
    <w:p>
      <w:pPr>
        <w:pStyle w:val="Compact"/>
        <w:numPr>
          <w:ilvl w:val="0"/>
          <w:numId w:val="1006"/>
        </w:numPr>
      </w:pPr>
      <w:r>
        <w:rPr>
          <w:b/>
          <w:bCs/>
        </w:rPr>
        <w:t xml:space="preserve">Quiet-window validity</w:t>
      </w:r>
      <w:r>
        <w:t xml:space="preserve">: The fitting window must be free of external shocks (epidemics, policy changes) that would confound curvature estimation.</w:t>
      </w:r>
    </w:p>
    <w:p>
      <w:pPr>
        <w:pStyle w:val="Compact"/>
        <w:numPr>
          <w:ilvl w:val="0"/>
          <w:numId w:val="1006"/>
        </w:numPr>
      </w:pPr>
      <w:r>
        <w:rPr>
          <w:b/>
          <w:bCs/>
        </w:rPr>
        <w:t xml:space="preserve">Gamma-frailty as geometric approximation</w:t>
      </w:r>
      <w:r>
        <w:t xml:space="preserve">: Gamma frailty is used not as biological truth, but as a mathematically tractable model whose adequacy is empirically testable.</w:t>
      </w:r>
    </w:p>
    <w:p>
      <w:pPr>
        <w:pStyle w:val="Compact"/>
        <w:numPr>
          <w:ilvl w:val="0"/>
          <w:numId w:val="1006"/>
        </w:numPr>
      </w:pPr>
      <w:r>
        <w:rPr>
          <w:b/>
          <w:bCs/>
        </w:rPr>
        <w:t xml:space="preserve">Identifiability via curvature</w:t>
      </w:r>
      <w:r>
        <w:t xml:space="preserve">: Frailty parameters are identified from observable curvature in cumulative hazard; near-linear observed hazards yield weak identification.</w:t>
      </w:r>
    </w:p>
    <w:p>
      <w:pPr>
        <w:pStyle w:val="Compact"/>
        <w:numPr>
          <w:ilvl w:val="0"/>
          <w:numId w:val="1006"/>
        </w:numPr>
      </w:pPr>
      <w:r>
        <w:rPr>
          <w:b/>
          <w:bCs/>
        </w:rPr>
        <w:t xml:space="preserve">Baseline hazard regularity</w:t>
      </w:r>
      <w:r>
        <w:t xml:space="preserve">: The underlying baseline hazard is assumed slowly varying or approximately linear over the quiet window.</w:t>
      </w:r>
    </w:p>
    <w:p>
      <w:pPr>
        <w:pStyle w:val="Compact"/>
        <w:numPr>
          <w:ilvl w:val="0"/>
          <w:numId w:val="1006"/>
        </w:numPr>
      </w:pPr>
      <w:r>
        <w:rPr>
          <w:b/>
          <w:bCs/>
        </w:rPr>
        <w:t xml:space="preserve">Diagnostics required when assumptions fail</w:t>
      </w:r>
      <w:r>
        <w:t xml:space="preserve">: Poor fit, near-zero frailty variance, or non-linear residuals signal that assumptions may be violated and results should be interpreted cautiously.</w:t>
      </w:r>
    </w:p>
    <w:p>
      <w:pPr>
        <w:pStyle w:val="Compact"/>
        <w:numPr>
          <w:ilvl w:val="0"/>
          <w:numId w:val="1006"/>
        </w:numPr>
      </w:pPr>
      <w:r>
        <w:rPr>
          <w:b/>
          <w:bCs/>
        </w:rPr>
        <w:t xml:space="preserve">Sensitivity analyses recommended</w:t>
      </w:r>
      <w:r>
        <w:t xml:space="preserve">: Quiet-window boundaries should be varied to assess robustness of fitted parameters and KCOR trajectories.</w:t>
      </w:r>
    </w:p>
    <w:p>
      <w:pPr>
        <w:pStyle w:val="FirstParagraph"/>
      </w:pPr>
      <w:r>
        <w:rPr>
          <w:b/>
          <w:bCs/>
        </w:rPr>
        <w:t xml:space="preserve">Selection vs treatment is not generically identifiable from two cohort hazard curves without additional structure.</w:t>
      </w:r>
      <w:r>
        <w:t xml:space="preserve"> </w:t>
      </w:r>
      <w:r>
        <w:t xml:space="preserve">KCOR does not claim universal identifiability. Instead, it targets a specific, testable confounding structure: curvature induced by depletion under time-invariant multiplicative heterogeneity. When this structure adequately explains curvature in quiet periods (as indicated by fit diagnostics and post-normalization linearity), KCOR removes that component and compares cohorts in depletion-neutralized space. Residual differences may reflect treatment effects, residual selection not captured by the model, or time-varying external hazards; therefore, KCOR’s inferential workflow requires prespecified control tests and simulation-based operating-characteristic checks (Section 3), rather than assuming that normalization alone proves causality.</w:t>
      </w:r>
    </w:p>
    <w:bookmarkEnd w:id="22"/>
    <w:bookmarkEnd w:id="23"/>
    <w:bookmarkStart w:id="25"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7"/>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7"/>
        </w:numPr>
      </w:pPr>
      <w:r>
        <w:t xml:space="preserve">No censoring or cohort switching is permitted in the primary estimand.</w:t>
      </w:r>
    </w:p>
    <w:p>
      <w:pPr>
        <w:pStyle w:val="Compact"/>
        <w:numPr>
          <w:ilvl w:val="0"/>
          <w:numId w:val="1007"/>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4"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8"/>
        </w:numPr>
      </w:pPr>
      <w:r>
        <w:t xml:space="preserve">Record-level data</w:t>
      </w:r>
      <w:r>
        <w:br/>
      </w:r>
    </w:p>
    <w:p>
      <w:pPr>
        <w:pStyle w:val="Compact"/>
        <w:numPr>
          <w:ilvl w:val="0"/>
          <w:numId w:val="1008"/>
        </w:numPr>
      </w:pPr>
      <w:r>
        <w:t xml:space="preserve">Aggregated outcome summary data</w:t>
      </w:r>
      <w:r>
        <w:br/>
      </w:r>
    </w:p>
    <w:p>
      <w:pPr>
        <w:pStyle w:val="Compact"/>
        <w:numPr>
          <w:ilvl w:val="0"/>
          <w:numId w:val="1008"/>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4"/>
    <w:bookmarkEnd w:id="25"/>
    <w:bookmarkStart w:id="28"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6"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6"/>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7"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7"/>
    </w:p>
    <w:bookmarkEnd w:id="28"/>
    <w:bookmarkStart w:id="41" w:name="Xe033a348c5bd6b05b57c8d9f7299f5850ccd667"/>
    <w:p>
      <w:pPr>
        <w:pStyle w:val="Heading3"/>
      </w:pPr>
      <w:r>
        <w:t xml:space="preserve">2.4 Selection model: gamma frailty and the cumulative-hazard identity</w:t>
      </w:r>
    </w:p>
    <w:bookmarkStart w:id="30"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9"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9"/>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30"/>
    <w:bookmarkStart w:id="38"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1"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1"/>
    </w:p>
    <w:p>
      <w:pPr>
        <w:pStyle w:val="FirstParagraph"/>
      </w:pPr>
      <w:r>
        <w:t xml:space="preserve">Integrating over gamma frailty yields a closed-form relationship between the observed cohort cumulative hazard and the baseline cumulative hazard:</w:t>
      </w:r>
    </w:p>
    <w:p>
      <w:pPr>
        <w:pStyle w:val="BodyText"/>
      </w:pPr>
      <w:bookmarkStart w:id="32"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2"/>
    </w:p>
    <w:p>
      <w:pPr>
        <w:pStyle w:val="FirstParagraph"/>
      </w:pPr>
      <w:r>
        <w:t xml:space="preserve">This identity can be inverted exactly:</w:t>
      </w:r>
    </w:p>
    <w:p>
      <w:pPr>
        <w:pStyle w:val="BodyText"/>
      </w:pPr>
      <w:bookmarkStart w:id="33"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3"/>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37"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5" name="Picture"/>
            <a:graphic>
              <a:graphicData uri="http://schemas.openxmlformats.org/drawingml/2006/picture">
                <pic:pic>
                  <pic:nvPicPr>
                    <pic:cNvPr descr="figures/fig1_kcor_v6_schematic.png" id="36" name="Picture"/>
                    <pic:cNvPicPr>
                      <a:picLocks noChangeArrowheads="1" noChangeAspect="1"/>
                    </pic:cNvPicPr>
                  </pic:nvPicPr>
                  <pic:blipFill>
                    <a:blip r:embed="rId34"/>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7"/>
    <w:bookmarkEnd w:id="38"/>
    <w:bookmarkStart w:id="40"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9"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9"/>
    </w:p>
    <w:p>
      <w:pPr>
        <w:pStyle w:val="FirstParagraph"/>
      </w:pPr>
      <w:r>
        <w:t xml:space="preserve">This choice minimizes degrees of freedom and forces curvature during quiet periods to be explained by selection (frailty) rather than by an explicit time-varying baseline.</w:t>
      </w:r>
    </w:p>
    <w:bookmarkEnd w:id="40"/>
    <w:bookmarkEnd w:id="41"/>
    <w:bookmarkStart w:id="46"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2"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2"/>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3"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3"/>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5"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9"/>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9"/>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9"/>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4"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4"/>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0"/>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0"/>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5"/>
    <w:bookmarkEnd w:id="46"/>
    <w:bookmarkStart w:id="5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7"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7"/>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8"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8"/>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bookmarkStart w:id="49"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1"/>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1"/>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1"/>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1"/>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49"/>
    <w:bookmarkEnd w:id="50"/>
    <w:bookmarkStart w:id="5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1"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1"/>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2"/>
    <w:bookmarkStart w:id="54"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3"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3"/>
    </w:p>
    <w:p>
      <w:pPr>
        <w:pStyle w:val="FirstParagraph"/>
      </w:pPr>
      <w:r>
        <w:t xml:space="preserve">This is a cumulative comparison in hazard space after removing cohort-specific selection-induced depletion dynamics estimated during quiet periods.</w:t>
      </w:r>
    </w:p>
    <w:bookmarkEnd w:id="54"/>
    <w:bookmarkStart w:id="55"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2"/>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2"/>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5"/>
    <w:bookmarkStart w:id="61" w:name="Xf552aaad3b83b889e2d08c64d65c17176bae771"/>
    <w:p>
      <w:pPr>
        <w:pStyle w:val="Heading3"/>
      </w:pPr>
      <w:r>
        <w:t xml:space="preserve">2.10 Algorithm summary and reproducibility checklist</w:t>
      </w:r>
    </w:p>
    <w:p>
      <w:pPr>
        <w:pStyle w:val="FirstParagraph"/>
      </w:pPr>
      <w:r>
        <w:t xml:space="preserve">Table tbl. 3 summarizes the complete KCOR v6 pipeline.</w:t>
      </w:r>
    </w:p>
    <w:bookmarkStart w:id="56"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6"/>
    <w:p>
      <w:r>
        <w:pict>
          <v:rect style="width:0;height:1.5pt" o:hralign="center" o:hrstd="t" o:hr="t"/>
        </w:pict>
      </w:r>
    </w:p>
    <w:bookmarkStart w:id="60"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58" name="Picture"/>
            <a:graphic>
              <a:graphicData uri="http://schemas.openxmlformats.org/drawingml/2006/picture">
                <pic:pic>
                  <pic:nvPicPr>
                    <pic:cNvPr descr="figures/fig_kcor_workflow.png" id="59" name="Picture"/>
                    <pic:cNvPicPr>
                      <a:picLocks noChangeArrowheads="1" noChangeAspect="1"/>
                    </pic:cNvPicPr>
                  </pic:nvPicPr>
                  <pic:blipFill>
                    <a:blip r:embed="rId57"/>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0"/>
    <w:bookmarkEnd w:id="61"/>
    <w:bookmarkEnd w:id="62"/>
    <w:bookmarkStart w:id="10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3"/>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3"/>
        </w:numPr>
      </w:pPr>
      <w:r>
        <w:rPr>
          <w:b/>
          <w:bCs/>
        </w:rPr>
        <w:t xml:space="preserve">Positive controls (detect injected effects):</w:t>
      </w:r>
      <w:r>
        <w:t xml:space="preserve"> </w:t>
      </w:r>
      <w:r>
        <w:t xml:space="preserve">when known harm/benefit is injected into otherwise-null data, KCOR reliably detects it.</w:t>
      </w:r>
    </w:p>
    <w:bookmarkStart w:id="63"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3"/>
    <w:bookmarkStart w:id="80" w:name="X250d2743dd947cd04209f9dc9cf02b545517230"/>
    <w:p>
      <w:pPr>
        <w:pStyle w:val="Heading3"/>
      </w:pPr>
      <w:r>
        <w:t xml:space="preserve">3.1 Negative controls: null under selection-induced curvature</w:t>
      </w:r>
    </w:p>
    <w:bookmarkStart w:id="6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4"/>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4"/>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4"/>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5"/>
        </w:numPr>
      </w:pPr>
      <w:r>
        <w:t xml:space="preserve">Time unit: weeks.</w:t>
      </w:r>
    </w:p>
    <w:p>
      <w:pPr>
        <w:pStyle w:val="Compact"/>
        <w:numPr>
          <w:ilvl w:val="0"/>
          <w:numId w:val="1015"/>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5"/>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5"/>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67"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5" name="Picture"/>
            <a:graphic>
              <a:graphicData uri="http://schemas.openxmlformats.org/drawingml/2006/picture">
                <pic:pic>
                  <pic:nvPicPr>
                    <pic:cNvPr descr="figures/fig_neg_control_synthetic.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67"/>
    <w:bookmarkEnd w:id="68"/>
    <w:bookmarkEnd w:id="69"/>
    <w:bookmarkStart w:id="7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3"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1" name="Picture"/>
            <a:graphic>
              <a:graphicData uri="http://schemas.openxmlformats.org/drawingml/2006/picture">
                <pic:pic>
                  <pic:nvPicPr>
                    <pic:cNvPr descr="figures/fig2_neg_control_10yr_age_diff.png" id="72" name="Picture"/>
                    <pic:cNvPicPr>
                      <a:picLocks noChangeArrowheads="1" noChangeAspect="1"/>
                    </pic:cNvPicPr>
                  </pic:nvPicPr>
                  <pic:blipFill>
                    <a:blip r:embed="rId7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3"/>
    <w:bookmarkStart w:id="77"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5" name="Picture"/>
            <a:graphic>
              <a:graphicData uri="http://schemas.openxmlformats.org/drawingml/2006/picture">
                <pic:pic>
                  <pic:nvPicPr>
                    <pic:cNvPr descr="figures/fig3_neg_control_20yr_age_diff.png" id="76" name="Picture"/>
                    <pic:cNvPicPr>
                      <a:picLocks noChangeArrowheads="1" noChangeAspect="1"/>
                    </pic:cNvPicPr>
                  </pic:nvPicPr>
                  <pic:blipFill>
                    <a:blip r:embed="rId7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77"/>
    <w:p>
      <w:pPr>
        <w:pStyle w:val="BodyText"/>
      </w:pPr>
      <w:r>
        <w:t xml:space="preserve">Table tbl. 4 provides numeric summaries.</w:t>
      </w:r>
    </w:p>
    <w:bookmarkStart w:id="78"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8"/>
    <w:bookmarkEnd w:id="79"/>
    <w:bookmarkEnd w:id="80"/>
    <w:bookmarkStart w:id="87"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5 confirm this behavior.</w:t>
      </w:r>
    </w:p>
    <w:bookmarkStart w:id="85"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3" name="Picture"/>
            <a:graphic>
              <a:graphicData uri="http://schemas.openxmlformats.org/drawingml/2006/picture">
                <pic:pic>
                  <pic:nvPicPr>
                    <pic:cNvPr descr="figures/fig_pos_control_injected.png" id="84" name="Picture"/>
                    <pic:cNvPicPr>
                      <a:picLocks noChangeArrowheads="1" noChangeAspect="1"/>
                    </pic:cNvPicPr>
                  </pic:nvPicPr>
                  <pic:blipFill>
                    <a:blip r:embed="rId8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5"/>
    <w:bookmarkStart w:id="8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86"/>
    <w:bookmarkEnd w:id="87"/>
    <w:bookmarkStart w:id="9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6"/>
        </w:numPr>
      </w:pPr>
      <w:r>
        <w:t xml:space="preserve">Quiet-window selection (calendar ISO-week bounds)</w:t>
      </w:r>
    </w:p>
    <w:p>
      <w:pPr>
        <w:pStyle w:val="Compact"/>
        <w:numPr>
          <w:ilvl w:val="0"/>
          <w:numId w:val="1016"/>
        </w:numPr>
      </w:pPr>
      <w:r>
        <w:t xml:space="preserve">Stabilization skip (early-bin handling)</w:t>
      </w:r>
    </w:p>
    <w:p>
      <w:pPr>
        <w:pStyle w:val="Compact"/>
        <w:numPr>
          <w:ilvl w:val="0"/>
          <w:numId w:val="1016"/>
        </w:numPr>
      </w:pPr>
      <w:r>
        <w:t xml:space="preserve">Time-binning resolution</w:t>
      </w:r>
    </w:p>
    <w:p>
      <w:pPr>
        <w:pStyle w:val="Compact"/>
        <w:numPr>
          <w:ilvl w:val="0"/>
          <w:numId w:val="1016"/>
        </w:numPr>
      </w:pPr>
      <w:r>
        <w:t xml:space="preserve">Age stratification and/or stratified analyses where appropriate</w:t>
      </w:r>
    </w:p>
    <w:p>
      <w:pPr>
        <w:pStyle w:val="Compact"/>
        <w:numPr>
          <w:ilvl w:val="0"/>
          <w:numId w:val="1016"/>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1"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9" name="Picture"/>
            <a:graphic>
              <a:graphicData uri="http://schemas.openxmlformats.org/drawingml/2006/picture">
                <pic:pic>
                  <pic:nvPicPr>
                    <pic:cNvPr descr="figures/fig_sensitivity_overview.png" id="90" name="Picture"/>
                    <pic:cNvPicPr>
                      <a:picLocks noChangeArrowheads="1" noChangeAspect="1"/>
                    </pic:cNvPicPr>
                  </pic:nvPicPr>
                  <pic:blipFill>
                    <a:blip r:embed="rId8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1"/>
    <w:p>
      <w:pPr>
        <w:pStyle w:val="BodyText"/>
      </w:pPr>
      <w:r>
        <w:t xml:space="preserve">Across all tested parameter ranges, KCOR values remained within approximately ±5% of unity, indicating stability under reasonable variations in fitting choices.</w:t>
      </w:r>
    </w:p>
    <w:bookmarkEnd w:id="92"/>
    <w:bookmarkStart w:id="101"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96"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4" name="Picture"/>
            <a:graphic>
              <a:graphicData uri="http://schemas.openxmlformats.org/drawingml/2006/picture">
                <pic:pic>
                  <pic:nvPicPr>
                    <pic:cNvPr descr="figures/fig_sim_grid_overview.png" id="95" name="Picture"/>
                    <pic:cNvPicPr>
                      <a:picLocks noChangeArrowheads="1" noChangeAspect="1"/>
                    </pic:cNvPicPr>
                  </pic:nvPicPr>
                  <pic:blipFill>
                    <a:blip r:embed="rId93"/>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96"/>
    <w:bookmarkStart w:id="100"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98" name="Picture"/>
            <a:graphic>
              <a:graphicData uri="http://schemas.openxmlformats.org/drawingml/2006/picture">
                <pic:pic>
                  <pic:nvPicPr>
                    <pic:cNvPr descr="figures/fig_sim_grid_diagnostics.png" id="99" name="Picture"/>
                    <pic:cNvPicPr>
                      <a:picLocks noChangeArrowheads="1" noChangeAspect="1"/>
                    </pic:cNvPicPr>
                  </pic:nvPicPr>
                  <pic:blipFill>
                    <a:blip r:embed="rId97"/>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00"/>
    <w:bookmarkEnd w:id="101"/>
    <w:bookmarkStart w:id="10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02"/>
    <w:bookmarkStart w:id="10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03"/>
    <w:bookmarkEnd w:id="104"/>
    <w:bookmarkStart w:id="108"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05"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Interpreting normalized hazards without this comparison step discards the central inferential content of the method.</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7"/>
        </w:numPr>
      </w:pPr>
      <w:r>
        <w:t xml:space="preserve">selection-induced depletion dynamics can be estimated during quiet periods using a gamma-frailty mixture model, and</w:t>
      </w:r>
    </w:p>
    <w:p>
      <w:pPr>
        <w:pStyle w:val="Compact"/>
        <w:numPr>
          <w:ilvl w:val="0"/>
          <w:numId w:val="101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bookmarkEnd w:id="105"/>
    <w:bookmarkStart w:id="10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6"/>
    <w:bookmarkStart w:id="10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8"/>
        </w:numPr>
      </w:pPr>
      <w:r>
        <w:t xml:space="preserve">Enrollment definition and justification</w:t>
      </w:r>
    </w:p>
    <w:p>
      <w:pPr>
        <w:pStyle w:val="Compact"/>
        <w:numPr>
          <w:ilvl w:val="0"/>
          <w:numId w:val="1018"/>
        </w:numPr>
      </w:pPr>
      <w:r>
        <w:t xml:space="preserve">Risk set definitions and event-time binning</w:t>
      </w:r>
    </w:p>
    <w:p>
      <w:pPr>
        <w:pStyle w:val="Compact"/>
        <w:numPr>
          <w:ilvl w:val="0"/>
          <w:numId w:val="1018"/>
        </w:numPr>
      </w:pPr>
      <w:r>
        <w:t xml:space="preserve">Quiet-window definition and justification</w:t>
      </w:r>
    </w:p>
    <w:p>
      <w:pPr>
        <w:pStyle w:val="Compact"/>
        <w:numPr>
          <w:ilvl w:val="0"/>
          <w:numId w:val="1018"/>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8"/>
        </w:numPr>
      </w:pPr>
      <w:r>
        <w:t xml:space="preserve">Skip/stabilization rule and robustness to nearby values</w:t>
      </w:r>
    </w:p>
    <w:p>
      <w:pPr>
        <w:pStyle w:val="Compact"/>
        <w:numPr>
          <w:ilvl w:val="0"/>
          <w:numId w:val="1018"/>
        </w:numPr>
      </w:pPr>
      <w:r>
        <w:t xml:space="preserve">Predefined negative/positive controls used for validation</w:t>
      </w:r>
    </w:p>
    <w:p>
      <w:pPr>
        <w:pStyle w:val="Compact"/>
        <w:numPr>
          <w:ilvl w:val="0"/>
          <w:numId w:val="101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07"/>
    <w:bookmarkEnd w:id="108"/>
    <w:bookmarkStart w:id="112" w:name="limitations"/>
    <w:p>
      <w:pPr>
        <w:pStyle w:val="Heading2"/>
      </w:pPr>
      <w:r>
        <w:t xml:space="preserve">5. Limitations</w:t>
      </w:r>
    </w:p>
    <w:p>
      <w:pPr>
        <w:pStyle w:val="Compact"/>
        <w:numPr>
          <w:ilvl w:val="0"/>
          <w:numId w:val="101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9"/>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9"/>
        </w:numPr>
      </w:pPr>
      <w:r>
        <w:rPr>
          <w:b/>
          <w:bCs/>
        </w:rPr>
        <w:t xml:space="preserve">Sparse events</w:t>
      </w:r>
      <w:r>
        <w:t xml:space="preserve">: When event counts are small, hazard estimation and parameter fitting can be unstable.</w:t>
      </w:r>
    </w:p>
    <w:p>
      <w:pPr>
        <w:pStyle w:val="Compact"/>
        <w:numPr>
          <w:ilvl w:val="0"/>
          <w:numId w:val="101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0"/>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0"/>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1"/>
        </w:numPr>
      </w:pPr>
      <w:r>
        <w:rPr>
          <w:b/>
          <w:bCs/>
        </w:rPr>
        <w:t xml:space="preserve">Sensitivity analyses</w:t>
      </w:r>
      <w:r>
        <w:t xml:space="preserve"> </w:t>
      </w:r>
      <w:r>
        <w:t xml:space="preserve">over plausible quiet windows and skip-weeks values.</w:t>
      </w:r>
    </w:p>
    <w:p>
      <w:pPr>
        <w:pStyle w:val="Compact"/>
        <w:numPr>
          <w:ilvl w:val="0"/>
          <w:numId w:val="1021"/>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9"/>
    <w:bookmarkStart w:id="11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bookmarkEnd w:id="110"/>
    <w:bookmarkStart w:id="111"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11"/>
    <w:bookmarkEnd w:id="112"/>
    <w:bookmarkStart w:id="11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13"/>
    <w:bookmarkStart w:id="124" w:name="declarations-journal-requirements"/>
    <w:p>
      <w:pPr>
        <w:pStyle w:val="Heading2"/>
      </w:pPr>
      <w:r>
        <w:t xml:space="preserve">Declarations (journal requirements)</w:t>
      </w:r>
    </w:p>
    <w:bookmarkStart w:id="114"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14"/>
    <w:bookmarkStart w:id="115" w:name="consent-for-publication"/>
    <w:p>
      <w:pPr>
        <w:pStyle w:val="Heading3"/>
      </w:pPr>
      <w:r>
        <w:t xml:space="preserve">Consent for publication</w:t>
      </w:r>
    </w:p>
    <w:p>
      <w:pPr>
        <w:pStyle w:val="FirstParagraph"/>
      </w:pPr>
      <w:r>
        <w:t xml:space="preserve">Not applicable.</w:t>
      </w:r>
    </w:p>
    <w:bookmarkEnd w:id="115"/>
    <w:bookmarkStart w:id="116" w:name="data-availability"/>
    <w:p>
      <w:pPr>
        <w:pStyle w:val="Heading3"/>
      </w:pPr>
      <w:r>
        <w:t xml:space="preserve">Data availability</w:t>
      </w:r>
    </w:p>
    <w:p>
      <w:pPr>
        <w:pStyle w:val="Compact"/>
        <w:numPr>
          <w:ilvl w:val="0"/>
          <w:numId w:val="102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2"/>
        </w:numPr>
      </w:pPr>
      <w:r>
        <w:t xml:space="preserve">The reference implementation includes example datasets in KCOR_CMR format for reproducibility.</w:t>
      </w:r>
    </w:p>
    <w:p>
      <w:pPr>
        <w:pStyle w:val="Compact"/>
        <w:numPr>
          <w:ilvl w:val="0"/>
          <w:numId w:val="102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16"/>
    <w:bookmarkStart w:id="119" w:name="code-availability"/>
    <w:p>
      <w:pPr>
        <w:pStyle w:val="Heading3"/>
      </w:pPr>
      <w:r>
        <w:t xml:space="preserve">Code availability</w:t>
      </w:r>
    </w:p>
    <w:p>
      <w:pPr>
        <w:pStyle w:val="Compact"/>
        <w:numPr>
          <w:ilvl w:val="0"/>
          <w:numId w:val="1023"/>
        </w:numPr>
      </w:pPr>
      <w:r>
        <w:t xml:space="preserve">The KCOR v6 reference implementation and complete validation suite are available in the project repository.</w:t>
      </w:r>
    </w:p>
    <w:p>
      <w:pPr>
        <w:pStyle w:val="Compact"/>
        <w:numPr>
          <w:ilvl w:val="0"/>
          <w:numId w:val="1023"/>
        </w:numPr>
      </w:pPr>
      <w:r>
        <w:t xml:space="preserve">Repository URL:</w:t>
      </w:r>
      <w:r>
        <w:t xml:space="preserve"> </w:t>
      </w:r>
      <w:hyperlink r:id="rId117">
        <w:r>
          <w:rPr>
            <w:rStyle w:val="Hyperlink"/>
          </w:rPr>
          <w:t xml:space="preserve">https://github.com/skirsch/KCOR</w:t>
        </w:r>
      </w:hyperlink>
    </w:p>
    <w:p>
      <w:pPr>
        <w:pStyle w:val="Compact"/>
        <w:numPr>
          <w:ilvl w:val="0"/>
          <w:numId w:val="1023"/>
        </w:numPr>
      </w:pPr>
      <w:r>
        <w:t xml:space="preserve">Zenodo DOI:</w:t>
      </w:r>
      <w:r>
        <w:t xml:space="preserve"> </w:t>
      </w:r>
      <w:hyperlink r:id="rId118">
        <w:r>
          <w:rPr>
            <w:rStyle w:val="Hyperlink"/>
          </w:rPr>
          <w:t xml:space="preserve">10.5281/zenodo.18050329</w:t>
        </w:r>
      </w:hyperlink>
    </w:p>
    <w:bookmarkEnd w:id="119"/>
    <w:bookmarkStart w:id="120" w:name="competing-interests"/>
    <w:p>
      <w:pPr>
        <w:pStyle w:val="Heading3"/>
      </w:pPr>
      <w:r>
        <w:t xml:space="preserve">Competing interests</w:t>
      </w:r>
    </w:p>
    <w:p>
      <w:pPr>
        <w:pStyle w:val="FirstParagraph"/>
      </w:pPr>
      <w:r>
        <w:t xml:space="preserve">The author is a board member of the Vaccine Safety Research Foundation.</w:t>
      </w:r>
    </w:p>
    <w:bookmarkEnd w:id="120"/>
    <w:bookmarkStart w:id="121" w:name="funding"/>
    <w:p>
      <w:pPr>
        <w:pStyle w:val="Heading3"/>
      </w:pPr>
      <w:r>
        <w:t xml:space="preserve">Funding</w:t>
      </w:r>
    </w:p>
    <w:p>
      <w:pPr>
        <w:pStyle w:val="FirstParagraph"/>
      </w:pPr>
      <w:r>
        <w:t xml:space="preserve">This research received no external funding.</w:t>
      </w:r>
    </w:p>
    <w:bookmarkEnd w:id="121"/>
    <w:bookmarkStart w:id="12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22"/>
    <w:bookmarkStart w:id="123" w:name="acknowledgements"/>
    <w:p>
      <w:pPr>
        <w:pStyle w:val="Heading3"/>
      </w:pPr>
      <w:r>
        <w:t xml:space="preserve">Acknowledgements</w:t>
      </w:r>
    </w:p>
    <w:p>
      <w:pPr>
        <w:pStyle w:val="FirstParagraph"/>
      </w:pPr>
      <w:r>
        <w:t xml:space="preserve">The author thanks MIT Professor Retsef Levi and HART group chair Dr. Clare Craig for helpful discussions and methodological feedback during the development of this work. All errors remain the author’s responsibility.</w:t>
      </w:r>
    </w:p>
    <w:p>
      <w:r>
        <w:pict>
          <v:rect style="width:0;height:1.5pt" o:hralign="center" o:hrstd="t" o:hr="t"/>
        </w:pict>
      </w:r>
    </w:p>
    <w:bookmarkEnd w:id="123"/>
    <w:bookmarkEnd w:id="124"/>
    <w:bookmarkStart w:id="14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29" w:name="appendix-a.-mathematical-derivations"/>
    <w:p>
      <w:pPr>
        <w:pStyle w:val="Heading3"/>
      </w:pPr>
      <w:r>
        <w:t xml:space="preserve">Appendix A. Mathematical derivations</w:t>
      </w:r>
    </w:p>
    <w:bookmarkStart w:id="125"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25"/>
    <w:bookmarkStart w:id="12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26"/>
    <w:bookmarkStart w:id="127"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27"/>
    <w:bookmarkStart w:id="128"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28"/>
    <w:bookmarkEnd w:id="129"/>
    <w:bookmarkStart w:id="135" w:name="appendix-b.-control-test-specifications"/>
    <w:p>
      <w:pPr>
        <w:pStyle w:val="Heading3"/>
      </w:pPr>
      <w:r>
        <w:t xml:space="preserve">Appendix B. Control-test specifications</w:t>
      </w:r>
    </w:p>
    <w:bookmarkStart w:id="130"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4"/>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4"/>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4"/>
        </w:numPr>
      </w:pPr>
      <w:r>
        <w:rPr>
          <w:b/>
          <w:bCs/>
        </w:rPr>
        <w:t xml:space="preserve">Cohort A weights</w:t>
      </w:r>
      <w:r>
        <w:t xml:space="preserve">: Equal weights across 5 frailty groups (0.2 each)</w:t>
      </w:r>
    </w:p>
    <w:p>
      <w:pPr>
        <w:pStyle w:val="Compact"/>
        <w:numPr>
          <w:ilvl w:val="0"/>
          <w:numId w:val="1024"/>
        </w:numPr>
      </w:pPr>
      <w:r>
        <w:rPr>
          <w:b/>
          <w:bCs/>
        </w:rPr>
        <w:t xml:space="preserve">Cohort B weights</w:t>
      </w:r>
      <w:r>
        <w:t xml:space="preserve">: Shifted weights [0.30, 0.20, 0.20, 0.20, 0.10]</w:t>
      </w:r>
    </w:p>
    <w:p>
      <w:pPr>
        <w:pStyle w:val="Compact"/>
        <w:numPr>
          <w:ilvl w:val="0"/>
          <w:numId w:val="1024"/>
        </w:numPr>
      </w:pPr>
      <w:r>
        <w:rPr>
          <w:b/>
          <w:bCs/>
        </w:rPr>
        <w:t xml:space="preserve">Frailty values</w:t>
      </w:r>
      <w:r>
        <w:t xml:space="preserve">: [1, 2, 4, 6, 10] (relative frailty multipliers)</w:t>
      </w:r>
    </w:p>
    <w:p>
      <w:pPr>
        <w:pStyle w:val="Compact"/>
        <w:numPr>
          <w:ilvl w:val="0"/>
          <w:numId w:val="1024"/>
        </w:numPr>
      </w:pPr>
      <w:r>
        <w:rPr>
          <w:b/>
          <w:bCs/>
        </w:rPr>
        <w:t xml:space="preserve">Base weekly probability</w:t>
      </w:r>
      <w:r>
        <w:t xml:space="preserve">: 0.01</w:t>
      </w:r>
    </w:p>
    <w:p>
      <w:pPr>
        <w:pStyle w:val="Compact"/>
        <w:numPr>
          <w:ilvl w:val="0"/>
          <w:numId w:val="1024"/>
        </w:numPr>
      </w:pPr>
      <w:r>
        <w:rPr>
          <w:b/>
          <w:bCs/>
        </w:rPr>
        <w:t xml:space="preserve">Weekly log-slope</w:t>
      </w:r>
      <w:r>
        <w:t xml:space="preserve">: 0.0 (constant baseline during quiet periods)</w:t>
      </w:r>
    </w:p>
    <w:p>
      <w:pPr>
        <w:pStyle w:val="Compact"/>
        <w:numPr>
          <w:ilvl w:val="0"/>
          <w:numId w:val="1024"/>
        </w:numPr>
      </w:pPr>
      <w:r>
        <w:rPr>
          <w:b/>
          <w:bCs/>
        </w:rPr>
        <w:t xml:space="preserve">Skip weeks</w:t>
      </w:r>
      <w:r>
        <w:t xml:space="preserve">: 2</w:t>
      </w:r>
    </w:p>
    <w:p>
      <w:pPr>
        <w:pStyle w:val="Compact"/>
        <w:numPr>
          <w:ilvl w:val="0"/>
          <w:numId w:val="1024"/>
        </w:numPr>
      </w:pPr>
      <w:r>
        <w:rPr>
          <w:b/>
          <w:bCs/>
        </w:rPr>
        <w:t xml:space="preserve">Normalization weeks</w:t>
      </w:r>
      <w:r>
        <w:t xml:space="preserve">: 4</w:t>
      </w:r>
    </w:p>
    <w:p>
      <w:pPr>
        <w:pStyle w:val="Compact"/>
        <w:numPr>
          <w:ilvl w:val="0"/>
          <w:numId w:val="1024"/>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30"/>
    <w:bookmarkStart w:id="131"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5"/>
        </w:numPr>
      </w:pPr>
      <w:r>
        <w:rPr>
          <w:b/>
          <w:bCs/>
        </w:rPr>
        <w:t xml:space="preserve">Data source</w:t>
      </w:r>
      <w:r>
        <w:t xml:space="preserve">: Czech Republic administrative mortality and vaccination data, aggregated into KCOR_CMR format</w:t>
      </w:r>
    </w:p>
    <w:p>
      <w:pPr>
        <w:pStyle w:val="Compact"/>
        <w:numPr>
          <w:ilvl w:val="0"/>
          <w:numId w:val="1025"/>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5"/>
        </w:numPr>
      </w:pPr>
      <w:r>
        <w:rPr>
          <w:b/>
          <w:bCs/>
        </w:rPr>
        <w:t xml:space="preserve">Construction</w:t>
      </w:r>
      <w:r>
        <w:t xml:space="preserve">: Age strata remapped to pseudo-doses within same vaccination category</w:t>
      </w:r>
    </w:p>
    <w:p>
      <w:pPr>
        <w:pStyle w:val="Compact"/>
        <w:numPr>
          <w:ilvl w:val="0"/>
          <w:numId w:val="1025"/>
        </w:numPr>
      </w:pPr>
      <w:r>
        <w:rPr>
          <w:b/>
          <w:bCs/>
        </w:rPr>
        <w:t xml:space="preserve">Age mapping</w:t>
      </w:r>
      <w:r>
        <w:t xml:space="preserve">:</w:t>
      </w:r>
    </w:p>
    <w:p>
      <w:pPr>
        <w:pStyle w:val="Compact"/>
        <w:numPr>
          <w:ilvl w:val="1"/>
          <w:numId w:val="1026"/>
        </w:numPr>
      </w:pPr>
      <w:r>
        <w:t xml:space="preserve">Dose 0 → YoB {1930, 1935}</w:t>
      </w:r>
    </w:p>
    <w:p>
      <w:pPr>
        <w:pStyle w:val="Compact"/>
        <w:numPr>
          <w:ilvl w:val="1"/>
          <w:numId w:val="1026"/>
        </w:numPr>
      </w:pPr>
      <w:r>
        <w:t xml:space="preserve">Dose 1 → YoB {1940, 1945}</w:t>
      </w:r>
    </w:p>
    <w:p>
      <w:pPr>
        <w:pStyle w:val="Compact"/>
        <w:numPr>
          <w:ilvl w:val="1"/>
          <w:numId w:val="1026"/>
        </w:numPr>
      </w:pPr>
      <w:r>
        <w:t xml:space="preserve">Dose 2 → YoB {1950, 1955}</w:t>
      </w:r>
    </w:p>
    <w:p>
      <w:pPr>
        <w:pStyle w:val="Compact"/>
        <w:numPr>
          <w:ilvl w:val="0"/>
          <w:numId w:val="1025"/>
        </w:numPr>
      </w:pPr>
      <w:r>
        <w:rPr>
          <w:b/>
          <w:bCs/>
        </w:rPr>
        <w:t xml:space="preserve">Output YoB</w:t>
      </w:r>
      <w:r>
        <w:t xml:space="preserve">: Fixed at 1950 (unvax cohort) or 1940 (vax cohort)</w:t>
      </w:r>
    </w:p>
    <w:p>
      <w:pPr>
        <w:pStyle w:val="Compact"/>
        <w:numPr>
          <w:ilvl w:val="0"/>
          <w:numId w:val="1025"/>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31"/>
    <w:bookmarkStart w:id="132" w:name="b.3-positive-control-injected-effect"/>
    <w:p>
      <w:pPr>
        <w:pStyle w:val="Heading4"/>
      </w:pPr>
      <w:r>
        <w:t xml:space="preserve">B.3 Positive control: injected effect</w:t>
      </w:r>
    </w:p>
    <w:p>
      <w:pPr>
        <w:pStyle w:val="FirstParagraph"/>
      </w:pPr>
      <w:r>
        <w:t xml:space="preserve">The positive control (Figure fig. 6 and Table tbl. 5) is generated using:</w:t>
      </w:r>
    </w:p>
    <w:p>
      <w:pPr>
        <w:pStyle w:val="Compact"/>
        <w:numPr>
          <w:ilvl w:val="0"/>
          <w:numId w:val="1027"/>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7"/>
        </w:numPr>
      </w:pPr>
      <w:r>
        <w:rPr>
          <w:b/>
          <w:bCs/>
        </w:rPr>
        <w:t xml:space="preserve">Initial cohort size</w:t>
      </w:r>
      <w:r>
        <w:t xml:space="preserve">: 100,000 per cohort</w:t>
      </w:r>
    </w:p>
    <w:p>
      <w:pPr>
        <w:pStyle w:val="Compact"/>
        <w:numPr>
          <w:ilvl w:val="0"/>
          <w:numId w:val="1027"/>
        </w:numPr>
      </w:pPr>
      <w:r>
        <w:rPr>
          <w:b/>
          <w:bCs/>
        </w:rPr>
        <w:t xml:space="preserve">Baseline hazard</w:t>
      </w:r>
      <w:r>
        <w:t xml:space="preserve">: 0.002 per week</w:t>
      </w:r>
    </w:p>
    <w:p>
      <w:pPr>
        <w:pStyle w:val="Compact"/>
        <w:numPr>
          <w:ilvl w:val="0"/>
          <w:numId w:val="1027"/>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7"/>
        </w:numPr>
      </w:pPr>
      <w:r>
        <w:rPr>
          <w:b/>
          <w:bCs/>
        </w:rPr>
        <w:t xml:space="preserve">Effect window</w:t>
      </w:r>
      <w:r>
        <w:t xml:space="preserve">: weeks 20–80</w:t>
      </w:r>
    </w:p>
    <w:p>
      <w:pPr>
        <w:pStyle w:val="Compact"/>
        <w:numPr>
          <w:ilvl w:val="0"/>
          <w:numId w:val="1027"/>
        </w:numPr>
      </w:pPr>
      <w:r>
        <w:rPr>
          <w:b/>
          <w:bCs/>
        </w:rPr>
        <w:t xml:space="preserve">Hazard multipliers</w:t>
      </w:r>
      <w:r>
        <w:t xml:space="preserve">:</w:t>
      </w:r>
    </w:p>
    <w:p>
      <w:pPr>
        <w:pStyle w:val="Compact"/>
        <w:numPr>
          <w:ilvl w:val="1"/>
          <w:numId w:val="1028"/>
        </w:numPr>
      </w:pPr>
      <w:r>
        <w:t xml:space="preserve">Harm scenario:</w:t>
      </w:r>
      <w:r>
        <w:t xml:space="preserve"> </w:t>
      </w:r>
      <m:oMath>
        <m:r>
          <m:t>r</m:t>
        </m:r>
        <m:r>
          <m:rPr>
            <m:sty m:val="p"/>
          </m:rPr>
          <m:t>=</m:t>
        </m:r>
        <m:r>
          <m:t>1.2</m:t>
        </m:r>
      </m:oMath>
    </w:p>
    <w:p>
      <w:pPr>
        <w:pStyle w:val="Compact"/>
        <w:numPr>
          <w:ilvl w:val="1"/>
          <w:numId w:val="1028"/>
        </w:numPr>
      </w:pPr>
      <w:r>
        <w:t xml:space="preserve">Benefit scenario:</w:t>
      </w:r>
      <w:r>
        <w:t xml:space="preserve"> </w:t>
      </w:r>
      <m:oMath>
        <m:r>
          <m:t>r</m:t>
        </m:r>
        <m:r>
          <m:rPr>
            <m:sty m:val="p"/>
          </m:rPr>
          <m:t>=</m:t>
        </m:r>
        <m:r>
          <m:t>0.8</m:t>
        </m:r>
      </m:oMath>
    </w:p>
    <w:p>
      <w:pPr>
        <w:pStyle w:val="Compact"/>
        <w:numPr>
          <w:ilvl w:val="0"/>
          <w:numId w:val="1027"/>
        </w:numPr>
      </w:pPr>
      <w:r>
        <w:rPr>
          <w:b/>
          <w:bCs/>
        </w:rPr>
        <w:t xml:space="preserve">Random seed</w:t>
      </w:r>
      <w:r>
        <w:t xml:space="preserve">: 42</w:t>
      </w:r>
    </w:p>
    <w:p>
      <w:pPr>
        <w:pStyle w:val="Compact"/>
        <w:numPr>
          <w:ilvl w:val="0"/>
          <w:numId w:val="1027"/>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32"/>
    <w:bookmarkStart w:id="133"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29"/>
        </w:numPr>
      </w:pPr>
      <w:r>
        <w:rPr>
          <w:b/>
          <w:bCs/>
        </w:rPr>
        <w:t xml:space="preserve">Baseline weeks</w:t>
      </w:r>
      <w:r>
        <w:t xml:space="preserve">: [2, 3, 4, 5, 6, 7, 8]</w:t>
      </w:r>
    </w:p>
    <w:p>
      <w:pPr>
        <w:pStyle w:val="Compact"/>
        <w:numPr>
          <w:ilvl w:val="0"/>
          <w:numId w:val="1029"/>
        </w:numPr>
      </w:pPr>
      <w:r>
        <w:rPr>
          <w:b/>
          <w:bCs/>
        </w:rPr>
        <w:t xml:space="preserve">Quiet-start offsets</w:t>
      </w:r>
      <w:r>
        <w:t xml:space="preserve">: [-12, -8, -4, 0, +4, +8, +12] weeks from 2022-24</w:t>
      </w:r>
    </w:p>
    <w:p>
      <w:pPr>
        <w:pStyle w:val="Compact"/>
        <w:numPr>
          <w:ilvl w:val="0"/>
          <w:numId w:val="1029"/>
        </w:numPr>
      </w:pPr>
      <w:r>
        <w:rPr>
          <w:b/>
          <w:bCs/>
        </w:rPr>
        <w:t xml:space="preserve">Quiet-window end</w:t>
      </w:r>
      <w:r>
        <w:t xml:space="preserve">: Fixed at 2024-16</w:t>
      </w:r>
    </w:p>
    <w:p>
      <w:pPr>
        <w:pStyle w:val="Compact"/>
        <w:numPr>
          <w:ilvl w:val="0"/>
          <w:numId w:val="1029"/>
        </w:numPr>
      </w:pPr>
      <w:r>
        <w:rPr>
          <w:b/>
          <w:bCs/>
        </w:rPr>
        <w:t xml:space="preserve">Dose pairs</w:t>
      </w:r>
      <w:r>
        <w:t xml:space="preserve">: 1 vs 0, 2 vs 0, 2 vs 1</w:t>
      </w:r>
    </w:p>
    <w:p>
      <w:pPr>
        <w:pStyle w:val="Compact"/>
        <w:numPr>
          <w:ilvl w:val="0"/>
          <w:numId w:val="1029"/>
        </w:numPr>
      </w:pPr>
      <w:r>
        <w:rPr>
          <w:b/>
          <w:bCs/>
        </w:rPr>
        <w:t xml:space="preserve">Cohorts</w:t>
      </w:r>
      <w:r>
        <w:t xml:space="preserve">: 2021_24</w:t>
      </w:r>
    </w:p>
    <w:p>
      <w:pPr>
        <w:pStyle w:val="FirstParagraph"/>
      </w:pPr>
      <w:r>
        <w:t xml:space="preserve">Output grids show KCOR values for each parameter combination.</w:t>
      </w:r>
    </w:p>
    <w:bookmarkEnd w:id="133"/>
    <w:bookmarkStart w:id="134"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0"/>
        </w:numPr>
      </w:pPr>
      <w:r>
        <w:rPr>
          <w:b/>
          <w:bCs/>
        </w:rPr>
        <w:t xml:space="preserve">Mid-sampled cohort</w:t>
      </w:r>
      <w:r>
        <w:t xml:space="preserve">: frailty restricted to central quantiles (e.g., 25th–75th percentile) and renormalized to mean 1.</w:t>
      </w:r>
    </w:p>
    <w:p>
      <w:pPr>
        <w:pStyle w:val="Compact"/>
        <w:numPr>
          <w:ilvl w:val="0"/>
          <w:numId w:val="1030"/>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1"/>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1"/>
        </w:numPr>
      </w:pPr>
      <w:r>
        <w:rPr>
          <w:b/>
          <w:bCs/>
        </w:rPr>
        <w:t xml:space="preserve">Base frailty distribution</w:t>
      </w:r>
      <w:r>
        <w:t xml:space="preserve">: Log-normal with mean 1, variance 0.5</w:t>
      </w:r>
    </w:p>
    <w:p>
      <w:pPr>
        <w:pStyle w:val="Compact"/>
        <w:numPr>
          <w:ilvl w:val="0"/>
          <w:numId w:val="1031"/>
        </w:numPr>
      </w:pPr>
      <w:r>
        <w:rPr>
          <w:b/>
          <w:bCs/>
        </w:rPr>
        <w:t xml:space="preserve">Mid-quantile cohort</w:t>
      </w:r>
      <w:r>
        <w:t xml:space="preserve">: 25th–75th percentile</w:t>
      </w:r>
    </w:p>
    <w:p>
      <w:pPr>
        <w:pStyle w:val="Compact"/>
        <w:numPr>
          <w:ilvl w:val="0"/>
          <w:numId w:val="1031"/>
        </w:numPr>
      </w:pPr>
      <w:r>
        <w:rPr>
          <w:b/>
          <w:bCs/>
        </w:rPr>
        <w:t xml:space="preserve">Tail-mixture cohort</w:t>
      </w:r>
      <w:r>
        <w:t xml:space="preserve">: [0–15th] + [85th–100th] percentiles, equal weights</w:t>
      </w:r>
    </w:p>
    <w:p>
      <w:pPr>
        <w:pStyle w:val="Compact"/>
        <w:numPr>
          <w:ilvl w:val="0"/>
          <w:numId w:val="1031"/>
        </w:numPr>
      </w:pPr>
      <w:r>
        <w:rPr>
          <w:b/>
          <w:bCs/>
        </w:rPr>
        <w:t xml:space="preserve">Baseline hazard</w:t>
      </w:r>
      <w:r>
        <w:t xml:space="preserve">: 0.002 per week (constant)</w:t>
      </w:r>
    </w:p>
    <w:p>
      <w:pPr>
        <w:pStyle w:val="Compact"/>
        <w:numPr>
          <w:ilvl w:val="0"/>
          <w:numId w:val="1031"/>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1"/>
        </w:numPr>
      </w:pPr>
      <w:r>
        <w:rPr>
          <w:b/>
          <w:bCs/>
        </w:rPr>
        <w:t xml:space="preserve">Effect window</w:t>
      </w:r>
      <w:r>
        <w:t xml:space="preserve">: weeks 20–80</w:t>
      </w:r>
    </w:p>
    <w:p>
      <w:pPr>
        <w:pStyle w:val="Compact"/>
        <w:numPr>
          <w:ilvl w:val="0"/>
          <w:numId w:val="1031"/>
        </w:numPr>
      </w:pPr>
      <w:r>
        <w:rPr>
          <w:b/>
          <w:bCs/>
        </w:rPr>
        <w:t xml:space="preserve">Random seed</w:t>
      </w:r>
      <w:r>
        <w:t xml:space="preserve">: 42</w:t>
      </w:r>
    </w:p>
    <w:bookmarkEnd w:id="134"/>
    <w:bookmarkEnd w:id="135"/>
    <w:bookmarkStart w:id="140" w:name="X3fb27f9d14d988b0afc4c757bd6d2a45d2ae0b5"/>
    <w:p>
      <w:pPr>
        <w:pStyle w:val="Heading3"/>
      </w:pPr>
      <w:r>
        <w:t xml:space="preserve">Appendix C. Additional figures and diagnostics</w:t>
      </w:r>
    </w:p>
    <w:bookmarkStart w:id="136"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2"/>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36"/>
    <w:bookmarkStart w:id="137"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3"/>
        </w:numPr>
      </w:pPr>
      <w:r>
        <w:rPr>
          <w:b/>
          <w:bCs/>
        </w:rPr>
        <w:t xml:space="preserve">Outliers</w:t>
      </w:r>
      <w:r>
        <w:t xml:space="preserve">: Individual weeks with large residuals may indicate data quality issues or external shocks.</w:t>
      </w:r>
    </w:p>
    <w:p>
      <w:pPr>
        <w:pStyle w:val="Compact"/>
        <w:numPr>
          <w:ilvl w:val="0"/>
          <w:numId w:val="1033"/>
        </w:numPr>
      </w:pPr>
      <w:r>
        <w:rPr>
          <w:b/>
          <w:bCs/>
        </w:rPr>
        <w:t xml:space="preserve">Autocorrelation</w:t>
      </w:r>
      <w:r>
        <w:t xml:space="preserve">: Strong autocorrelation in residuals suggests the model is missing time-varying structure.</w:t>
      </w:r>
    </w:p>
    <w:bookmarkEnd w:id="137"/>
    <w:bookmarkStart w:id="138"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4"/>
        </w:numPr>
      </w:pPr>
      <w:r>
        <w:rPr>
          <w:b/>
          <w:bCs/>
        </w:rPr>
        <w:t xml:space="preserve">Quiet-window perturbation</w:t>
      </w:r>
      <w:r>
        <w:t xml:space="preserve">: Shift the quiet-window start/end by ±4 weeks and re-fit. Stable parameters should vary by &lt; 10%.</w:t>
      </w:r>
    </w:p>
    <w:p>
      <w:pPr>
        <w:pStyle w:val="Compact"/>
        <w:numPr>
          <w:ilvl w:val="0"/>
          <w:numId w:val="1034"/>
        </w:numPr>
      </w:pPr>
      <w:r>
        <w:rPr>
          <w:b/>
          <w:bCs/>
        </w:rPr>
        <w:t xml:space="preserve">Skip-weeks sensitivity</w:t>
      </w:r>
      <w:r>
        <w:t xml:space="preserve">: Vary SKIP_WEEKS from 0 to 8 and verify KCOR trajectories remain qualitatively similar.</w:t>
      </w:r>
    </w:p>
    <w:p>
      <w:pPr>
        <w:pStyle w:val="Compact"/>
        <w:numPr>
          <w:ilvl w:val="0"/>
          <w:numId w:val="1034"/>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38"/>
    <w:bookmarkStart w:id="139"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5"/>
        </w:numPr>
      </w:pPr>
      <w:r>
        <w:t xml:space="preserve">Avoid major epidemic waves or external mortality shocks</w:t>
      </w:r>
    </w:p>
    <w:p>
      <w:pPr>
        <w:pStyle w:val="Compact"/>
        <w:numPr>
          <w:ilvl w:val="0"/>
          <w:numId w:val="1035"/>
        </w:numPr>
      </w:pPr>
      <w:r>
        <w:t xml:space="preserve">Contain sufficient event counts for stable estimation</w:t>
      </w:r>
    </w:p>
    <w:p>
      <w:pPr>
        <w:pStyle w:val="Compact"/>
        <w:numPr>
          <w:ilvl w:val="0"/>
          <w:numId w:val="103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39"/>
    <w:bookmarkEnd w:id="140"/>
    <w:bookmarkEnd w:id="141"/>
    <w:bookmarkStart w:id="150" w:name="references"/>
    <w:p>
      <w:pPr>
        <w:pStyle w:val="Heading2"/>
      </w:pPr>
      <w:r>
        <w:t xml:space="preserve">References</w:t>
      </w:r>
    </w:p>
    <w:bookmarkStart w:id="149" w:name="refs"/>
    <w:bookmarkStart w:id="143"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42">
        <w:r>
          <w:rPr>
            <w:rStyle w:val="Hyperlink"/>
          </w:rPr>
          <w:t xml:space="preserve">10.2307/2061224</w:t>
        </w:r>
      </w:hyperlink>
    </w:p>
    <w:bookmarkEnd w:id="143"/>
    <w:bookmarkStart w:id="145"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44">
        <w:r>
          <w:rPr>
            <w:rStyle w:val="Hyperlink"/>
          </w:rPr>
          <w:t xml:space="preserve">10.2147/CLEP.S468572</w:t>
        </w:r>
      </w:hyperlink>
    </w:p>
    <w:bookmarkEnd w:id="145"/>
    <w:bookmarkStart w:id="147"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46">
        <w:r>
          <w:rPr>
            <w:rStyle w:val="Hyperlink"/>
          </w:rPr>
          <w:t xml:space="preserve">10.7554/eLife.103690</w:t>
        </w:r>
      </w:hyperlink>
    </w:p>
    <w:bookmarkEnd w:id="147"/>
    <w:bookmarkStart w:id="148"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hyperlink" Id="rId144" Target="https://doi.org/10.2147/CLEP.S468572" TargetMode="External" /><Relationship Type="http://schemas.openxmlformats.org/officeDocument/2006/relationships/hyperlink" Id="rId142" Target="https://doi.org/10.2307/2061224" TargetMode="External" /><Relationship Type="http://schemas.openxmlformats.org/officeDocument/2006/relationships/hyperlink" Id="rId118" Target="https://doi.org/10.5281/zenodo.18050329" TargetMode="External" /><Relationship Type="http://schemas.openxmlformats.org/officeDocument/2006/relationships/hyperlink" Id="rId146" Target="https://doi.org/10.7554/eLife.103690" TargetMode="External" /><Relationship Type="http://schemas.openxmlformats.org/officeDocument/2006/relationships/hyperlink" Id="rId11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44" Target="https://doi.org/10.2147/CLEP.S468572" TargetMode="External" /><Relationship Type="http://schemas.openxmlformats.org/officeDocument/2006/relationships/hyperlink" Id="rId142" Target="https://doi.org/10.2307/2061224" TargetMode="External" /><Relationship Type="http://schemas.openxmlformats.org/officeDocument/2006/relationships/hyperlink" Id="rId118" Target="https://doi.org/10.5281/zenodo.18050329" TargetMode="External" /><Relationship Type="http://schemas.openxmlformats.org/officeDocument/2006/relationships/hyperlink" Id="rId146" Target="https://doi.org/10.7554/eLife.103690" TargetMode="External" /><Relationship Type="http://schemas.openxmlformats.org/officeDocument/2006/relationships/hyperlink" Id="rId11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2025-12-28T05:26:04Z</dcterms:created>
  <dcterms:modified xsi:type="dcterms:W3CDTF">2025-12-28T05:26:04Z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