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C1D3D" w14:textId="77777777" w:rsidR="00115FA9" w:rsidRDefault="00000000">
      <w:pPr>
        <w:jc w:val="center"/>
      </w:pPr>
      <w:r>
        <w:rPr>
          <w:b/>
          <w:sz w:val="36"/>
        </w:rPr>
        <w:t>KCOR: A Hazard‑Based Method for Cumulative Outcomes Ratio Analysis</w:t>
      </w:r>
    </w:p>
    <w:p w14:paraId="57CA8367" w14:textId="77777777" w:rsidR="00115FA9" w:rsidRDefault="00000000">
      <w:pPr>
        <w:jc w:val="center"/>
      </w:pPr>
      <w:r>
        <w:rPr>
          <w:i/>
        </w:rPr>
        <w:t>Methodological framework and diagnostics for observational mortality comparisons</w:t>
      </w:r>
    </w:p>
    <w:p w14:paraId="0F1FE2E2" w14:textId="77777777" w:rsidR="00115FA9" w:rsidRDefault="00000000">
      <w:r>
        <w:br/>
        <w:t>Steve Kirsch</w:t>
      </w:r>
    </w:p>
    <w:p w14:paraId="554FB11F" w14:textId="77777777" w:rsidR="00115FA9" w:rsidRDefault="00000000">
      <w:r>
        <w:t>Independent Researcher, Los Altos Hills, CA, USA</w:t>
      </w:r>
    </w:p>
    <w:p w14:paraId="6D4AD4DD" w14:textId="08412582" w:rsidR="00115FA9" w:rsidRDefault="00000000">
      <w:r>
        <w:t xml:space="preserve">Correspondence: </w:t>
      </w:r>
      <w:r w:rsidR="00DE58E5">
        <w:t>stk@alum.mit.edu</w:t>
      </w:r>
    </w:p>
    <w:p w14:paraId="6AD523FC" w14:textId="77777777" w:rsidR="00115FA9" w:rsidRDefault="00000000">
      <w:pPr>
        <w:pStyle w:val="Heading1"/>
      </w:pPr>
      <w:r>
        <w:t>Abstract</w:t>
      </w:r>
    </w:p>
    <w:p w14:paraId="03CC086C" w14:textId="5163CFC6" w:rsidR="006A4C70" w:rsidRDefault="00000000">
      <w:r>
        <w:t xml:space="preserve">KCOR (Kirsch Cumulative Outcomes Ratio) is a hazard‑based method for comparing cumulative mortality between fixed cohorts in observational data. </w:t>
      </w:r>
      <w:r w:rsidR="00771CF0">
        <w:t>It enables us to use retrospec</w:t>
      </w:r>
      <w:r w:rsidR="007B20D4">
        <w:t>tive observational data to objectively a</w:t>
      </w:r>
      <w:r w:rsidR="00771CF0">
        <w:t>nswer important questions such as “</w:t>
      </w:r>
      <w:r w:rsidR="007B20D4">
        <w:t>Did this vaccine create a net harm or net benefit as of time t?” The</w:t>
      </w:r>
      <w:r>
        <w:t xml:space="preserve"> procedure </w:t>
      </w:r>
      <w:r w:rsidR="007B20D4">
        <w:t xml:space="preserve">involves </w:t>
      </w:r>
      <w:r>
        <w:t xml:space="preserve">(i) </w:t>
      </w:r>
      <w:r w:rsidR="007B20D4">
        <w:t xml:space="preserve">choosing an enrollment date for defining fixed cohorts, (ii) </w:t>
      </w:r>
      <w:r>
        <w:t>slope‑normaliz</w:t>
      </w:r>
      <w:r w:rsidR="007B20D4">
        <w:t>ing</w:t>
      </w:r>
      <w:r>
        <w:t xml:space="preserve"> </w:t>
      </w:r>
      <w:r w:rsidR="007B20D4">
        <w:t xml:space="preserve">each cohort </w:t>
      </w:r>
      <w:proofErr w:type="gramStart"/>
      <w:r w:rsidR="007B20D4">
        <w:t>to  stable</w:t>
      </w:r>
      <w:proofErr w:type="gramEnd"/>
      <w:r w:rsidR="007B20D4">
        <w:t xml:space="preserve"> reference</w:t>
      </w:r>
      <w:r>
        <w:t xml:space="preserve"> </w:t>
      </w:r>
      <w:r w:rsidR="007B20D4">
        <w:t xml:space="preserve">dates </w:t>
      </w:r>
      <w:r>
        <w:t xml:space="preserve">(ii) </w:t>
      </w:r>
      <w:r w:rsidR="007B20D4">
        <w:t>transforming the</w:t>
      </w:r>
      <w:r>
        <w:t xml:space="preserve"> adjusted mortality rates to discrete hazards, and (iii) compar</w:t>
      </w:r>
      <w:r w:rsidR="007B20D4">
        <w:t>ing</w:t>
      </w:r>
      <w:r>
        <w:t xml:space="preserve"> cumulative hazards </w:t>
      </w:r>
      <w:r w:rsidR="007B20D4">
        <w:t>relative to</w:t>
      </w:r>
      <w:r>
        <w:t xml:space="preserve"> a baseline‑normalized ratio over calendar time. This paper formalizes the algorithm, assumptions, diagnostics, and uncertainty propagation. The key assumption—that baseline mortality </w:t>
      </w:r>
      <w:r w:rsidR="007B20D4">
        <w:t>of</w:t>
      </w:r>
      <w:r>
        <w:t xml:space="preserve"> </w:t>
      </w:r>
      <w:r w:rsidR="007B20D4">
        <w:t xml:space="preserve">real-world </w:t>
      </w:r>
      <w:r>
        <w:t>fixed cohorts is well‑approximated by an exponential trend—can be empirically validated on any dataset of interest, avoiding claims of universal applicability.</w:t>
      </w:r>
      <w:r w:rsidR="00DE58E5">
        <w:t xml:space="preserve"> KCOR is an important new tool because </w:t>
      </w:r>
      <w:r w:rsidR="00DE58E5" w:rsidRPr="00DE58E5">
        <w:t>traditional epidemiology often struggles with net benefit assessments in retrospective data without randomization</w:t>
      </w:r>
      <w:r w:rsidR="00DE58E5">
        <w:t xml:space="preserve"> or the ability to perform accurate 1:1 matching</w:t>
      </w:r>
      <w:r w:rsidR="006A4C70">
        <w:t xml:space="preserve">. </w:t>
      </w:r>
      <w:r w:rsidR="007B20D4">
        <w:t>KCOR matches cohorts by their mortality and their slope which arguably provides more accurate matching than can be achieved through traditional methods, especially when vaccinated and unvaccinated cohorts are being compared.</w:t>
      </w:r>
      <w:r w:rsidR="006A4C70">
        <w:t xml:space="preserve"> [are we allowed to reference the Qatar </w:t>
      </w:r>
      <w:proofErr w:type="spellStart"/>
      <w:r w:rsidR="006A4C70">
        <w:t>elife</w:t>
      </w:r>
      <w:proofErr w:type="spellEnd"/>
      <w:r w:rsidR="006A4C70">
        <w:t xml:space="preserve"> paper here?]</w:t>
      </w:r>
    </w:p>
    <w:p w14:paraId="5B690FC7" w14:textId="77777777" w:rsidR="00115FA9" w:rsidRDefault="00000000">
      <w:r>
        <w:t>Keywords: KCOR; cumulative hazard; discrete hazard transform; observational data; mortality; cohort methods</w:t>
      </w:r>
    </w:p>
    <w:p w14:paraId="688F1DDB" w14:textId="77777777" w:rsidR="00115FA9" w:rsidRDefault="00000000">
      <w:pPr>
        <w:pStyle w:val="Heading1"/>
      </w:pPr>
      <w:r>
        <w:t>1. Introduction</w:t>
      </w:r>
    </w:p>
    <w:p w14:paraId="55794F39" w14:textId="77777777" w:rsidR="00115FA9" w:rsidRDefault="00000000">
      <w:r>
        <w:t>KCOR evaluates relative mortality outcomes between two fixed cohorts (e.g., dose groups) on calendar time. It addresses key challenges of observational comparison: time‑varying background mortality and baseline differences between cohorts. After slope‑normalization during quiet periods, KCOR constructs discrete cumulative hazards and tracks their baseline‑normalized ratio over time. Values above 1 indicate net excess cumulative hazard in the numerator cohort since baseline; values below 1 indicate net benefit.</w:t>
      </w:r>
    </w:p>
    <w:p w14:paraId="29E1106E" w14:textId="77777777" w:rsidR="00115FA9" w:rsidRDefault="00000000">
      <w:r>
        <w:lastRenderedPageBreak/>
        <w:t>The approach relies only on basic dates (birth, death, vaccination) and is intentionally modular with explicit diagnostics. The exponential baseline assumption is testable by verifying linearity of log‑mortality rates in quiet intervals.</w:t>
      </w:r>
    </w:p>
    <w:p w14:paraId="3A4013D1" w14:textId="77777777" w:rsidR="00115FA9" w:rsidRDefault="00000000">
      <w:pPr>
        <w:pStyle w:val="Heading1"/>
      </w:pPr>
      <w:r>
        <w:t>2. Notation</w:t>
      </w:r>
    </w:p>
    <w:tbl>
      <w:tblPr>
        <w:tblW w:w="0" w:type="auto"/>
        <w:tblLook w:val="04A0" w:firstRow="1" w:lastRow="0" w:firstColumn="1" w:lastColumn="0" w:noHBand="0" w:noVBand="1"/>
      </w:tblPr>
      <w:tblGrid>
        <w:gridCol w:w="4320"/>
        <w:gridCol w:w="4320"/>
      </w:tblGrid>
      <w:tr w:rsidR="00115FA9" w14:paraId="4361EFF1" w14:textId="77777777">
        <w:tc>
          <w:tcPr>
            <w:tcW w:w="4320" w:type="dxa"/>
          </w:tcPr>
          <w:p w14:paraId="47451A2F" w14:textId="77777777" w:rsidR="00115FA9" w:rsidRDefault="00000000">
            <w:r>
              <w:t>Symbol</w:t>
            </w:r>
          </w:p>
        </w:tc>
        <w:tc>
          <w:tcPr>
            <w:tcW w:w="4320" w:type="dxa"/>
          </w:tcPr>
          <w:p w14:paraId="410A4E12" w14:textId="77777777" w:rsidR="00115FA9" w:rsidRDefault="00000000">
            <w:r>
              <w:t>Meaning</w:t>
            </w:r>
          </w:p>
        </w:tc>
      </w:tr>
      <w:tr w:rsidR="00115FA9" w14:paraId="16DA2433" w14:textId="77777777">
        <w:tc>
          <w:tcPr>
            <w:tcW w:w="4320" w:type="dxa"/>
          </w:tcPr>
          <w:p w14:paraId="1F3EBD81" w14:textId="77777777" w:rsidR="00115FA9" w:rsidRDefault="00000000">
            <w:r>
              <w:t>t</w:t>
            </w:r>
          </w:p>
        </w:tc>
        <w:tc>
          <w:tcPr>
            <w:tcW w:w="4320" w:type="dxa"/>
          </w:tcPr>
          <w:p w14:paraId="44F8C63E" w14:textId="77777777" w:rsidR="00115FA9" w:rsidRDefault="00000000">
            <w:r>
              <w:t>Week index (calendar time), with t = 0 at enrollment</w:t>
            </w:r>
          </w:p>
        </w:tc>
      </w:tr>
      <w:tr w:rsidR="00115FA9" w14:paraId="3661CFAD" w14:textId="77777777">
        <w:tc>
          <w:tcPr>
            <w:tcW w:w="4320" w:type="dxa"/>
          </w:tcPr>
          <w:p w14:paraId="49AB6CAD" w14:textId="77777777" w:rsidR="00115FA9" w:rsidRDefault="00000000">
            <w:r>
              <w:t>MR(t)</w:t>
            </w:r>
          </w:p>
        </w:tc>
        <w:tc>
          <w:tcPr>
            <w:tcW w:w="4320" w:type="dxa"/>
          </w:tcPr>
          <w:p w14:paraId="507512DF" w14:textId="77777777" w:rsidR="00115FA9" w:rsidRDefault="00000000">
            <w:r>
              <w:t>Observed mortality rate in week t for a fixed cohort</w:t>
            </w:r>
          </w:p>
        </w:tc>
      </w:tr>
      <w:tr w:rsidR="00115FA9" w14:paraId="29A60817" w14:textId="77777777">
        <w:tc>
          <w:tcPr>
            <w:tcW w:w="4320" w:type="dxa"/>
          </w:tcPr>
          <w:p w14:paraId="6168F171" w14:textId="77777777" w:rsidR="00115FA9" w:rsidRDefault="00000000">
            <w:r>
              <w:t>r</w:t>
            </w:r>
          </w:p>
        </w:tc>
        <w:tc>
          <w:tcPr>
            <w:tcW w:w="4320" w:type="dxa"/>
          </w:tcPr>
          <w:p w14:paraId="120374D7" w14:textId="77777777" w:rsidR="00115FA9" w:rsidRDefault="00000000">
            <w:r>
              <w:t>Exponential slope of baseline mortality for the cohort</w:t>
            </w:r>
          </w:p>
        </w:tc>
      </w:tr>
      <w:tr w:rsidR="00115FA9" w14:paraId="6C979D3B" w14:textId="77777777">
        <w:tc>
          <w:tcPr>
            <w:tcW w:w="4320" w:type="dxa"/>
          </w:tcPr>
          <w:p w14:paraId="619125BB" w14:textId="77777777" w:rsidR="00115FA9" w:rsidRDefault="00000000">
            <w:r>
              <w:t>MR_adj(t)</w:t>
            </w:r>
          </w:p>
        </w:tc>
        <w:tc>
          <w:tcPr>
            <w:tcW w:w="4320" w:type="dxa"/>
          </w:tcPr>
          <w:p w14:paraId="18616CCC" w14:textId="77777777" w:rsidR="00115FA9" w:rsidRDefault="00000000">
            <w:r>
              <w:t>Slope‑adjusted mortality rate</w:t>
            </w:r>
          </w:p>
        </w:tc>
      </w:tr>
      <w:tr w:rsidR="00115FA9" w14:paraId="6A046E38" w14:textId="77777777">
        <w:tc>
          <w:tcPr>
            <w:tcW w:w="4320" w:type="dxa"/>
          </w:tcPr>
          <w:p w14:paraId="0F77D972" w14:textId="77777777" w:rsidR="00115FA9" w:rsidRDefault="00000000">
            <w:r>
              <w:t>hazard(t)</w:t>
            </w:r>
          </w:p>
        </w:tc>
        <w:tc>
          <w:tcPr>
            <w:tcW w:w="4320" w:type="dxa"/>
          </w:tcPr>
          <w:p w14:paraId="03DDAB62" w14:textId="77777777" w:rsidR="00115FA9" w:rsidRDefault="00000000">
            <w:r>
              <w:t>Discrete hazard in week t</w:t>
            </w:r>
          </w:p>
        </w:tc>
      </w:tr>
      <w:tr w:rsidR="00115FA9" w14:paraId="2A606042" w14:textId="77777777">
        <w:tc>
          <w:tcPr>
            <w:tcW w:w="4320" w:type="dxa"/>
          </w:tcPr>
          <w:p w14:paraId="47054D35" w14:textId="77777777" w:rsidR="00115FA9" w:rsidRDefault="00000000">
            <w:r>
              <w:t>CH(t)</w:t>
            </w:r>
          </w:p>
        </w:tc>
        <w:tc>
          <w:tcPr>
            <w:tcW w:w="4320" w:type="dxa"/>
          </w:tcPr>
          <w:p w14:paraId="316FD58D" w14:textId="77777777" w:rsidR="00115FA9" w:rsidRDefault="00000000">
            <w:r>
              <w:t>Cumulative hazard up to week t</w:t>
            </w:r>
          </w:p>
        </w:tc>
      </w:tr>
      <w:tr w:rsidR="00115FA9" w14:paraId="4BDD1344" w14:textId="77777777">
        <w:tc>
          <w:tcPr>
            <w:tcW w:w="4320" w:type="dxa"/>
          </w:tcPr>
          <w:p w14:paraId="4E599C3E" w14:textId="77777777" w:rsidR="00115FA9" w:rsidRDefault="00000000">
            <w:r>
              <w:t>t0</w:t>
            </w:r>
          </w:p>
        </w:tc>
        <w:tc>
          <w:tcPr>
            <w:tcW w:w="4320" w:type="dxa"/>
          </w:tcPr>
          <w:p w14:paraId="5ECBCF50" w14:textId="77777777" w:rsidR="00115FA9" w:rsidRDefault="00000000">
            <w:r>
              <w:t>Baseline week used for normalization (default t0 = 4)</w:t>
            </w:r>
          </w:p>
        </w:tc>
      </w:tr>
      <w:tr w:rsidR="00115FA9" w14:paraId="1AE30E9C" w14:textId="77777777">
        <w:tc>
          <w:tcPr>
            <w:tcW w:w="4320" w:type="dxa"/>
          </w:tcPr>
          <w:p w14:paraId="7B39046C" w14:textId="77777777" w:rsidR="00115FA9" w:rsidRDefault="00000000">
            <w:r>
              <w:t>KCOR(t)</w:t>
            </w:r>
          </w:p>
        </w:tc>
        <w:tc>
          <w:tcPr>
            <w:tcW w:w="4320" w:type="dxa"/>
          </w:tcPr>
          <w:p w14:paraId="556B9294" w14:textId="77777777" w:rsidR="00115FA9" w:rsidRDefault="00000000">
            <w:r>
              <w:t>Cumulative‑hazard ratio, normalized at t0</w:t>
            </w:r>
          </w:p>
        </w:tc>
      </w:tr>
    </w:tbl>
    <w:p w14:paraId="13B43E28" w14:textId="77777777" w:rsidR="00115FA9" w:rsidRDefault="00000000">
      <w:pPr>
        <w:pStyle w:val="Heading1"/>
      </w:pPr>
      <w:r>
        <w:t>3. Methods</w:t>
      </w:r>
    </w:p>
    <w:p w14:paraId="04C142F3" w14:textId="464894D6" w:rsidR="00115FA9" w:rsidRDefault="00000000">
      <w:pPr>
        <w:pStyle w:val="Heading2"/>
      </w:pPr>
      <w:r>
        <w:t xml:space="preserve">3.1 Mathematical formulation </w:t>
      </w:r>
    </w:p>
    <w:p w14:paraId="05322385" w14:textId="77777777" w:rsidR="00115FA9" w:rsidRDefault="00000000">
      <w:r>
        <w:t>Slope normalization (per cohort):</w:t>
      </w:r>
    </w:p>
    <w:p w14:paraId="6F89647A" w14:textId="77777777" w:rsidR="00115FA9" w:rsidRDefault="00000000">
      <m:oMathPara>
        <m:oMath>
          <m:r>
            <w:rPr>
              <w:rFonts w:ascii="Cambria Math" w:hAnsi="Cambria Math"/>
            </w:rPr>
            <m:t>MR_adj(t) = MR(t)·exp(-r·(t - t_e))</m:t>
          </m:r>
        </m:oMath>
      </m:oMathPara>
    </w:p>
    <w:p w14:paraId="04E0A13F" w14:textId="77777777" w:rsidR="00115FA9" w:rsidRDefault="00000000">
      <w:r>
        <w:t>Discrete hazard transform and cumulative hazards:</w:t>
      </w:r>
    </w:p>
    <w:p w14:paraId="3896AA5B" w14:textId="77777777" w:rsidR="00115FA9" w:rsidRDefault="00000000">
      <m:oMathPara>
        <m:oMath>
          <m:r>
            <w:rPr>
              <w:rFonts w:ascii="Cambria Math" w:hAnsi="Cambria Math"/>
            </w:rPr>
            <m:t>hazard(t) = -ln(1 - MR_adj(t))</m:t>
          </m:r>
        </m:oMath>
      </m:oMathPara>
    </w:p>
    <w:p w14:paraId="07122EF1" w14:textId="77777777" w:rsidR="00115FA9" w:rsidRDefault="00000000">
      <m:oMathPara>
        <m:oMath>
          <m:r>
            <w:rPr>
              <w:rFonts w:ascii="Cambria Math" w:hAnsi="Cambria Math"/>
            </w:rPr>
            <m:t>CH(t) = ∑_{i=0}^{t} hazard(i)</m:t>
          </m:r>
        </m:oMath>
      </m:oMathPara>
    </w:p>
    <w:p w14:paraId="5F9F8AC5" w14:textId="77777777" w:rsidR="00115FA9" w:rsidRDefault="00000000">
      <w:r>
        <w:t>Baseline‑normalized cumulative‑hazard ratio (cohorts v over u):</w:t>
      </w:r>
    </w:p>
    <w:p w14:paraId="069BA2C1" w14:textId="77777777" w:rsidR="00115FA9" w:rsidRDefault="00000000">
      <m:oMathPara>
        <m:oMath>
          <m:r>
            <w:rPr>
              <w:rFonts w:ascii="Cambria Math" w:hAnsi="Cambria Math"/>
            </w:rPr>
            <m:t>KCOR(t) = [CH_v(t)/CH_u(t)] / [CH_v(t0)/CH_u(t0)]</m:t>
          </m:r>
        </m:oMath>
      </m:oMathPara>
    </w:p>
    <w:p w14:paraId="1BBF6AE8" w14:textId="77777777" w:rsidR="00115FA9" w:rsidRDefault="00000000">
      <w:r>
        <w:t>Log‑scale uncertainty (Poisson approximation Var[CH] ≈ CH):</w:t>
      </w:r>
    </w:p>
    <w:p w14:paraId="197500E1" w14:textId="77777777" w:rsidR="00115FA9" w:rsidRDefault="00000000">
      <m:oMathPara>
        <m:oMath>
          <m:r>
            <w:rPr>
              <w:rFonts w:ascii="Cambria Math" w:hAnsi="Cambria Math"/>
            </w:rPr>
            <w:lastRenderedPageBreak/>
            <m:t>Var[ln(KCOR(t))] ≈ Var[CH_v(t)]/CH_v(t)^2 + Var[CH_u(t)]/CH_u(t)^2 + Var[CH_v(t0)]/CH_v(t0)^2 + Var[CH_u(t0)]/CH_u(t0)^2</m:t>
          </m:r>
        </m:oMath>
      </m:oMathPara>
    </w:p>
    <w:p w14:paraId="38AF6CDD" w14:textId="77777777" w:rsidR="00115FA9" w:rsidRDefault="00000000">
      <m:oMathPara>
        <m:oMath>
          <m:r>
            <w:rPr>
              <w:rFonts w:ascii="Cambria Math" w:hAnsi="Cambria Math"/>
            </w:rPr>
            <m:t>95% CI: KCOR(t) · exp(±1.96·√Var[ln(KCOR(t))])</m:t>
          </m:r>
        </m:oMath>
      </m:oMathPara>
    </w:p>
    <w:p w14:paraId="3CF02BCF" w14:textId="77777777" w:rsidR="00115FA9" w:rsidRDefault="00000000">
      <w:pPr>
        <w:pStyle w:val="Heading2"/>
      </w:pPr>
      <w:r>
        <w:t>3.2 Expected‑deaths weighting for pooled summaries</w:t>
      </w:r>
    </w:p>
    <w:p w14:paraId="64CD6FA6" w14:textId="77777777" w:rsidR="00115FA9" w:rsidRDefault="00000000">
      <w:r>
        <w:t>For age‑stratified analyses, define weights using expected deaths in a quiet baseline period. Let N_s(t) be persons at risk in stratum s and hazard_s(t) the discrete hazard after slope‑adjustment. Then the baseline expected deaths are E_s = ∑_{t∈B} N_s(t)·hazard_s(t) and weights w_s = E_s / ∑_j E_j. A pooled cumulative hazard is CH_pool(t) = ∑_s w_s·CH_s(t).</w:t>
      </w:r>
    </w:p>
    <w:p w14:paraId="38413023" w14:textId="52D5E4F4" w:rsidR="00115FA9" w:rsidRDefault="00DE58E5">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nary>
            <m:naryPr>
              <m:chr m:val="∑"/>
              <m:supHide m:val="1"/>
              <m:ctrlPr>
                <w:rPr>
                  <w:rFonts w:ascii="Cambria Math" w:hAnsi="Cambria Math"/>
                  <w:i/>
                </w:rPr>
              </m:ctrlPr>
            </m:naryPr>
            <m:sub>
              <m:r>
                <w:rPr>
                  <w:rFonts w:ascii="Cambria Math" w:hAnsi="Cambria Math"/>
                </w:rPr>
                <m:t>t∈B</m:t>
              </m:r>
            </m:sub>
            <m:sup/>
            <m:e>
              <m:sSub>
                <m:sSubPr>
                  <m:ctrlPr>
                    <w:rPr>
                      <w:rFonts w:ascii="Cambria Math" w:hAnsi="Cambria Math"/>
                      <w:i/>
                    </w:rPr>
                  </m:ctrlPr>
                </m:sSubPr>
                <m:e>
                  <m:r>
                    <w:rPr>
                      <w:rFonts w:ascii="Cambria Math" w:hAnsi="Cambria Math"/>
                    </w:rPr>
                    <m:t>N</m:t>
                  </m:r>
                </m:e>
                <m:sub>
                  <m:r>
                    <w:rPr>
                      <w:rFonts w:ascii="Cambria Math" w:hAnsi="Cambria Math"/>
                    </w:rPr>
                    <m:t>s</m:t>
                  </m:r>
                </m:sub>
              </m:sSub>
              <m:d>
                <m:dPr>
                  <m:ctrlPr>
                    <w:rPr>
                      <w:rFonts w:ascii="Cambria Math" w:hAnsi="Cambria Math"/>
                      <w:i/>
                    </w:rPr>
                  </m:ctrlPr>
                </m:dPr>
                <m:e>
                  <m:r>
                    <w:rPr>
                      <w:rFonts w:ascii="Cambria Math" w:hAnsi="Cambria Math"/>
                    </w:rPr>
                    <m:t>t</m:t>
                  </m:r>
                </m:e>
              </m:d>
            </m:e>
          </m:nary>
          <m:r>
            <w:rPr>
              <w:rFonts w:ascii="Cambria Math" w:hAnsi="Cambria Math"/>
            </w:rPr>
            <m:t>·hazar</m:t>
          </m:r>
          <m:sSub>
            <m:sSubPr>
              <m:ctrlPr>
                <w:rPr>
                  <w:rFonts w:ascii="Cambria Math" w:hAnsi="Cambria Math"/>
                  <w:i/>
                </w:rPr>
              </m:ctrlPr>
            </m:sSubPr>
            <m:e>
              <m:r>
                <w:rPr>
                  <w:rFonts w:ascii="Cambria Math" w:hAnsi="Cambria Math"/>
                </w:rPr>
                <m:t>d</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m:rPr>
              <m:lit/>
            </m:rPr>
            <w:rPr>
              <w:rFonts w:ascii="Cambria Math" w:hAnsi="Cambria Math"/>
            </w:rPr>
            <m:t>/</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E</m:t>
                  </m:r>
                </m:e>
                <m:sub>
                  <m:r>
                    <w:rPr>
                      <w:rFonts w:ascii="Cambria Math" w:hAnsi="Cambria Math"/>
                    </w:rPr>
                    <m:t>j</m:t>
                  </m:r>
                </m:sub>
              </m:sSub>
            </m:e>
          </m:nary>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ool</m:t>
          </m:r>
          <m:d>
            <m:dPr>
              <m:ctrlPr>
                <w:rPr>
                  <w:rFonts w:ascii="Cambria Math" w:hAnsi="Cambria Math"/>
                  <w:i/>
                </w:rPr>
              </m:ctrlPr>
            </m:dPr>
            <m:e>
              <m:r>
                <w:rPr>
                  <w:rFonts w:ascii="Cambria Math" w:hAnsi="Cambria Math"/>
                </w:rPr>
                <m:t>t</m:t>
              </m: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w</m:t>
                  </m:r>
                </m:e>
                <m:sub>
                  <m:r>
                    <w:rPr>
                      <w:rFonts w:ascii="Cambria Math" w:hAnsi="Cambria Math"/>
                    </w:rPr>
                    <m:t>s</m:t>
                  </m:r>
                </m:sub>
              </m:sSub>
            </m:e>
          </m:nary>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14:paraId="37E079B8" w14:textId="77777777" w:rsidR="00115FA9" w:rsidRDefault="00000000">
      <w:pPr>
        <w:pStyle w:val="Heading2"/>
      </w:pPr>
      <w:r>
        <w:t>3.3 Algorithm (pseudocode)</w:t>
      </w:r>
    </w:p>
    <w:p w14:paraId="39AA5ADD" w14:textId="420E3035" w:rsidR="00115FA9" w:rsidRDefault="00000000">
      <w:r>
        <w:t xml:space="preserve">Input: Weekly counts or rates for fixed cohorts v and u; enrollment week </w:t>
      </w:r>
      <w:proofErr w:type="spellStart"/>
      <w:r>
        <w:t>t_e</w:t>
      </w:r>
      <w:proofErr w:type="spellEnd"/>
      <w:r>
        <w:t>=0; anchor windows</w:t>
      </w:r>
      <w:r w:rsidR="006A4C70">
        <w:t xml:space="preserve"> (start date/end date for slope computation)</w:t>
      </w:r>
      <w:r>
        <w:t>; baseline week t0</w:t>
      </w:r>
      <w:r w:rsidR="006A4C70">
        <w:t xml:space="preserve"> (typically week 5).</w:t>
      </w:r>
    </w:p>
    <w:p w14:paraId="576CB403" w14:textId="77777777" w:rsidR="00115FA9" w:rsidRDefault="00000000">
      <w:r>
        <w:t>1) Aggregate to weekly MR_v(t), MR_u(t) for fixed cohorts defined at enrollment.</w:t>
      </w:r>
    </w:p>
    <w:p w14:paraId="0042CE3B" w14:textId="01487837" w:rsidR="00115FA9" w:rsidRDefault="00000000">
      <w:r>
        <w:t xml:space="preserve">2) </w:t>
      </w:r>
      <w:r w:rsidR="006A4C70">
        <w:t>Compute slope</w:t>
      </w:r>
      <w:r>
        <w:t xml:space="preserve"> r per cohort/stratum from quiet‑period anchors (geometric means in windows separated by </w:t>
      </w:r>
      <w:proofErr w:type="spellStart"/>
      <w:r>
        <w:t>Δt</w:t>
      </w:r>
      <w:proofErr w:type="spellEnd"/>
      <w:r>
        <w:t xml:space="preserve"> weeks</w:t>
      </w:r>
      <w:r w:rsidR="006A4C70">
        <w:t xml:space="preserve"> where </w:t>
      </w:r>
      <w:proofErr w:type="spellStart"/>
      <w:r w:rsidR="006A4C70">
        <w:t>Δt</w:t>
      </w:r>
      <w:proofErr w:type="spellEnd"/>
      <w:r w:rsidR="006A4C70">
        <w:t xml:space="preserve"> is ideally around 52 weeks</w:t>
      </w:r>
      <w:r>
        <w:t>).</w:t>
      </w:r>
    </w:p>
    <w:p w14:paraId="1DEE5992" w14:textId="626C70AE" w:rsidR="00115FA9" w:rsidRDefault="00000000">
      <w:r>
        <w:t>3) Slope‑adjust</w:t>
      </w:r>
      <w:r w:rsidR="006A4C70">
        <w:t xml:space="preserve"> the mortality rates</w:t>
      </w:r>
      <w:r>
        <w:t xml:space="preserve"> </w:t>
      </w:r>
      <w:proofErr w:type="spellStart"/>
      <w:r>
        <w:t>MR_adj</w:t>
      </w:r>
      <w:proofErr w:type="spellEnd"/>
      <w:r>
        <w:t>(t) = MR(t)·</w:t>
      </w:r>
      <w:proofErr w:type="gramStart"/>
      <w:r>
        <w:t>exp(</w:t>
      </w:r>
      <w:proofErr w:type="gramEnd"/>
      <w:r>
        <w:t>−r</w:t>
      </w:r>
      <w:proofErr w:type="gramStart"/>
      <w:r>
        <w:t>·(</w:t>
      </w:r>
      <w:proofErr w:type="gramEnd"/>
      <w:r>
        <w:t>t − t_e)) for t ≥ 1.</w:t>
      </w:r>
    </w:p>
    <w:p w14:paraId="5BEEE8FE" w14:textId="77777777" w:rsidR="00115FA9" w:rsidRDefault="00000000">
      <w:r>
        <w:t>4) Transform to discrete hazards: hazard(t) = −ln(1 − MR_adj(t)) with clipping MR_adj(t) ≤ 0.999.</w:t>
      </w:r>
    </w:p>
    <w:p w14:paraId="776D2DEA" w14:textId="77777777" w:rsidR="00115FA9" w:rsidRDefault="00000000">
      <w:r>
        <w:t>5) Compute cumulative hazards CH(t) = ∑_{i=0}^{t} hazard(i).</w:t>
      </w:r>
    </w:p>
    <w:p w14:paraId="32875B73" w14:textId="77777777" w:rsidR="00115FA9" w:rsidRDefault="00000000">
      <w:r>
        <w:t>6) Normalize KCOR(t) at t0: divide by CH_v(t0)/CH_u(t0).</w:t>
      </w:r>
    </w:p>
    <w:p w14:paraId="263A61A1" w14:textId="77777777" w:rsidR="006A4C70" w:rsidRDefault="00000000">
      <w:r>
        <w:t xml:space="preserve">7) Compute log‑scale CIs with </w:t>
      </w:r>
      <w:proofErr w:type="gramStart"/>
      <w:r>
        <w:t>Var[</w:t>
      </w:r>
      <w:proofErr w:type="gramEnd"/>
      <w:r>
        <w:t xml:space="preserve">CH] ≈ </w:t>
      </w:r>
      <w:proofErr w:type="gramStart"/>
      <w:r>
        <w:t>CH;</w:t>
      </w:r>
      <w:proofErr w:type="gramEnd"/>
      <w:r>
        <w:t xml:space="preserve"> </w:t>
      </w:r>
    </w:p>
    <w:p w14:paraId="0DCC24EB" w14:textId="4774F3E3" w:rsidR="00115FA9" w:rsidRDefault="006A4C70">
      <w:r>
        <w:t>8) R</w:t>
      </w:r>
      <w:r w:rsidR="00000000">
        <w:t>eport KCOR(t) with 95% bands.</w:t>
      </w:r>
    </w:p>
    <w:p w14:paraId="6BB1128D" w14:textId="77777777" w:rsidR="00115FA9" w:rsidRDefault="00000000">
      <w:pPr>
        <w:pStyle w:val="Heading2"/>
      </w:pPr>
      <w:r>
        <w:t>Implementation Notes</w:t>
      </w:r>
    </w:p>
    <w:tbl>
      <w:tblPr>
        <w:tblW w:w="0" w:type="auto"/>
        <w:tblLook w:val="04A0" w:firstRow="1" w:lastRow="0" w:firstColumn="1" w:lastColumn="0" w:noHBand="0" w:noVBand="1"/>
      </w:tblPr>
      <w:tblGrid>
        <w:gridCol w:w="8640"/>
      </w:tblGrid>
      <w:tr w:rsidR="00115FA9" w14:paraId="094C77DE" w14:textId="77777777">
        <w:tc>
          <w:tcPr>
            <w:tcW w:w="8640" w:type="dxa"/>
            <w:shd w:val="clear" w:color="auto" w:fill="F3F3F3"/>
          </w:tcPr>
          <w:p w14:paraId="03219A7F" w14:textId="77777777" w:rsidR="00115FA9" w:rsidRDefault="00000000">
            <w:r>
              <w:rPr>
                <w:b/>
              </w:rPr>
              <w:t>Anchor‑selection heuristics</w:t>
            </w:r>
          </w:p>
          <w:p w14:paraId="3B30A393" w14:textId="77777777" w:rsidR="00115FA9" w:rsidRDefault="00000000">
            <w:r>
              <w:t>• Identify two quiet (non‑differential) windows B1, B2 separated by Δt ≈ 8–12 weeks.</w:t>
            </w:r>
          </w:p>
          <w:p w14:paraId="5400030A" w14:textId="77777777" w:rsidR="00115FA9" w:rsidRDefault="00000000">
            <w:r>
              <w:t>• Use ±2‑week windows and geometric means; avoid weeks with known shocks or reporting artifacts.</w:t>
            </w:r>
          </w:p>
          <w:p w14:paraId="1F816FCD" w14:textId="77777777" w:rsidR="00115FA9" w:rsidRDefault="00000000">
            <w:r>
              <w:lastRenderedPageBreak/>
              <w:t>• Prefer trough‑centered windows when respiratory mortality is seasonal.</w:t>
            </w:r>
          </w:p>
          <w:p w14:paraId="43AAC4CB" w14:textId="77777777" w:rsidR="00115FA9" w:rsidRDefault="00000000">
            <w:r>
              <w:t>• Check both cohorts for parallel log‑MR trends within anchors; if not, adjust windows or stratify further.</w:t>
            </w:r>
          </w:p>
        </w:tc>
      </w:tr>
      <w:tr w:rsidR="00115FA9" w14:paraId="5B25846A" w14:textId="77777777">
        <w:tc>
          <w:tcPr>
            <w:tcW w:w="8640" w:type="dxa"/>
            <w:shd w:val="clear" w:color="auto" w:fill="F3F3F3"/>
          </w:tcPr>
          <w:p w14:paraId="559F2423" w14:textId="77777777" w:rsidR="00115FA9" w:rsidRDefault="00000000">
            <w:r>
              <w:rPr>
                <w:b/>
              </w:rPr>
              <w:lastRenderedPageBreak/>
              <w:t>Smoothing &amp; defaults</w:t>
            </w:r>
          </w:p>
          <w:p w14:paraId="553A3E29" w14:textId="77777777" w:rsidR="00115FA9" w:rsidRDefault="00000000">
            <w:r>
              <w:t>• Compute MR(t) using a centered 3‑week moving average (fallback: 5‑week if noisy).</w:t>
            </w:r>
          </w:p>
          <w:p w14:paraId="366F96DE" w14:textId="77777777" w:rsidR="00115FA9" w:rsidRDefault="00000000">
            <w:r>
              <w:t>• Baseline normalization week t0 = 4 by default.</w:t>
            </w:r>
          </w:p>
          <w:p w14:paraId="71FB92AB" w14:textId="77777777" w:rsidR="00115FA9" w:rsidRDefault="00000000">
            <w:r>
              <w:t>• Clip MR_adj(t) at 0.999 before the hazard transform; treat missing MR(t) via local linear interpolation constrained to [0, 1).</w:t>
            </w:r>
          </w:p>
          <w:p w14:paraId="5B36AA06" w14:textId="77777777" w:rsidR="00115FA9" w:rsidRDefault="00000000">
            <w:r>
              <w:t>• Document choices; include sensitivity to smoothing span and anchor placement.</w:t>
            </w:r>
          </w:p>
        </w:tc>
      </w:tr>
    </w:tbl>
    <w:p w14:paraId="4955C759" w14:textId="77777777" w:rsidR="00115FA9" w:rsidRDefault="00000000">
      <w:pPr>
        <w:pStyle w:val="Heading1"/>
      </w:pPr>
      <w:r>
        <w:t>4. Application workflow</w:t>
      </w:r>
    </w:p>
    <w:p w14:paraId="7ACD904C" w14:textId="77777777" w:rsidR="00115FA9" w:rsidRDefault="00000000">
      <w:r>
        <w:t>• Define fixed cohorts at enrollment (avoid time‑varying composition).</w:t>
      </w:r>
    </w:p>
    <w:p w14:paraId="3B25B430" w14:textId="66BFFFAE" w:rsidR="00115FA9" w:rsidRDefault="00000000">
      <w:r>
        <w:t>• Choose anchor windows (B1, B2)</w:t>
      </w:r>
      <w:r w:rsidR="00771CF0">
        <w:t xml:space="preserve"> used for slope normalization</w:t>
      </w:r>
      <w:r>
        <w:t>; verify exponential baseline by linearity of log‑MR vs. t within anchors.</w:t>
      </w:r>
      <w:r w:rsidR="00771CF0">
        <w:t xml:space="preserve"> These times are generally at least 6 months and preferably a year post enrollment to minimize interaction with the </w:t>
      </w:r>
    </w:p>
    <w:p w14:paraId="307E6397" w14:textId="77777777" w:rsidR="00115FA9" w:rsidRDefault="00000000">
      <w:r>
        <w:t>• Compute slope r per cohort/stratum; apply slope‑normalization, discrete hazard transform, and cumulative hazards.</w:t>
      </w:r>
    </w:p>
    <w:p w14:paraId="7BBF5CA3" w14:textId="77777777" w:rsidR="00115FA9" w:rsidRDefault="00000000">
      <w:r>
        <w:t>• Normalize KCOR(t) at t0; produce CI bands and sensitivity overlays (anchors, smoothing).</w:t>
      </w:r>
    </w:p>
    <w:p w14:paraId="7751CFAC" w14:textId="77777777" w:rsidR="00115FA9" w:rsidRDefault="00000000">
      <w:r>
        <w:t>• For pooled summaries, apply expected‑deaths weights across strata.</w:t>
      </w:r>
    </w:p>
    <w:p w14:paraId="1899006F" w14:textId="77777777" w:rsidR="00115FA9" w:rsidRDefault="00000000">
      <w:pPr>
        <w:pStyle w:val="Heading1"/>
      </w:pPr>
      <w:r>
        <w:t>5. Diagnostics and sensitivity</w:t>
      </w:r>
    </w:p>
    <w:p w14:paraId="40B25B0C" w14:textId="77777777" w:rsidR="00115FA9" w:rsidRDefault="00000000">
      <w:r>
        <w:t>• Exponential fit check: R² of log‑MR vs. time in quiet ranges; plot residuals.</w:t>
      </w:r>
    </w:p>
    <w:p w14:paraId="155BA218" w14:textId="77777777" w:rsidR="00115FA9" w:rsidRDefault="00000000">
      <w:r>
        <w:t>• Anchor sensitivity: vary windows by ±1–2 weeks and re‑estimate r; overlay KCOR(t).</w:t>
      </w:r>
    </w:p>
    <w:p w14:paraId="7766382D" w14:textId="77777777" w:rsidR="00115FA9" w:rsidRDefault="00000000">
      <w:r>
        <w:t>• Smoothing robustness: 3 vs. 5‑week moving average; optionally LOESS with small span.</w:t>
      </w:r>
    </w:p>
    <w:p w14:paraId="2785FECD" w14:textId="77777777" w:rsidR="00115FA9" w:rsidRDefault="00000000">
      <w:r>
        <w:t>• Negative controls: randomized split cohorts (expect KCOR≈1).</w:t>
      </w:r>
    </w:p>
    <w:p w14:paraId="5A8CBA0A" w14:textId="77777777" w:rsidR="00115FA9" w:rsidRDefault="00000000">
      <w:r>
        <w:t>• Placebo enrollment dates: shift t_e by ±k weeks; conclusions should be stable.</w:t>
      </w:r>
    </w:p>
    <w:p w14:paraId="63C9FAFB" w14:textId="77777777" w:rsidR="00115FA9" w:rsidRDefault="00000000">
      <w:r>
        <w:t>• Subgroup stratification: age bands; pooled CH using expected‑deaths weights.</w:t>
      </w:r>
    </w:p>
    <w:p w14:paraId="56AE57DB" w14:textId="77777777" w:rsidR="00115FA9" w:rsidRDefault="00000000">
      <w:pPr>
        <w:pStyle w:val="Heading1"/>
      </w:pPr>
      <w:r>
        <w:lastRenderedPageBreak/>
        <w:t>6. Benefits and limitations</w:t>
      </w:r>
    </w:p>
    <w:p w14:paraId="796D633E" w14:textId="77777777" w:rsidR="00115FA9" w:rsidRDefault="00000000">
      <w:r>
        <w:t>Benefits: (i) minimal data needs, (ii) mathematically exact discrete‑time cumulative‑hazard comparison, (iii) explicit diagnostics, (iv) interpretable time‑resolved net‑benefit curve, (v) modular and reproducible.</w:t>
      </w:r>
    </w:p>
    <w:p w14:paraId="748536EF" w14:textId="77777777" w:rsidR="00115FA9" w:rsidRDefault="00000000">
      <w:r>
        <w:t>Limitations: (i) requires identifiable quiet periods and approximate exponential baselines, (ii) cohort‑differential shocks within anchors bias r, (iii) as with all observational designs, unmeasured time‑varying confounding may remain.</w:t>
      </w:r>
    </w:p>
    <w:p w14:paraId="359960F1" w14:textId="77777777" w:rsidR="00115FA9" w:rsidRDefault="00000000">
      <w:pPr>
        <w:pStyle w:val="Heading1"/>
      </w:pPr>
      <w:r>
        <w:t>7. Reporting and reproducibility</w:t>
      </w:r>
    </w:p>
    <w:p w14:paraId="5828C99A" w14:textId="77777777" w:rsidR="00115FA9" w:rsidRDefault="00000000">
      <w:r>
        <w:t>• Define cohorts and enrollment; provide inclusion/exclusion flow.</w:t>
      </w:r>
    </w:p>
    <w:p w14:paraId="2FCB00CC" w14:textId="77777777" w:rsidR="00115FA9" w:rsidRDefault="00000000">
      <w:r>
        <w:t>• Justify anchor selection; show quiet‑period fits (log‑MR vs. t) and R².</w:t>
      </w:r>
    </w:p>
    <w:p w14:paraId="19EA6283" w14:textId="77777777" w:rsidR="00115FA9" w:rsidRDefault="00000000">
      <w:r>
        <w:t>• Specify smoothing, clipping, interpolation, and t0.</w:t>
      </w:r>
    </w:p>
    <w:p w14:paraId="4FD1EB3E" w14:textId="77777777" w:rsidR="00115FA9" w:rsidRDefault="00000000">
      <w:r>
        <w:t>• Present KCOR(t) with 95% CIs, plus anchor/smoothing sensitivity overlays.</w:t>
      </w:r>
    </w:p>
    <w:p w14:paraId="433A9772" w14:textId="77777777" w:rsidR="00115FA9" w:rsidRDefault="00000000">
      <w:r>
        <w:t>• Include negative‑control and placebo‑enrollment analyses.</w:t>
      </w:r>
    </w:p>
    <w:p w14:paraId="39D0B5CC" w14:textId="77777777" w:rsidR="00115FA9" w:rsidRDefault="00000000">
      <w:r>
        <w:t>• Release code/config where permissible for replication.</w:t>
      </w:r>
    </w:p>
    <w:p w14:paraId="7CD4E64F" w14:textId="5C2CE721" w:rsidR="00670860" w:rsidRDefault="00670860" w:rsidP="00670860">
      <w:pPr>
        <w:pStyle w:val="Heading1"/>
      </w:pPr>
      <w:r>
        <w:t>8</w:t>
      </w:r>
      <w:r>
        <w:t xml:space="preserve">. </w:t>
      </w:r>
      <w:r>
        <w:t>Source code and documentation</w:t>
      </w:r>
    </w:p>
    <w:p w14:paraId="267E8E9F" w14:textId="143FDCFA" w:rsidR="00670860" w:rsidRDefault="00670860">
      <w:r>
        <w:t xml:space="preserve">Full source code and extensive documentation on the method and validation tests is publicly available at </w:t>
      </w:r>
      <w:hyperlink r:id="rId6" w:history="1">
        <w:r w:rsidRPr="00670860">
          <w:rPr>
            <w:rStyle w:val="Hyperlink"/>
          </w:rPr>
          <w:t>https://github.com/skirsch/KCOR</w:t>
        </w:r>
      </w:hyperlink>
      <w:r>
        <w:t xml:space="preserve">. </w:t>
      </w:r>
    </w:p>
    <w:p w14:paraId="16DB3498" w14:textId="27BB8803" w:rsidR="00115FA9" w:rsidRDefault="00670860">
      <w:pPr>
        <w:pStyle w:val="Heading1"/>
      </w:pPr>
      <w:r>
        <w:t>9</w:t>
      </w:r>
      <w:r w:rsidR="00000000">
        <w:t>. Figure</w:t>
      </w:r>
      <w:r w:rsidR="001D187B">
        <w:t>s</w:t>
      </w:r>
      <w:r w:rsidR="00000000">
        <w:t xml:space="preserve"> and table</w:t>
      </w:r>
      <w:r w:rsidR="001D187B">
        <w:t>s</w:t>
      </w:r>
      <w:r w:rsidR="001D187B">
        <w:br/>
      </w:r>
      <w:r w:rsidR="001D187B">
        <w:br/>
      </w:r>
      <w:r w:rsidR="001D187B" w:rsidRPr="001D187B">
        <w:t>anchor selection → slope normalization → discrete hazard transform → cumulative hazards → baseline normalization → KCOR(t).</w:t>
      </w:r>
    </w:p>
    <w:p w14:paraId="5C27CC05" w14:textId="55007E70" w:rsidR="001D187B" w:rsidRDefault="00000000">
      <w:r>
        <w:t xml:space="preserve">Figure 1. KCOR workflow </w:t>
      </w:r>
    </w:p>
    <w:p w14:paraId="02761852" w14:textId="77777777" w:rsidR="00115FA9" w:rsidRDefault="00000000">
      <w:pPr>
        <w:pStyle w:val="Heading1"/>
      </w:pPr>
      <w:r>
        <w:t>Author Contributions</w:t>
      </w:r>
    </w:p>
    <w:p w14:paraId="078FBC03" w14:textId="77777777" w:rsidR="00115FA9" w:rsidRDefault="00000000">
      <w:r>
        <w:t>Conceptualization, methodology, software, validation, writing—original draft, writing—review &amp; editing: S.K.</w:t>
      </w:r>
    </w:p>
    <w:p w14:paraId="302C77BD" w14:textId="77777777" w:rsidR="00115FA9" w:rsidRDefault="00000000">
      <w:pPr>
        <w:pStyle w:val="Heading1"/>
      </w:pPr>
      <w:r>
        <w:t>Acknowledgments</w:t>
      </w:r>
    </w:p>
    <w:p w14:paraId="34FA646B" w14:textId="77777777" w:rsidR="00115FA9" w:rsidRDefault="00000000">
      <w:r>
        <w:t>Thanks to colleagues who provided feedback on discrete‑hazard implementations, anchor selection, and diagnostics.</w:t>
      </w:r>
    </w:p>
    <w:p w14:paraId="04EB3481" w14:textId="77777777" w:rsidR="00115FA9" w:rsidRDefault="00000000">
      <w:pPr>
        <w:pStyle w:val="Heading1"/>
      </w:pPr>
      <w:r>
        <w:lastRenderedPageBreak/>
        <w:t>References</w:t>
      </w:r>
    </w:p>
    <w:p w14:paraId="4E49E99B" w14:textId="08088081" w:rsidR="00115FA9" w:rsidRDefault="00000000">
      <w:r>
        <w:t>[1] KCOR README and method notes (</w:t>
      </w:r>
      <w:hyperlink r:id="rId7" w:history="1">
        <w:r w:rsidRPr="00161C44">
          <w:rPr>
            <w:rStyle w:val="Hyperlink"/>
          </w:rPr>
          <w:t>repository documentation</w:t>
        </w:r>
      </w:hyperlink>
      <w:r>
        <w:t>).</w:t>
      </w:r>
    </w:p>
    <w:p w14:paraId="0493AC00" w14:textId="6F07E5FE" w:rsidR="00115FA9" w:rsidRDefault="00000000">
      <w:r>
        <w:t xml:space="preserve">[2] Levi R., Ladapo J.A., et al., </w:t>
      </w:r>
      <w:hyperlink r:id="rId8" w:history="1">
        <w:r w:rsidRPr="00161C44">
          <w:rPr>
            <w:rStyle w:val="Hyperlink"/>
          </w:rPr>
          <w:t>Twelve‑Month All‑Cause Mortality after Initial COVID‑19 Vaccination</w:t>
        </w:r>
      </w:hyperlink>
      <w:r>
        <w:t xml:space="preserve">, </w:t>
      </w:r>
      <w:proofErr w:type="spellStart"/>
      <w:r>
        <w:t>medRxiv</w:t>
      </w:r>
      <w:proofErr w:type="spellEnd"/>
      <w:r>
        <w:t xml:space="preserve"> (preprint), 2025.</w:t>
      </w:r>
    </w:p>
    <w:p w14:paraId="7BCF92EB" w14:textId="20EF0536" w:rsidR="006A4C70" w:rsidRPr="006A4C70" w:rsidRDefault="006A4C70" w:rsidP="006A4C70">
      <w:r>
        <w:t xml:space="preserve">[3] </w:t>
      </w:r>
      <w:proofErr w:type="spellStart"/>
      <w:r w:rsidRPr="006A4C70">
        <w:t>Chemaitelly</w:t>
      </w:r>
      <w:proofErr w:type="spellEnd"/>
      <w:r w:rsidRPr="006A4C70">
        <w:t xml:space="preserve">, H. et al., </w:t>
      </w:r>
      <w:hyperlink r:id="rId9" w:history="1">
        <w:r w:rsidRPr="006A4C70">
          <w:rPr>
            <w:rStyle w:val="Hyperlink"/>
          </w:rPr>
          <w:t>Assessing healthy vaccinee effect in COVID-19 vaccine effectiveness studies: a national cohort study in Qatar</w:t>
        </w:r>
      </w:hyperlink>
    </w:p>
    <w:sectPr w:rsidR="006A4C70" w:rsidRPr="006A4C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1699197">
    <w:abstractNumId w:val="8"/>
  </w:num>
  <w:num w:numId="2" w16cid:durableId="1489637411">
    <w:abstractNumId w:val="6"/>
  </w:num>
  <w:num w:numId="3" w16cid:durableId="1891114295">
    <w:abstractNumId w:val="5"/>
  </w:num>
  <w:num w:numId="4" w16cid:durableId="976760578">
    <w:abstractNumId w:val="4"/>
  </w:num>
  <w:num w:numId="5" w16cid:durableId="6830874">
    <w:abstractNumId w:val="7"/>
  </w:num>
  <w:num w:numId="6" w16cid:durableId="1722703754">
    <w:abstractNumId w:val="3"/>
  </w:num>
  <w:num w:numId="7" w16cid:durableId="87234539">
    <w:abstractNumId w:val="2"/>
  </w:num>
  <w:num w:numId="8" w16cid:durableId="2029453643">
    <w:abstractNumId w:val="1"/>
  </w:num>
  <w:num w:numId="9" w16cid:durableId="1702125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903"/>
    <w:rsid w:val="00034616"/>
    <w:rsid w:val="00044DC5"/>
    <w:rsid w:val="0006063C"/>
    <w:rsid w:val="00115FA9"/>
    <w:rsid w:val="0015074B"/>
    <w:rsid w:val="00161C44"/>
    <w:rsid w:val="001D187B"/>
    <w:rsid w:val="0029639D"/>
    <w:rsid w:val="00326F90"/>
    <w:rsid w:val="00397C2F"/>
    <w:rsid w:val="006605B0"/>
    <w:rsid w:val="00670860"/>
    <w:rsid w:val="006A4C70"/>
    <w:rsid w:val="00771CF0"/>
    <w:rsid w:val="007B20D4"/>
    <w:rsid w:val="00AA1D8D"/>
    <w:rsid w:val="00B47730"/>
    <w:rsid w:val="00CB0664"/>
    <w:rsid w:val="00DE58E5"/>
    <w:rsid w:val="00DF0A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2F35C"/>
  <w14:defaultImageDpi w14:val="300"/>
  <w15:docId w15:val="{C3342236-1E4E-4E5C-B0B0-093894B1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61C44"/>
    <w:rPr>
      <w:color w:val="0000FF" w:themeColor="hyperlink"/>
      <w:u w:val="single"/>
    </w:rPr>
  </w:style>
  <w:style w:type="character" w:styleId="UnresolvedMention">
    <w:name w:val="Unresolved Mention"/>
    <w:basedOn w:val="DefaultParagraphFont"/>
    <w:uiPriority w:val="99"/>
    <w:semiHidden/>
    <w:unhideWhenUsed/>
    <w:rsid w:val="00161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rxiv.org/content/10.1101/2025.04.25.25326460v1" TargetMode="External"/><Relationship Id="rId3" Type="http://schemas.openxmlformats.org/officeDocument/2006/relationships/styles" Target="styles.xml"/><Relationship Id="rId7" Type="http://schemas.openxmlformats.org/officeDocument/2006/relationships/hyperlink" Target="https://github.com/skirsch/KCOR/tree/m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kirsch/KCO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ifesciences.org/articles/1036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Steve Kirsch</cp:lastModifiedBy>
  <cp:revision>9</cp:revision>
  <dcterms:created xsi:type="dcterms:W3CDTF">2013-12-23T23:15:00Z</dcterms:created>
  <dcterms:modified xsi:type="dcterms:W3CDTF">2025-09-18T03:47:00Z</dcterms:modified>
  <cp:category/>
</cp:coreProperties>
</file>