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100.png" ContentType="image/png"/>
  <Override PartName="/word/media/rId104.png" ContentType="image/png"/>
  <Override PartName="/word/media/rId76.png" ContentType="image/png"/>
  <Override PartName="/word/media/rId80.png" ContentType="image/png"/>
  <Override PartName="/word/media/rId70.png" ContentType="image/png"/>
  <Override PartName="/word/media/rId94.png" ContentType="image/png"/>
  <Override PartName="/word/media/rId112.png" ContentType="image/png"/>
  <Override PartName="/word/media/rId135.png" ContentType="image/png"/>
  <Override PartName="/word/media/rId131.png" ContentType="image/png"/>
  <Override PartName="/word/media/rId118.png" ContentType="image/png"/>
  <Override PartName="/word/media/rId127.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and transforms observed cumulative hazards into depletion-neutralized baseline cumulative hazards. Cohorts are then compared using a</w:t>
      </w:r>
      <w:r>
        <w:t xml:space="preserve"> </w:t>
      </w:r>
      <w:r>
        <w:rPr>
          <w:b/>
          <w:bCs/>
        </w:rPr>
        <w:t xml:space="preserve">cumulative hazard ratio</w:t>
      </w:r>
      <w:r>
        <w:t xml:space="preserve">, which is the estimand reported by the method. Because selection and treatment may be confounded in observational data, KCOR is presented as a normalization-and-comparison framework rather than a general causal estimator; interpretability is evaluated using prespecified diagnostics, negative controls, and simulations. KCOR requires only event timing—dates of enrollment and death, with optional age stratification—making it applicable to minimal record-level mortality datasets. Simulation studies confirm that KCOR remains near-null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6"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6"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bookmarkEnd w:id="14"/>
    <w:bookmarkStart w:id="15"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inherits the same curvature-driven bias present in unadjusted survival functions and does not normalize selection-induced depletion geometry.</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5"/>
    <w:bookmarkEnd w:id="16"/>
    <w:bookmarkStart w:id="20"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7"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7"/>
    <w:bookmarkStart w:id="19"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8"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
    <w:bookmarkEnd w:id="19"/>
    <w:bookmarkEnd w:id="20"/>
    <w:bookmarkStart w:id="23"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1"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1"/>
    <w:p/>
    <w:bookmarkStart w:id="22"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2"/>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 The method makes no claims regarding causality or mechanism and does not rely on assumptions of proportional hazards, exchangeability, or treatment randomization. The method does not target survival-based summary estimands such as RMST, but instead defines a cumulative hazard ratio after depletion normalization.</w:t>
      </w:r>
    </w:p>
    <w:bookmarkEnd w:id="23"/>
    <w:bookmarkStart w:id="24"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bookmarkEnd w:id="24"/>
    <w:bookmarkStart w:id="25" w:name="competing-approaches-and-evaluation-plan"/>
    <w:p>
      <w:pPr>
        <w:pStyle w:val="Heading3"/>
      </w:pPr>
      <w:r>
        <w:t xml:space="preserve">1.7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cumulative hazards:</w:t>
      </w:r>
    </w:p>
    <w:p>
      <w:pPr>
        <w:pStyle w:val="FirstParagraph"/>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5"/>
    <w:bookmarkEnd w:id="26"/>
    <w:bookmarkStart w:id="89"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27"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27"/>
    <w:p>
      <w:pPr>
        <w:pStyle w:val="BodyText"/>
      </w:pPr>
      <w:r>
        <w:t xml:space="preserve">For COVID-19 vaccination analyses, intervention count corresponds to the number of vaccine doses received; more generally, this can index any discrete exposure level.</w:t>
      </w:r>
    </w:p>
    <w:bookmarkStart w:id="34"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10"/>
        </w:numPr>
      </w:pPr>
      <w:r>
        <w:rPr>
          <w:b/>
          <w:bCs/>
        </w:rPr>
        <w:t xml:space="preserve">Level effects</w:t>
      </w:r>
      <w:r>
        <w:t xml:space="preserve">: multiplicative shifts in hazard that are constant over time.</w:t>
      </w:r>
    </w:p>
    <w:p>
      <w:pPr>
        <w:pStyle w:val="Compact"/>
        <w:numPr>
          <w:ilvl w:val="0"/>
          <w:numId w:val="1010"/>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8"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8"/>
    <w:bookmarkStart w:id="29"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11"/>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11"/>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11"/>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11"/>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11"/>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9"/>
    <w:bookmarkStart w:id="30" w:name="multiplicity-and-ensemble-interpretation"/>
    <w:p>
      <w:pPr>
        <w:pStyle w:val="Heading4"/>
      </w:pPr>
      <w:r>
        <w:t xml:space="preserve">2.1.3 Multiplicity and ensemble interpretation</w:t>
      </w:r>
    </w:p>
    <w:p>
      <w:pPr>
        <w:pStyle w:val="FirstParagraph"/>
      </w:pPr>
      <w:r>
        <w:t xml:space="preserve">KCOR is not intended as a mass univariate hypothesis-testing framework. When applied across multiple age strata, enrollment periods, or dose comparisons, resulting KCOR(t)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30"/>
    <w:bookmarkStart w:id="31" w:name="identifiability-and-scope-of-inference"/>
    <w:p>
      <w:pPr>
        <w:pStyle w:val="Heading4"/>
      </w:pPr>
      <w:r>
        <w:t xml:space="preserve">2.1.4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is not a general causal estimator under arbitrary unmeasured confounding; it is a depletion-normalization method that yields a cumulative cohort contrast that is interpretable only conditional on the stated assumptions, controls, and diagnostics.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31"/>
    <w:bookmarkStart w:id="32" w:name="X2ff639dda5c76ee12c1be373d6ab806d9726741"/>
    <w:p>
      <w:pPr>
        <w:pStyle w:val="Heading4"/>
      </w:pPr>
      <w:r>
        <w:t xml:space="preserve">2.1.5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32"/>
    <w:bookmarkStart w:id="33" w:name="X19be1cc8b4f22674f4fa31b60c80ceca3407093"/>
    <w:p>
      <w:pPr>
        <w:pStyle w:val="Heading4"/>
      </w:pPr>
      <w:r>
        <w:t xml:space="preserve">2.1.6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3"/>
    <w:bookmarkEnd w:id="34"/>
    <w:bookmarkStart w:id="36"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12"/>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12"/>
        </w:numPr>
      </w:pPr>
      <w:r>
        <w:t xml:space="preserve">No censoring or cohort switching is permitted in the primary estimand.</w:t>
      </w:r>
    </w:p>
    <w:p>
      <w:pPr>
        <w:pStyle w:val="Compact"/>
        <w:numPr>
          <w:ilvl w:val="0"/>
          <w:numId w:val="1012"/>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5"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13"/>
        </w:numPr>
      </w:pPr>
      <w:r>
        <w:t xml:space="preserve">Record-level data</w:t>
      </w:r>
      <w:r>
        <w:br/>
      </w:r>
    </w:p>
    <w:p>
      <w:pPr>
        <w:pStyle w:val="Compact"/>
        <w:numPr>
          <w:ilvl w:val="0"/>
          <w:numId w:val="1013"/>
        </w:numPr>
      </w:pPr>
      <w:r>
        <w:t xml:space="preserve">Aggregated outcome summary data</w:t>
      </w:r>
      <w:r>
        <w:br/>
      </w:r>
    </w:p>
    <w:p>
      <w:pPr>
        <w:pStyle w:val="Compact"/>
        <w:numPr>
          <w:ilvl w:val="0"/>
          <w:numId w:val="1013"/>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5"/>
    <w:bookmarkEnd w:id="36"/>
    <w:bookmarkStart w:id="40"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7"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7"/>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8"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8"/>
    <w:bookmarkStart w:id="39"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9"/>
    <w:bookmarkEnd w:id="40"/>
    <w:bookmarkStart w:id="53" w:name="Xe033a348c5bd6b05b57c8d9f7299f5850ccd667"/>
    <w:p>
      <w:pPr>
        <w:pStyle w:val="Heading3"/>
      </w:pPr>
      <w:r>
        <w:t xml:space="preserve">2.4 Selection model: gamma frailty and the cumulative-hazard identity</w:t>
      </w:r>
    </w:p>
    <w:bookmarkStart w:id="42"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41"/>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 observed cohort hazards 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42"/>
    <w:bookmarkStart w:id="50" w:name="gamma-frailty-identity-core-mathematics"/>
    <w:p>
      <w:pPr>
        <w:pStyle w:val="Heading4"/>
      </w:pPr>
      <w:r>
        <w:t xml:space="preserve">2.4.2 Gamma-frailty identity (core mathematics)</w:t>
      </w:r>
    </w:p>
    <w:p>
      <w:pPr>
        <w:pStyle w:val="FirstParagraph"/>
      </w:pPr>
      <w:r>
        <w:t xml:space="preserve">Let the baseline cumulative hazard be</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3"/>
    <w:p>
      <w:pPr>
        <w:pStyle w:val="BodyText"/>
      </w:pPr>
      <w:r>
        <w:t xml:space="preserve">Integrating over gamma frailty yields a closed-form relationship between the observed cohort cumulative hazard and the baseline cumulative hazard:</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4"/>
    <w:p>
      <w:pPr>
        <w:pStyle w:val="BodyText"/>
      </w:pPr>
      <w:r>
        <w:t xml:space="preserve">This identity can be inverted exactly:</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5"/>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9"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 title="" id="47" name="Picture"/>
            <a:graphic>
              <a:graphicData uri="http://schemas.openxmlformats.org/drawingml/2006/picture">
                <pic:pic>
                  <pic:nvPicPr>
                    <pic:cNvPr descr="figures/fig1_kcor_v6_schematic.png" id="48" name="Picture"/>
                    <pic:cNvPicPr>
                      <a:picLocks noChangeArrowheads="1" noChangeAspect="1"/>
                    </pic:cNvPicPr>
                  </pic:nvPicPr>
                  <pic:blipFill>
                    <a:blip r:embed="rId46"/>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w:t>
      </w:r>
    </w:p>
    <w:bookmarkEnd w:id="49"/>
    <w:p>
      <w:pPr>
        <w:pStyle w:val="BodyText"/>
      </w:pPr>
      <w:r>
        <w:t xml:space="preserve">Observed cumulative hazard:</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p>
      <w:pPr>
        <w:pStyle w:val="FirstParagraph"/>
      </w:pPr>
      <w:r>
        <w:t xml:space="preserve">Baseline cumulative hazard:</w:t>
      </w:r>
    </w:p>
    <w:p>
      <w:pPr>
        <w:pStyle w:val="BodyText"/>
      </w:pPr>
      <m:oMathPara>
        <m:oMathParaPr>
          <m:jc m:val="center"/>
        </m:oMathParaPr>
        <m:oMath>
          <m:sSub>
            <m:e>
              <m:r>
                <m:t>H</m:t>
              </m:r>
            </m:e>
            <m:sub>
              <m:r>
                <m:t>0</m:t>
              </m:r>
              <m:r>
                <m:rPr>
                  <m:sty m:val="p"/>
                </m:rPr>
                <m:t>,</m:t>
              </m:r>
              <m:r>
                <m:t>d</m:t>
              </m:r>
            </m:sub>
          </m:sSub>
          <m:r>
            <m:rPr>
              <m:sty m:val="p"/>
            </m:rPr>
            <m:t>(</m:t>
          </m:r>
          <m:r>
            <m:t>t</m:t>
          </m:r>
          <m:r>
            <m:rPr>
              <m:sty m:val="p"/>
            </m:rPr>
            <m:t>)</m:t>
          </m:r>
        </m:oMath>
      </m:oMathPara>
    </w:p>
    <w:bookmarkEnd w:id="50"/>
    <w:bookmarkStart w:id="52"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51"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7</m:t>
        </m:r>
        <m:r>
          <m:rPr>
            <m:sty m:val="p"/>
          </m:rPr>
          <m:t>)</m:t>
        </m:r>
      </m:oMath>
    </w:p>
    <w:bookmarkEnd w:id="51"/>
    <w:p>
      <w:pPr>
        <w:pStyle w:val="BodyText"/>
      </w:pPr>
      <w:r>
        <w:t xml:space="preserve">This choice minimizes degrees of freedom and forces curvature during quiet periods to be explained by selection (frailty) rather than by an explicit time-varying baseline.</w:t>
      </w:r>
    </w:p>
    <w:bookmarkEnd w:id="52"/>
    <w:bookmarkEnd w:id="53"/>
    <w:bookmarkStart w:id="58"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4"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4"/>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5"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5"/>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7"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4"/>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4"/>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4"/>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6"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6"/>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5"/>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7"/>
    <w:bookmarkEnd w:id="58"/>
    <w:bookmarkStart w:id="63"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9"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9"/>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60"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60"/>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cumulative hazard 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61"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61"/>
    <w:bookmarkStart w:id="62"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62"/>
    <w:bookmarkEnd w:id="63"/>
    <w:bookmarkStart w:id="65"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4"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4"/>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5"/>
    <w:bookmarkStart w:id="67"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6" w:name="eq:kcor-estimator"/>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6"/>
    <w:p>
      <w:pPr>
        <w:pStyle w:val="BodyText"/>
      </w:pPr>
      <w:r>
        <w:t xml:space="preserve">This is a cumulative comparison in hazard space after removing cohort-specific selection-induced depletion dynamics estimated during quiet periods.</w:t>
      </w:r>
    </w:p>
    <w:bookmarkEnd w:id="67"/>
    <w:bookmarkStart w:id="68"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8"/>
    <w:bookmarkStart w:id="74"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9"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t>K</m:t>
              </m:r>
              <m:r>
                <m:t>C</m:t>
              </m:r>
              <m:r>
                <m:t>O</m:t>
              </m:r>
              <m: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9"/>
    <w:bookmarkStart w:id="73"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71" name="Picture"/>
            <a:graphic>
              <a:graphicData uri="http://schemas.openxmlformats.org/drawingml/2006/picture">
                <pic:pic>
                  <pic:nvPicPr>
                    <pic:cNvPr descr="figures/fig_kcor_workflow.png" id="72" name="Picture"/>
                    <pic:cNvPicPr>
                      <a:picLocks noChangeArrowheads="1" noChangeAspect="1"/>
                    </pic:cNvPicPr>
                  </pic:nvPicPr>
                  <pic:blipFill>
                    <a:blip r:embed="rId70"/>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3"/>
    <w:bookmarkEnd w:id="74"/>
    <w:bookmarkStart w:id="86"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4"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KCOR(t)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KCOR(t)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5"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KCOR(t)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5"/>
    <w:bookmarkStart w:id="79"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7" name="Picture"/>
            <a:graphic>
              <a:graphicData uri="http://schemas.openxmlformats.org/drawingml/2006/picture">
                <pic:pic>
                  <pic:nvPicPr>
                    <pic:cNvPr descr="figures/fig_cox_bias_h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9"/>
    <w:bookmarkStart w:id="83" w:name="fig:cox_bias_kcor"/>
    <w:p>
      <w:pPr>
        <w:pStyle w:val="CaptionedFigure"/>
      </w:pPr>
      <w:r>
        <w:drawing>
          <wp:inline>
            <wp:extent cx="5334000" cy="3975680"/>
            <wp:effectExtent b="0" l="0" r="0" t="0"/>
            <wp:docPr descr="Figure 4. KCOR(t) remains null under a synthetic null across increasing frailty heterogeneity. KCOR(t) asymptotes remain near 1 across \theta in the same simulations, consistent with correct null behavior after depletion normalization." title="" id="81" name="Picture"/>
            <a:graphic>
              <a:graphicData uri="http://schemas.openxmlformats.org/drawingml/2006/picture">
                <pic:pic>
                  <pic:nvPicPr>
                    <pic:cNvPr descr="figures/fig_cox_bias_kcor_vs_theta.png" id="82" name="Picture"/>
                    <pic:cNvPicPr>
                      <a:picLocks noChangeArrowheads="1" noChangeAspect="1"/>
                    </pic:cNvPicPr>
                  </pic:nvPicPr>
                  <pic:blipFill>
                    <a:blip r:embed="rId80"/>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KCOR(t) remains null under a synthetic null across increasing frailty heterogeneity. KCOR(t) asymptotes remain near 1 across</w:t>
      </w:r>
      <w:r>
        <w:t xml:space="preserve"> </w:t>
      </w:r>
      <m:oMath>
        <m:r>
          <m:t>θ</m:t>
        </m:r>
      </m:oMath>
      <w:r>
        <w:t xml:space="preserve"> </w:t>
      </w:r>
      <w:r>
        <w:t xml:space="preserve">in the same simulations, consistent with correct null behavior after depletion normalization.</w:t>
      </w:r>
    </w:p>
    <w:bookmarkEnd w:id="83"/>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 KCOR(t)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4"/>
    <w:bookmarkStart w:id="85"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5"/>
    <w:bookmarkEnd w:id="86"/>
    <w:bookmarkStart w:id="87"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 KCOR(t) construction, accompanied by diagnostic plots assessing post-normalization linearity and parameter stability.</w:t>
      </w:r>
    </w:p>
    <w:bookmarkEnd w:id="87"/>
    <w:bookmarkStart w:id="88"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8"/>
    <w:bookmarkEnd w:id="89"/>
    <w:bookmarkStart w:id="14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90" w:name="tbl:frailty_diagnostics"/>
    <w:p>
      <w:pPr>
        <w:pStyle w:val="TableCaption"/>
      </w:pPr>
      <w:r>
        <w:t xml:space="preserve">Table 7.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90"/>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91"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91"/>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92"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92"/>
    <w:bookmarkStart w:id="93"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93"/>
    <w:bookmarkStart w:id="110" w:name="X250d2743dd947cd04209f9dc9cf02b545517230"/>
    <w:p>
      <w:pPr>
        <w:pStyle w:val="Heading3"/>
      </w:pPr>
      <w:r>
        <w:t xml:space="preserve">3.1 Negative controls: null under selection-induced curvature</w:t>
      </w:r>
    </w:p>
    <w:bookmarkStart w:id="9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7" w:name="fig:neg_control_synthetic"/>
    <w:p>
      <w:pPr>
        <w:pStyle w:val="CaptionedFigure"/>
      </w:pPr>
      <w:r>
        <w:drawing>
          <wp:inline>
            <wp:extent cx="5334000" cy="3852333"/>
            <wp:effectExtent b="0" l="0" r="0" t="0"/>
            <wp:docPr descr="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 title="" id="95" name="Picture"/>
            <a:graphic>
              <a:graphicData uri="http://schemas.openxmlformats.org/drawingml/2006/picture">
                <pic:pic>
                  <pic:nvPicPr>
                    <pic:cNvPr descr="figures/fig_neg_control_synthetic.png" id="96" name="Picture"/>
                    <pic:cNvPicPr>
                      <a:picLocks noChangeArrowheads="1" noChangeAspect="1"/>
                    </pic:cNvPicPr>
                  </pic:nvPicPr>
                  <pic:blipFill>
                    <a:blip r:embed="rId9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w:t>
      </w:r>
    </w:p>
    <w:bookmarkEnd w:id="97"/>
    <w:bookmarkEnd w:id="98"/>
    <w:bookmarkEnd w:id="99"/>
    <w:bookmarkStart w:id="10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KCOR(t)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103"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12" title="" id="101" name="Picture"/>
            <a:graphic>
              <a:graphicData uri="http://schemas.openxmlformats.org/drawingml/2006/picture">
                <pic:pic>
                  <pic:nvPicPr>
                    <pic:cNvPr descr="figures/fig2_neg_control_10yr_age_diff.png" id="102" name="Picture"/>
                    <pic:cNvPicPr>
                      <a:picLocks noChangeArrowheads="1" noChangeAspect="1"/>
                    </pic:cNvPicPr>
                  </pic:nvPicPr>
                  <pic:blipFill>
                    <a:blip r:embed="rId10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12</w:t>
      </w:r>
    </w:p>
    <w:bookmarkEnd w:id="103"/>
    <w:bookmarkStart w:id="107"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 title="" id="105" name="Picture"/>
            <a:graphic>
              <a:graphicData uri="http://schemas.openxmlformats.org/drawingml/2006/picture">
                <pic:pic>
                  <pic:nvPicPr>
                    <pic:cNvPr descr="figures/fig3_neg_control_20yr_age_diff.png" id="106" name="Picture"/>
                    <pic:cNvPicPr>
                      <a:picLocks noChangeArrowheads="1" noChangeAspect="1"/>
                    </pic:cNvPicPr>
                  </pic:nvPicPr>
                  <pic:blipFill>
                    <a:blip r:embed="rId10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w:t>
      </w:r>
    </w:p>
    <w:bookmarkEnd w:id="107"/>
    <w:p>
      <w:pPr>
        <w:pStyle w:val="BodyText"/>
      </w:pPr>
      <w:r>
        <w:t xml:space="preserve">Table 9 provides numeric summaries.</w:t>
      </w:r>
    </w:p>
    <w:bookmarkStart w:id="108" w:name="tbl:neg_control_summary"/>
    <w:p>
      <w:pPr>
        <w:pStyle w:val="TableCaption"/>
      </w:pPr>
      <w:r>
        <w:t xml:space="preserve">Table 9. Example end-of-window KCOR(t)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8"/>
    <w:bookmarkEnd w:id="109"/>
    <w:bookmarkEnd w:id="110"/>
    <w:bookmarkStart w:id="117"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11"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11"/>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5"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13" name="Picture"/>
            <a:graphic>
              <a:graphicData uri="http://schemas.openxmlformats.org/drawingml/2006/picture">
                <pic:pic>
                  <pic:nvPicPr>
                    <pic:cNvPr descr="figures/fig_pos_control_injected.png" id="114" name="Picture"/>
                    <pic:cNvPicPr>
                      <a:picLocks noChangeArrowheads="1" noChangeAspect="1"/>
                    </pic:cNvPicPr>
                  </pic:nvPicPr>
                  <pic:blipFill>
                    <a:blip r:embed="rId11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5"/>
    <w:bookmarkStart w:id="116"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6"/>
    <w:bookmarkEnd w:id="117"/>
    <w:bookmarkStart w:id="12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9 summarizes KCOR stability across the parameter grid.</w:t>
      </w:r>
    </w:p>
    <w:bookmarkStart w:id="121" w:name="fig:sensitivity_overview"/>
    <w:p>
      <w:pPr>
        <w:pStyle w:val="CaptionedFigure"/>
      </w:pPr>
      <w:r>
        <w:drawing>
          <wp:inline>
            <wp:extent cx="5334000" cy="1571483"/>
            <wp:effectExtent b="0" l="0" r="0" t="0"/>
            <wp:docPr descr="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 title="" id="119" name="Picture"/>
            <a:graphic>
              <a:graphicData uri="http://schemas.openxmlformats.org/drawingml/2006/picture">
                <pic:pic>
                  <pic:nvPicPr>
                    <pic:cNvPr descr="figures/fig_sensitivity_overview.png" id="120" name="Picture"/>
                    <pic:cNvPicPr>
                      <a:picLocks noChangeArrowheads="1" noChangeAspect="1"/>
                    </pic:cNvPicPr>
                  </pic:nvPicPr>
                  <pic:blipFill>
                    <a:blip r:embed="rId11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w:t>
      </w:r>
    </w:p>
    <w:bookmarkEnd w:id="121"/>
    <w:p>
      <w:pPr>
        <w:pStyle w:val="BodyText"/>
      </w:pPr>
      <w:r>
        <w:t xml:space="preserve">Across all tested parameter ranges, KCOR(t) values remained within approximately ±5% of unity, indicating stability under reasonable variations in fitting choices.</w:t>
      </w:r>
    </w:p>
    <w:bookmarkEnd w:id="122"/>
    <w:bookmarkStart w:id="140"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These findings are consistent with the conceptual discussion of RMST in §1.3.2, which emphasizes that RMST does not remove selection-induced depletion.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KCOR(t) trajectories no longer stabilize during the nominal quiet period, and fit diagnostics degrade (Figure 13), including increased cumulative-hazard fit error and reduced post-normalization linearity. In these cases, KCOR(t)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6" w:name="fig:sim_grid_overview"/>
    <w:p>
      <w:pPr>
        <w:pStyle w:val="CaptionedFigure"/>
      </w:pPr>
      <w:r>
        <w:drawing>
          <wp:inline>
            <wp:extent cx="5334000" cy="4247078"/>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 title="" id="124" name="Picture"/>
            <a:graphic>
              <a:graphicData uri="http://schemas.openxmlformats.org/drawingml/2006/picture">
                <pic:pic>
                  <pic:nvPicPr>
                    <pic:cNvPr descr="figures/fig_sim_grid_overview.png" id="125" name="Picture"/>
                    <pic:cNvPicPr>
                      <a:picLocks noChangeArrowheads="1" noChangeAspect="1"/>
                    </pic:cNvPicPr>
                  </pic:nvPicPr>
                  <pic:blipFill>
                    <a:blip r:embed="rId123"/>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w:t>
      </w:r>
    </w:p>
    <w:bookmarkEnd w:id="126"/>
    <w:bookmarkStart w:id="130" w:name="fig:sim_grid_diagnostics"/>
    <w:p>
      <w:pPr>
        <w:pStyle w:val="CaptionedFigure"/>
      </w:pPr>
      <w:r>
        <w:drawing>
          <wp:inline>
            <wp:extent cx="5334000" cy="2490038"/>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8" name="Picture"/>
            <a:graphic>
              <a:graphicData uri="http://schemas.openxmlformats.org/drawingml/2006/picture">
                <pic:pic>
                  <pic:nvPicPr>
                    <pic:cNvPr descr="figures/fig_sim_grid_diagnostics.png" id="129" name="Picture"/>
                    <pic:cNvPicPr>
                      <a:picLocks noChangeArrowheads="1" noChangeAspect="1"/>
                    </pic:cNvPicPr>
                  </pic:nvPicPr>
                  <pic:blipFill>
                    <a:blip r:embed="rId127"/>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30"/>
    <w:bookmarkStart w:id="134" w:name="fig:s7_overview"/>
    <w:p>
      <w:pPr>
        <w:pStyle w:val="CaptionedFigure"/>
      </w:pPr>
      <w:r>
        <w:drawing>
          <wp:inline>
            <wp:extent cx="5334000" cy="1391685"/>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32" name="Picture"/>
            <a:graphic>
              <a:graphicData uri="http://schemas.openxmlformats.org/drawingml/2006/picture">
                <pic:pic>
                  <pic:nvPicPr>
                    <pic:cNvPr descr="figures/fig_s7_overview.png" id="133" name="Picture"/>
                    <pic:cNvPicPr>
                      <a:picLocks noChangeArrowheads="1" noChangeAspect="1"/>
                    </pic:cNvPicPr>
                  </pic:nvPicPr>
                  <pic:blipFill>
                    <a:blip r:embed="rId131"/>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34"/>
    <w:bookmarkStart w:id="138" w:name="fig:s7_diagnostics"/>
    <w:p>
      <w:pPr>
        <w:pStyle w:val="CaptionedFigure"/>
      </w:pPr>
      <w:r>
        <w:drawing>
          <wp:inline>
            <wp:extent cx="5334000" cy="4431300"/>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6" name="Picture"/>
            <a:graphic>
              <a:graphicData uri="http://schemas.openxmlformats.org/drawingml/2006/picture">
                <pic:pic>
                  <pic:nvPicPr>
                    <pic:cNvPr descr="figures/fig_s7_diagnostics.png" id="137" name="Picture"/>
                    <pic:cNvPicPr>
                      <a:picLocks noChangeArrowheads="1" noChangeAspect="1"/>
                    </pic:cNvPicPr>
                  </pic:nvPicPr>
                  <pic:blipFill>
                    <a:blip r:embed="rId135"/>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8"/>
    <w:p>
      <w:pPr>
        <w:pStyle w:val="BodyText"/>
      </w:pPr>
      <w:r>
        <w:rPr>
          <w:b/>
          <w:bCs/>
        </w:rPr>
        <w:t xml:space="preserve">Comparison with alternative estimands.</w:t>
      </w:r>
      <w:r>
        <w:br/>
      </w:r>
      <w:r>
        <w:t xml:space="preserve">We compare KCOR with restricted mean survival time (RMST) and time-varying Cox regression on the same simulation outputs (Table 11). RMST summarizes survival experience up to a prespecified horizon but inherits depletion-induced bias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bookmarkStart w:id="139" w:name="tbl:comparison_estimands"/>
    <w:p>
      <w:pPr>
        <w:pStyle w:val="TableCaption"/>
      </w:pPr>
      <w:r>
        <w:t xml:space="preserve">Table 11.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w:t>
      </w:r>
    </w:p>
    <w:tbl>
      <w:tblPr>
        <w:tblStyle w:val="Table"/>
        <w:tblW w:type="pct" w:w="5000"/>
        <w:tblLayout w:type="fixed"/>
        <w:tblLook w:firstRow="1" w:lastRow="0" w:firstColumn="0" w:lastColumn="0" w:noHBand="0" w:noVBand="0" w:val="0020"/>
        <w:tblCaption w:val="Table 11.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Bias/deviation (null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Inherits depletion bias from survival curves; does not normalize selection geometry</w:t>
            </w:r>
          </w:p>
        </w:tc>
      </w:tr>
      <w:tr>
        <w:tc>
          <w:tcPr/>
          <w:p>
            <w:pPr>
              <w:pStyle w:val="Compact"/>
            </w:pPr>
            <w:r>
              <w:rPr>
                <w:b/>
                <w:bCs/>
              </w:rPr>
              <w:t xml:space="preserve">Cox (time-varying)</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9"/>
    <w:bookmarkEnd w:id="140"/>
    <w:bookmarkStart w:id="141"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KCOR(t) trajectories in later windows behave as expected under negative and positive controls.</w:t>
      </w:r>
    </w:p>
    <w:bookmarkEnd w:id="141"/>
    <w:bookmarkStart w:id="142"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42"/>
    <w:bookmarkEnd w:id="143"/>
    <w:bookmarkStart w:id="148" w:name="discussion"/>
    <w:p>
      <w:pPr>
        <w:pStyle w:val="Heading2"/>
      </w:pPr>
      <w:r>
        <w:t xml:space="preserve">4. Discussion</w:t>
      </w:r>
    </w:p>
    <w:p>
      <w:pPr>
        <w:pStyle w:val="FirstParagraph"/>
      </w:pPr>
      <w:r>
        <w:rPr>
          <w:b/>
          <w:bCs/>
        </w:rPr>
        <w:t xml:space="preserve">Scope statement (to avoid over-interpretation).</w:t>
      </w:r>
      <w:r>
        <w:t xml:space="preserve"> </w:t>
      </w:r>
      <w:r>
        <w:t xml:space="preserve">KCOR is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4"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5"/>
        </w:numPr>
      </w:pPr>
      <w:r>
        <w:t xml:space="preserve">selection-induced depletion dynamics can be estimated during quiet periods using a gamma-frailty mixture model, and</w:t>
      </w:r>
    </w:p>
    <w:p>
      <w:pPr>
        <w:pStyle w:val="Compact"/>
        <w:numPr>
          <w:ilvl w:val="0"/>
          <w:numId w:val="102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insisting on point-identification of a causal effect can be less reliable than explicitly normalizing a dominant bias geometry and transparently reporting when identifiability is not supported.</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44"/>
    <w:bookmarkStart w:id="14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5"/>
    <w:bookmarkStart w:id="14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6"/>
        </w:numPr>
      </w:pPr>
      <w:r>
        <w:t xml:space="preserve">Enrollment definition and justification</w:t>
      </w:r>
    </w:p>
    <w:p>
      <w:pPr>
        <w:pStyle w:val="Compact"/>
        <w:numPr>
          <w:ilvl w:val="0"/>
          <w:numId w:val="1026"/>
        </w:numPr>
      </w:pPr>
      <w:r>
        <w:t xml:space="preserve">Risk set definitions and event-time binning</w:t>
      </w:r>
    </w:p>
    <w:p>
      <w:pPr>
        <w:pStyle w:val="Compact"/>
        <w:numPr>
          <w:ilvl w:val="0"/>
          <w:numId w:val="1026"/>
        </w:numPr>
      </w:pPr>
      <w:r>
        <w:t xml:space="preserve">Quiet-window definition and justification</w:t>
      </w:r>
    </w:p>
    <w:p>
      <w:pPr>
        <w:pStyle w:val="Compact"/>
        <w:numPr>
          <w:ilvl w:val="0"/>
          <w:numId w:val="1026"/>
        </w:numPr>
      </w:pPr>
      <w:r>
        <w:t xml:space="preserve">Baseline-shape choice (default constant baseline over the fit window) and fit diagnostics</w:t>
      </w:r>
    </w:p>
    <w:p>
      <w:pPr>
        <w:pStyle w:val="Compact"/>
        <w:numPr>
          <w:ilvl w:val="0"/>
          <w:numId w:val="1026"/>
        </w:numPr>
      </w:pPr>
      <w:r>
        <w:t xml:space="preserve">Skip/stabilization rule and robustness to nearby values</w:t>
      </w:r>
    </w:p>
    <w:p>
      <w:pPr>
        <w:pStyle w:val="Compact"/>
        <w:numPr>
          <w:ilvl w:val="0"/>
          <w:numId w:val="1026"/>
        </w:numPr>
      </w:pPr>
      <w:r>
        <w:t xml:space="preserve">Predefined negative/positive controls used for validation</w:t>
      </w:r>
    </w:p>
    <w:p>
      <w:pPr>
        <w:pStyle w:val="Compact"/>
        <w:numPr>
          <w:ilvl w:val="0"/>
          <w:numId w:val="1026"/>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6"/>
    <w:bookmarkStart w:id="147"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7"/>
    <w:bookmarkEnd w:id="148"/>
    <w:bookmarkStart w:id="152" w:name="limitations"/>
    <w:p>
      <w:pPr>
        <w:pStyle w:val="Heading2"/>
      </w:pPr>
      <w:r>
        <w:t xml:space="preserve">5. Limitations</w:t>
      </w:r>
    </w:p>
    <w:p>
      <w:pPr>
        <w:pStyle w:val="Compact"/>
        <w:numPr>
          <w:ilvl w:val="0"/>
          <w:numId w:val="102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7"/>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7"/>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7"/>
        </w:numPr>
      </w:pPr>
      <w:r>
        <w:rPr>
          <w:b/>
          <w:bCs/>
        </w:rPr>
        <w:t xml:space="preserve">Sparse events</w:t>
      </w:r>
      <w:r>
        <w:t xml:space="preserve">: When event counts are small, hazard estimation and parameter fitting can be unstable.</w:t>
      </w:r>
    </w:p>
    <w:p>
      <w:pPr>
        <w:pStyle w:val="Compact"/>
        <w:numPr>
          <w:ilvl w:val="0"/>
          <w:numId w:val="102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8"/>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8"/>
        </w:numPr>
      </w:pPr>
      <w:r>
        <w:rPr>
          <w:b/>
          <w:bCs/>
        </w:rPr>
        <w:t xml:space="preserve">Extremely sparse cohorts</w:t>
      </w:r>
      <w:r>
        <w:t xml:space="preserve">: When events are rare, observed cumulative hazards become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9"/>
        </w:numPr>
      </w:pPr>
      <w:r>
        <w:rPr>
          <w:b/>
          <w:bCs/>
        </w:rPr>
        <w:t xml:space="preserve">Sensitivity analyses</w:t>
      </w:r>
      <w:r>
        <w:t xml:space="preserve"> </w:t>
      </w:r>
      <w:r>
        <w:t xml:space="preserve">over plausible quiet windows and skip-weeks values.</w:t>
      </w:r>
    </w:p>
    <w:p>
      <w:pPr>
        <w:pStyle w:val="Compact"/>
        <w:numPr>
          <w:ilvl w:val="0"/>
          <w:numId w:val="1029"/>
        </w:numPr>
      </w:pPr>
      <w:r>
        <w:rPr>
          <w:b/>
          <w:bCs/>
        </w:rPr>
        <w:t xml:space="preserve">Prespecified negative controls</w:t>
      </w:r>
      <w:r>
        <w:t xml:space="preserve">: KCOR(t)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9"/>
    <w:bookmarkStart w:id="15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0"/>
    <w:bookmarkStart w:id="151"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1"/>
    <w:bookmarkEnd w:id="152"/>
    <w:bookmarkStart w:id="15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3"/>
    <w:bookmarkStart w:id="164" w:name="declarations"/>
    <w:p>
      <w:pPr>
        <w:pStyle w:val="Heading2"/>
      </w:pPr>
      <w:r>
        <w:t xml:space="preserve">Declarations</w:t>
      </w:r>
    </w:p>
    <w:bookmarkStart w:id="154"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12</w:t>
      </w:r>
    </w:p>
    <w:bookmarkEnd w:id="154"/>
    <w:bookmarkStart w:id="155" w:name="consent-for-publication"/>
    <w:p>
      <w:pPr>
        <w:pStyle w:val="Heading3"/>
      </w:pPr>
      <w:r>
        <w:t xml:space="preserve">Consent for publication</w:t>
      </w:r>
    </w:p>
    <w:p>
      <w:pPr>
        <w:pStyle w:val="FirstParagraph"/>
      </w:pPr>
      <w:r>
        <w:t xml:space="preserve">Not applicable.</w:t>
      </w:r>
    </w:p>
    <w:bookmarkEnd w:id="155"/>
    <w:bookmarkStart w:id="156" w:name="data-availability"/>
    <w:p>
      <w:pPr>
        <w:pStyle w:val="Heading3"/>
      </w:pPr>
      <w:r>
        <w:t xml:space="preserve">Data availability</w:t>
      </w:r>
    </w:p>
    <w:p>
      <w:pPr>
        <w:pStyle w:val="Compact"/>
        <w:numPr>
          <w:ilvl w:val="0"/>
          <w:numId w:val="103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0"/>
        </w:numPr>
      </w:pPr>
      <w:r>
        <w:t xml:space="preserve">The reference implementation includes example datasets in KCOR_CMR format for reproducibility.</w:t>
      </w:r>
    </w:p>
    <w:p>
      <w:pPr>
        <w:pStyle w:val="Compact"/>
        <w:numPr>
          <w:ilvl w:val="0"/>
          <w:numId w:val="103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6"/>
    <w:bookmarkStart w:id="159" w:name="code-availability"/>
    <w:p>
      <w:pPr>
        <w:pStyle w:val="Heading3"/>
      </w:pPr>
      <w:r>
        <w:t xml:space="preserve">Code availability</w:t>
      </w:r>
    </w:p>
    <w:p>
      <w:pPr>
        <w:pStyle w:val="Compact"/>
        <w:numPr>
          <w:ilvl w:val="0"/>
          <w:numId w:val="1031"/>
        </w:numPr>
      </w:pPr>
      <w:r>
        <w:t xml:space="preserve">The KCOR reference implementation and complete validation suite are available in the project repository.</w:t>
      </w:r>
    </w:p>
    <w:p>
      <w:pPr>
        <w:pStyle w:val="Compact"/>
        <w:numPr>
          <w:ilvl w:val="0"/>
          <w:numId w:val="1031"/>
        </w:numPr>
      </w:pPr>
      <w:r>
        <w:t xml:space="preserve">Repository URL:</w:t>
      </w:r>
      <w:r>
        <w:t xml:space="preserve"> </w:t>
      </w:r>
      <w:hyperlink r:id="rId157">
        <w:r>
          <w:rPr>
            <w:rStyle w:val="Hyperlink"/>
          </w:rPr>
          <w:t xml:space="preserve">https://github.com/skirsch/KCOR</w:t>
        </w:r>
      </w:hyperlink>
    </w:p>
    <w:p>
      <w:pPr>
        <w:pStyle w:val="Compact"/>
        <w:numPr>
          <w:ilvl w:val="0"/>
          <w:numId w:val="1031"/>
        </w:numPr>
      </w:pPr>
      <w:r>
        <w:t xml:space="preserve">Zenodo DOI:</w:t>
      </w:r>
      <w:r>
        <w:t xml:space="preserve"> </w:t>
      </w:r>
      <w:hyperlink r:id="rId158">
        <w:r>
          <w:rPr>
            <w:rStyle w:val="Hyperlink"/>
          </w:rPr>
          <w:t xml:space="preserve">10.5281/zenodo.18050329</w:t>
        </w:r>
      </w:hyperlink>
    </w:p>
    <w:p>
      <w:pPr>
        <w:pStyle w:val="Compact"/>
        <w:numPr>
          <w:ilvl w:val="0"/>
          <w:numId w:val="1031"/>
        </w:numPr>
      </w:pPr>
      <w:r>
        <w:t xml:space="preserve">RMST computation and comparison table generation are implemented in</w:t>
      </w:r>
      <w:r>
        <w:t xml:space="preserve"> </w:t>
      </w:r>
      <w:r>
        <w:rPr>
          <w:rStyle w:val="VerbatimChar"/>
        </w:rPr>
        <w:t xml:space="preserve">test/sim_grid/code/generate_sim_grid.py</w:t>
      </w:r>
      <w:r>
        <w:t xml:space="preserve"> </w:t>
      </w:r>
      <w:r>
        <w:t xml:space="preserve">(functions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RMST and time-varying Cox comparators run on the same simulation outputs as KCOR evaluation, requiring no additional random seeds or data generation.</w:t>
      </w:r>
    </w:p>
    <w:bookmarkEnd w:id="159"/>
    <w:bookmarkStart w:id="160" w:name="competing-interests"/>
    <w:p>
      <w:pPr>
        <w:pStyle w:val="Heading3"/>
      </w:pPr>
      <w:r>
        <w:t xml:space="preserve">Competing interests</w:t>
      </w:r>
    </w:p>
    <w:p>
      <w:pPr>
        <w:pStyle w:val="FirstParagraph"/>
      </w:pPr>
      <w:r>
        <w:t xml:space="preserve">The author is a board member of the Vaccine Safety Research Foundation.</w:t>
      </w:r>
    </w:p>
    <w:bookmarkEnd w:id="160"/>
    <w:bookmarkStart w:id="161" w:name="funding"/>
    <w:p>
      <w:pPr>
        <w:pStyle w:val="Heading3"/>
      </w:pPr>
      <w:r>
        <w:t xml:space="preserve">Funding</w:t>
      </w:r>
    </w:p>
    <w:p>
      <w:pPr>
        <w:pStyle w:val="FirstParagraph"/>
      </w:pPr>
      <w:r>
        <w:t xml:space="preserve">This research received no external funding.</w:t>
      </w:r>
    </w:p>
    <w:bookmarkEnd w:id="161"/>
    <w:bookmarkStart w:id="16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2"/>
    <w:bookmarkStart w:id="163"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3"/>
    <w:bookmarkEnd w:id="164"/>
    <w:bookmarkStart w:id="189" w:name="references"/>
    <w:p>
      <w:pPr>
        <w:pStyle w:val="Heading2"/>
      </w:pPr>
      <w:r>
        <w:t xml:space="preserve">References</w:t>
      </w:r>
    </w:p>
    <w:bookmarkStart w:id="188" w:name="refs"/>
    <w:bookmarkStart w:id="166"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5">
        <w:r>
          <w:rPr>
            <w:rStyle w:val="Hyperlink"/>
          </w:rPr>
          <w:t xml:space="preserve">10.2307/2061224</w:t>
        </w:r>
      </w:hyperlink>
    </w:p>
    <w:bookmarkEnd w:id="166"/>
    <w:bookmarkStart w:id="168"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7">
        <w:r>
          <w:rPr>
            <w:rStyle w:val="Hyperlink"/>
          </w:rPr>
          <w:t xml:space="preserve">10.2147/CLEP.S468572</w:t>
        </w:r>
      </w:hyperlink>
    </w:p>
    <w:bookmarkEnd w:id="168"/>
    <w:bookmarkStart w:id="170"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9">
        <w:r>
          <w:rPr>
            <w:rStyle w:val="Hyperlink"/>
          </w:rPr>
          <w:t xml:space="preserve">10.7554/eLife.103690</w:t>
        </w:r>
      </w:hyperlink>
    </w:p>
    <w:bookmarkEnd w:id="170"/>
    <w:bookmarkStart w:id="172"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1">
        <w:r>
          <w:rPr>
            <w:rStyle w:val="Hyperlink"/>
          </w:rPr>
          <w:t xml:space="preserve">10.1093/biomet/81.3.515</w:t>
        </w:r>
      </w:hyperlink>
    </w:p>
    <w:bookmarkEnd w:id="172"/>
    <w:bookmarkStart w:id="174"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3">
        <w:r>
          <w:rPr>
            <w:rStyle w:val="Hyperlink"/>
          </w:rPr>
          <w:t xml:space="preserve">10.1214/aos/1176345976</w:t>
        </w:r>
      </w:hyperlink>
    </w:p>
    <w:bookmarkEnd w:id="174"/>
    <w:bookmarkStart w:id="176"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5">
        <w:r>
          <w:rPr>
            <w:rStyle w:val="Hyperlink"/>
          </w:rPr>
          <w:t xml:space="preserve">10.1002/sim.1203</w:t>
        </w:r>
      </w:hyperlink>
    </w:p>
    <w:bookmarkEnd w:id="176"/>
    <w:bookmarkStart w:id="178"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7">
        <w:r>
          <w:rPr>
            <w:rStyle w:val="Hyperlink"/>
          </w:rPr>
          <w:t xml:space="preserve">10.1002/sim.4780080803</w:t>
        </w:r>
      </w:hyperlink>
    </w:p>
    <w:bookmarkEnd w:id="178"/>
    <w:bookmarkStart w:id="180"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9">
        <w:r>
          <w:rPr>
            <w:rStyle w:val="Hyperlink"/>
          </w:rPr>
          <w:t xml:space="preserve">10.1093/biomet/81.1.61</w:t>
        </w:r>
      </w:hyperlink>
    </w:p>
    <w:bookmarkEnd w:id="180"/>
    <w:bookmarkStart w:id="182"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1">
        <w:r>
          <w:rPr>
            <w:rStyle w:val="Hyperlink"/>
          </w:rPr>
          <w:t xml:space="preserve">10.1111/j.1467-9469.2006.00529.x</w:t>
        </w:r>
      </w:hyperlink>
    </w:p>
    <w:bookmarkEnd w:id="182"/>
    <w:bookmarkStart w:id="184"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3">
        <w:r>
          <w:rPr>
            <w:rStyle w:val="Hyperlink"/>
          </w:rPr>
          <w:t xml:space="preserve">10.1097/00001648-200009000-00011</w:t>
        </w:r>
      </w:hyperlink>
    </w:p>
    <w:bookmarkEnd w:id="184"/>
    <w:bookmarkStart w:id="186"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5">
        <w:r>
          <w:rPr>
            <w:rStyle w:val="Hyperlink"/>
          </w:rPr>
          <w:t xml:space="preserve">10.1093/aje/kwn164</w:t>
        </w:r>
      </w:hyperlink>
    </w:p>
    <w:bookmarkEnd w:id="186"/>
    <w:bookmarkStart w:id="187"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7"/>
    <w:bookmarkEnd w:id="188"/>
    <w:bookmarkEnd w:id="189"/>
    <w:bookmarkStart w:id="223"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5" w:name="appendix-a.-mathematical-derivations"/>
    <w:p>
      <w:pPr>
        <w:pStyle w:val="Heading3"/>
      </w:pPr>
      <w:r>
        <w:t xml:space="preserve">Appendix A. Mathematical derivations</w:t>
      </w:r>
    </w:p>
    <w:bookmarkStart w:id="190"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0"/>
    <w:bookmarkStart w:id="19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91"/>
    <w:bookmarkStart w:id="19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2"/>
    <w:bookmarkStart w:id="19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3"/>
    <w:bookmarkStart w:id="19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4"/>
    <w:bookmarkEnd w:id="195"/>
    <w:bookmarkStart w:id="208" w:name="appendix-b.-control-test-specifications"/>
    <w:p>
      <w:pPr>
        <w:pStyle w:val="Heading3"/>
      </w:pPr>
      <w:r>
        <w:t xml:space="preserve">Appendix B. Control-test specifications</w:t>
      </w:r>
    </w:p>
    <w:bookmarkStart w:id="196"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3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2"/>
        </w:numPr>
      </w:pPr>
      <w:r>
        <w:rPr>
          <w:b/>
          <w:bCs/>
        </w:rPr>
        <w:t xml:space="preserve">Cohort A weights</w:t>
      </w:r>
      <w:r>
        <w:t xml:space="preserve">: Equal weights across 5 frailty groups (0.2 each)</w:t>
      </w:r>
    </w:p>
    <w:p>
      <w:pPr>
        <w:pStyle w:val="Compact"/>
        <w:numPr>
          <w:ilvl w:val="0"/>
          <w:numId w:val="1032"/>
        </w:numPr>
      </w:pPr>
      <w:r>
        <w:rPr>
          <w:b/>
          <w:bCs/>
        </w:rPr>
        <w:t xml:space="preserve">Cohort B weights</w:t>
      </w:r>
      <w:r>
        <w:t xml:space="preserve">: Shifted weights [0.30, 0.20, 0.20, 0.20, 0.10]</w:t>
      </w:r>
    </w:p>
    <w:p>
      <w:pPr>
        <w:pStyle w:val="Compact"/>
        <w:numPr>
          <w:ilvl w:val="0"/>
          <w:numId w:val="1032"/>
        </w:numPr>
      </w:pPr>
      <w:r>
        <w:rPr>
          <w:b/>
          <w:bCs/>
        </w:rPr>
        <w:t xml:space="preserve">Frailty values</w:t>
      </w:r>
      <w:r>
        <w:t xml:space="preserve">: [1, 2, 4, 6, 10] (relative frailty multipliers)</w:t>
      </w:r>
    </w:p>
    <w:p>
      <w:pPr>
        <w:pStyle w:val="Compact"/>
        <w:numPr>
          <w:ilvl w:val="0"/>
          <w:numId w:val="1032"/>
        </w:numPr>
      </w:pPr>
      <w:r>
        <w:rPr>
          <w:b/>
          <w:bCs/>
        </w:rPr>
        <w:t xml:space="preserve">Base weekly probability</w:t>
      </w:r>
      <w:r>
        <w:t xml:space="preserve">: 0.01</w:t>
      </w:r>
    </w:p>
    <w:p>
      <w:pPr>
        <w:pStyle w:val="Compact"/>
        <w:numPr>
          <w:ilvl w:val="0"/>
          <w:numId w:val="1032"/>
        </w:numPr>
      </w:pPr>
      <w:r>
        <w:rPr>
          <w:b/>
          <w:bCs/>
        </w:rPr>
        <w:t xml:space="preserve">Weekly log-slope</w:t>
      </w:r>
      <w:r>
        <w:t xml:space="preserve">: 0.0 (constant baseline during quiet periods)</w:t>
      </w:r>
    </w:p>
    <w:p>
      <w:pPr>
        <w:pStyle w:val="Compact"/>
        <w:numPr>
          <w:ilvl w:val="0"/>
          <w:numId w:val="1032"/>
        </w:numPr>
      </w:pPr>
      <w:r>
        <w:rPr>
          <w:b/>
          <w:bCs/>
        </w:rPr>
        <w:t xml:space="preserve">Skip weeks</w:t>
      </w:r>
      <w:r>
        <w:t xml:space="preserve">: 2</w:t>
      </w:r>
    </w:p>
    <w:p>
      <w:pPr>
        <w:pStyle w:val="Compact"/>
        <w:numPr>
          <w:ilvl w:val="0"/>
          <w:numId w:val="1032"/>
        </w:numPr>
      </w:pPr>
      <w:r>
        <w:rPr>
          <w:b/>
          <w:bCs/>
        </w:rPr>
        <w:t xml:space="preserve">Normalization weeks</w:t>
      </w:r>
      <w:r>
        <w:t xml:space="preserve">: 4</w:t>
      </w:r>
    </w:p>
    <w:p>
      <w:pPr>
        <w:pStyle w:val="Compact"/>
        <w:numPr>
          <w:ilvl w:val="0"/>
          <w:numId w:val="103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6"/>
    <w:bookmarkStart w:id="197"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33"/>
        </w:numPr>
      </w:pPr>
      <w:r>
        <w:rPr>
          <w:b/>
          <w:bCs/>
        </w:rPr>
        <w:t xml:space="preserve">Data source</w:t>
      </w:r>
      <w:r>
        <w:t xml:space="preserve">: Czech Republic administrative mortality and vaccination data, aggregated into KCOR_CMR format</w:t>
      </w:r>
    </w:p>
    <w:p>
      <w:pPr>
        <w:pStyle w:val="Compact"/>
        <w:numPr>
          <w:ilvl w:val="0"/>
          <w:numId w:val="103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3"/>
        </w:numPr>
      </w:pPr>
      <w:r>
        <w:rPr>
          <w:b/>
          <w:bCs/>
        </w:rPr>
        <w:t xml:space="preserve">Construction</w:t>
      </w:r>
      <w:r>
        <w:t xml:space="preserve">: Age strata remapped to pseudo-doses within same vaccination category</w:t>
      </w:r>
    </w:p>
    <w:p>
      <w:pPr>
        <w:pStyle w:val="Compact"/>
        <w:numPr>
          <w:ilvl w:val="0"/>
          <w:numId w:val="1033"/>
        </w:numPr>
      </w:pPr>
      <w:r>
        <w:rPr>
          <w:b/>
          <w:bCs/>
        </w:rPr>
        <w:t xml:space="preserve">Age mapping</w:t>
      </w:r>
      <w:r>
        <w:t xml:space="preserve">:</w:t>
      </w:r>
    </w:p>
    <w:p>
      <w:pPr>
        <w:pStyle w:val="Compact"/>
        <w:numPr>
          <w:ilvl w:val="1"/>
          <w:numId w:val="1034"/>
        </w:numPr>
      </w:pPr>
      <w:r>
        <w:t xml:space="preserve">Dose 0 → YoB {1930, 1935}</w:t>
      </w:r>
    </w:p>
    <w:p>
      <w:pPr>
        <w:pStyle w:val="Compact"/>
        <w:numPr>
          <w:ilvl w:val="1"/>
          <w:numId w:val="1034"/>
        </w:numPr>
      </w:pPr>
      <w:r>
        <w:t xml:space="preserve">Dose 1 → YoB {1940, 1945}</w:t>
      </w:r>
    </w:p>
    <w:p>
      <w:pPr>
        <w:pStyle w:val="Compact"/>
        <w:numPr>
          <w:ilvl w:val="1"/>
          <w:numId w:val="1034"/>
        </w:numPr>
      </w:pPr>
      <w:r>
        <w:t xml:space="preserve">Dose 2 → YoB {1950, 1955}</w:t>
      </w:r>
    </w:p>
    <w:p>
      <w:pPr>
        <w:pStyle w:val="Compact"/>
        <w:numPr>
          <w:ilvl w:val="0"/>
          <w:numId w:val="1033"/>
        </w:numPr>
      </w:pPr>
      <w:r>
        <w:rPr>
          <w:b/>
          <w:bCs/>
        </w:rPr>
        <w:t xml:space="preserve">Output YoB</w:t>
      </w:r>
      <w:r>
        <w:t xml:space="preserve">: Fixed at 1950 (unvax cohort) or 1940 (vax cohort)</w:t>
      </w:r>
    </w:p>
    <w:p>
      <w:pPr>
        <w:pStyle w:val="Compact"/>
        <w:numPr>
          <w:ilvl w:val="0"/>
          <w:numId w:val="103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7"/>
    <w:bookmarkStart w:id="198"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3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5"/>
        </w:numPr>
      </w:pPr>
      <w:r>
        <w:rPr>
          <w:b/>
          <w:bCs/>
        </w:rPr>
        <w:t xml:space="preserve">Initial cohort size</w:t>
      </w:r>
      <w:r>
        <w:t xml:space="preserve">: 100,000 per cohort</w:t>
      </w:r>
    </w:p>
    <w:p>
      <w:pPr>
        <w:pStyle w:val="Compact"/>
        <w:numPr>
          <w:ilvl w:val="0"/>
          <w:numId w:val="1035"/>
        </w:numPr>
      </w:pPr>
      <w:r>
        <w:rPr>
          <w:b/>
          <w:bCs/>
        </w:rPr>
        <w:t xml:space="preserve">Baseline hazard</w:t>
      </w:r>
      <w:r>
        <w:t xml:space="preserve">: 0.002 per week</w:t>
      </w:r>
    </w:p>
    <w:p>
      <w:pPr>
        <w:pStyle w:val="Compact"/>
        <w:numPr>
          <w:ilvl w:val="0"/>
          <w:numId w:val="103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5"/>
        </w:numPr>
      </w:pPr>
      <w:r>
        <w:rPr>
          <w:b/>
          <w:bCs/>
        </w:rPr>
        <w:t xml:space="preserve">Effect window</w:t>
      </w:r>
      <w:r>
        <w:t xml:space="preserve">: weeks 20–80</w:t>
      </w:r>
    </w:p>
    <w:p>
      <w:pPr>
        <w:pStyle w:val="Compact"/>
        <w:numPr>
          <w:ilvl w:val="0"/>
          <w:numId w:val="1035"/>
        </w:numPr>
      </w:pPr>
      <w:r>
        <w:rPr>
          <w:b/>
          <w:bCs/>
        </w:rPr>
        <w:t xml:space="preserve">Hazard multipliers</w:t>
      </w:r>
      <w:r>
        <w:t xml:space="preserve">:</w:t>
      </w:r>
    </w:p>
    <w:p>
      <w:pPr>
        <w:pStyle w:val="Compact"/>
        <w:numPr>
          <w:ilvl w:val="1"/>
          <w:numId w:val="1036"/>
        </w:numPr>
      </w:pPr>
      <w:r>
        <w:t xml:space="preserve">Harm scenario:</w:t>
      </w:r>
      <w:r>
        <w:t xml:space="preserve"> </w:t>
      </w:r>
      <m:oMath>
        <m:r>
          <m:t>r</m:t>
        </m:r>
        <m:r>
          <m:rPr>
            <m:sty m:val="p"/>
          </m:rPr>
          <m:t>=</m:t>
        </m:r>
        <m:r>
          <m:t>1.2</m:t>
        </m:r>
      </m:oMath>
    </w:p>
    <w:p>
      <w:pPr>
        <w:pStyle w:val="Compact"/>
        <w:numPr>
          <w:ilvl w:val="1"/>
          <w:numId w:val="1036"/>
        </w:numPr>
      </w:pPr>
      <w:r>
        <w:t xml:space="preserve">Benefit scenario:</w:t>
      </w:r>
      <w:r>
        <w:t xml:space="preserve"> </w:t>
      </w:r>
      <m:oMath>
        <m:r>
          <m:t>r</m:t>
        </m:r>
        <m:r>
          <m:rPr>
            <m:sty m:val="p"/>
          </m:rPr>
          <m:t>=</m:t>
        </m:r>
        <m:r>
          <m:t>0.8</m:t>
        </m:r>
      </m:oMath>
    </w:p>
    <w:p>
      <w:pPr>
        <w:pStyle w:val="Compact"/>
        <w:numPr>
          <w:ilvl w:val="0"/>
          <w:numId w:val="1035"/>
        </w:numPr>
      </w:pPr>
      <w:r>
        <w:rPr>
          <w:b/>
          <w:bCs/>
        </w:rPr>
        <w:t xml:space="preserve">Random seed</w:t>
      </w:r>
      <w:r>
        <w:t xml:space="preserve">: 42</w:t>
      </w:r>
    </w:p>
    <w:p>
      <w:pPr>
        <w:pStyle w:val="Compact"/>
        <w:numPr>
          <w:ilvl w:val="0"/>
          <w:numId w:val="103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8"/>
    <w:bookmarkStart w:id="199"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7"/>
        </w:numPr>
      </w:pPr>
      <w:r>
        <w:rPr>
          <w:b/>
          <w:bCs/>
        </w:rPr>
        <w:t xml:space="preserve">Baseline weeks</w:t>
      </w:r>
      <w:r>
        <w:t xml:space="preserve">: [2, 3, 4, 5, 6, 7, 8]</w:t>
      </w:r>
    </w:p>
    <w:p>
      <w:pPr>
        <w:pStyle w:val="Compact"/>
        <w:numPr>
          <w:ilvl w:val="0"/>
          <w:numId w:val="1037"/>
        </w:numPr>
      </w:pPr>
      <w:r>
        <w:rPr>
          <w:b/>
          <w:bCs/>
        </w:rPr>
        <w:t xml:space="preserve">Quiet-start offsets</w:t>
      </w:r>
      <w:r>
        <w:t xml:space="preserve">: [-12, -8, -4, 0, +4, +8, +12] weeks from 2022-24</w:t>
      </w:r>
    </w:p>
    <w:p>
      <w:pPr>
        <w:pStyle w:val="Compact"/>
        <w:numPr>
          <w:ilvl w:val="0"/>
          <w:numId w:val="1037"/>
        </w:numPr>
      </w:pPr>
      <w:r>
        <w:rPr>
          <w:b/>
          <w:bCs/>
        </w:rPr>
        <w:t xml:space="preserve">Quiet-window end</w:t>
      </w:r>
      <w:r>
        <w:t xml:space="preserve">: Fixed at 2024-16</w:t>
      </w:r>
    </w:p>
    <w:p>
      <w:pPr>
        <w:pStyle w:val="Compact"/>
        <w:numPr>
          <w:ilvl w:val="0"/>
          <w:numId w:val="1037"/>
        </w:numPr>
      </w:pPr>
      <w:r>
        <w:rPr>
          <w:b/>
          <w:bCs/>
        </w:rPr>
        <w:t xml:space="preserve">Dose pairs</w:t>
      </w:r>
      <w:r>
        <w:t xml:space="preserve">: 1 vs 0, 2 vs 0, 2 vs 1</w:t>
      </w:r>
    </w:p>
    <w:p>
      <w:pPr>
        <w:pStyle w:val="Compact"/>
        <w:numPr>
          <w:ilvl w:val="0"/>
          <w:numId w:val="1037"/>
        </w:numPr>
      </w:pPr>
      <w:r>
        <w:rPr>
          <w:b/>
          <w:bCs/>
        </w:rPr>
        <w:t xml:space="preserve">Cohorts</w:t>
      </w:r>
      <w:r>
        <w:t xml:space="preserve">: 2021_24</w:t>
      </w:r>
    </w:p>
    <w:p>
      <w:pPr>
        <w:pStyle w:val="FirstParagraph"/>
      </w:pPr>
      <w:r>
        <w:t xml:space="preserve">Output grids show KCOR(t) values for each parameter combination.</w:t>
      </w:r>
    </w:p>
    <w:bookmarkEnd w:id="199"/>
    <w:bookmarkStart w:id="20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8"/>
        </w:numPr>
      </w:pPr>
      <w:r>
        <w:rPr>
          <w:b/>
          <w:bCs/>
        </w:rPr>
        <w:t xml:space="preserve">Mid-sampled cohort</w:t>
      </w:r>
      <w:r>
        <w:t xml:space="preserve">: frailty restricted to central quantiles (e.g., 25th–75th percentile) and renormalized to mean 1.</w:t>
      </w:r>
    </w:p>
    <w:p>
      <w:pPr>
        <w:pStyle w:val="Compact"/>
        <w:numPr>
          <w:ilvl w:val="0"/>
          <w:numId w:val="1038"/>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9"/>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9"/>
        </w:numPr>
      </w:pPr>
      <w:r>
        <w:rPr>
          <w:b/>
          <w:bCs/>
        </w:rPr>
        <w:t xml:space="preserve">Base frailty distribution</w:t>
      </w:r>
      <w:r>
        <w:t xml:space="preserve">: Log-normal with mean 1, variance 0.5</w:t>
      </w:r>
    </w:p>
    <w:p>
      <w:pPr>
        <w:pStyle w:val="Compact"/>
        <w:numPr>
          <w:ilvl w:val="0"/>
          <w:numId w:val="1039"/>
        </w:numPr>
      </w:pPr>
      <w:r>
        <w:rPr>
          <w:b/>
          <w:bCs/>
        </w:rPr>
        <w:t xml:space="preserve">Mid-quantile cohort</w:t>
      </w:r>
      <w:r>
        <w:t xml:space="preserve">: 25th–75th percentile</w:t>
      </w:r>
    </w:p>
    <w:p>
      <w:pPr>
        <w:pStyle w:val="Compact"/>
        <w:numPr>
          <w:ilvl w:val="0"/>
          <w:numId w:val="1039"/>
        </w:numPr>
      </w:pPr>
      <w:r>
        <w:rPr>
          <w:b/>
          <w:bCs/>
        </w:rPr>
        <w:t xml:space="preserve">Tail-mixture cohort</w:t>
      </w:r>
      <w:r>
        <w:t xml:space="preserve">: [0–15th] + [85th–100th] percentiles, equal weights</w:t>
      </w:r>
    </w:p>
    <w:p>
      <w:pPr>
        <w:pStyle w:val="Compact"/>
        <w:numPr>
          <w:ilvl w:val="0"/>
          <w:numId w:val="1039"/>
        </w:numPr>
      </w:pPr>
      <w:r>
        <w:rPr>
          <w:b/>
          <w:bCs/>
        </w:rPr>
        <w:t xml:space="preserve">Baseline hazard</w:t>
      </w:r>
      <w:r>
        <w:t xml:space="preserve">: 0.002 per week (constant)</w:t>
      </w:r>
    </w:p>
    <w:p>
      <w:pPr>
        <w:pStyle w:val="Compact"/>
        <w:numPr>
          <w:ilvl w:val="0"/>
          <w:numId w:val="1039"/>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9"/>
        </w:numPr>
      </w:pPr>
      <w:r>
        <w:rPr>
          <w:b/>
          <w:bCs/>
        </w:rPr>
        <w:t xml:space="preserve">Effect window</w:t>
      </w:r>
      <w:r>
        <w:t xml:space="preserve">: weeks 20–80</w:t>
      </w:r>
    </w:p>
    <w:p>
      <w:pPr>
        <w:pStyle w:val="Compact"/>
        <w:numPr>
          <w:ilvl w:val="0"/>
          <w:numId w:val="1039"/>
        </w:numPr>
      </w:pPr>
      <w:r>
        <w:rPr>
          <w:b/>
          <w:bCs/>
        </w:rPr>
        <w:t xml:space="preserve">Random seed</w:t>
      </w:r>
      <w:r>
        <w:t xml:space="preserve">: 42</w:t>
      </w:r>
    </w:p>
    <w:bookmarkEnd w:id="200"/>
    <w:bookmarkStart w:id="20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1"/>
    <w:bookmarkStart w:id="202" w:name="frailty-structure"/>
    <w:p>
      <w:pPr>
        <w:pStyle w:val="Heading5"/>
      </w:pPr>
      <w:r>
        <w:t xml:space="preserve">Frailty structure</w:t>
      </w:r>
    </w:p>
    <w:p>
      <w:pPr>
        <w:pStyle w:val="Compact"/>
        <w:numPr>
          <w:ilvl w:val="0"/>
          <w:numId w:val="1040"/>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0"/>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2"/>
    <w:bookmarkStart w:id="20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1"/>
        </w:numPr>
      </w:pPr>
      <w:r>
        <w:t xml:space="preserve">Step change (constant multiplicative factor),</w:t>
      </w:r>
    </w:p>
    <w:p>
      <w:pPr>
        <w:pStyle w:val="Compact"/>
        <w:numPr>
          <w:ilvl w:val="0"/>
          <w:numId w:val="1041"/>
        </w:numPr>
      </w:pPr>
      <w:r>
        <w:t xml:space="preserve">Linear ramp,</w:t>
      </w:r>
    </w:p>
    <w:p>
      <w:pPr>
        <w:pStyle w:val="Compact"/>
        <w:numPr>
          <w:ilvl w:val="0"/>
          <w:numId w:val="1041"/>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3"/>
    <w:bookmarkStart w:id="20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4"/>
    <w:bookmarkStart w:id="20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2"/>
        </w:numPr>
      </w:pPr>
      <w:r>
        <w:t xml:space="preserve">KCOR(t) remains approximately flat and near unity during the quiet window,</w:t>
      </w:r>
    </w:p>
    <w:p>
      <w:pPr>
        <w:pStyle w:val="Compact"/>
        <w:numPr>
          <w:ilvl w:val="0"/>
          <w:numId w:val="1042"/>
        </w:numPr>
      </w:pPr>
      <w:r>
        <w:t xml:space="preserve">KCOR(t) deviates in the correct direction and magnitude during the treatment window,</w:t>
      </w:r>
    </w:p>
    <w:p>
      <w:pPr>
        <w:pStyle w:val="Compact"/>
        <w:numPr>
          <w:ilvl w:val="0"/>
          <w:numId w:val="1042"/>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5"/>
    <w:bookmarkStart w:id="20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6"/>
    <w:bookmarkEnd w:id="207"/>
    <w:bookmarkEnd w:id="208"/>
    <w:bookmarkStart w:id="213" w:name="X3fb27f9d14d988b0afc4c757bd6d2a45d2ae0b5"/>
    <w:p>
      <w:pPr>
        <w:pStyle w:val="Heading3"/>
      </w:pPr>
      <w:r>
        <w:t xml:space="preserve">Appendix C. Additional figures and diagnostics</w:t>
      </w:r>
    </w:p>
    <w:bookmarkStart w:id="20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3"/>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3"/>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3"/>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09"/>
    <w:bookmarkStart w:id="21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4"/>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4"/>
        </w:numPr>
      </w:pPr>
      <w:r>
        <w:rPr>
          <w:b/>
          <w:bCs/>
        </w:rPr>
        <w:t xml:space="preserve">Outliers</w:t>
      </w:r>
      <w:r>
        <w:t xml:space="preserve">: Individual weeks with large residuals may indicate data quality issues or external shocks.</w:t>
      </w:r>
    </w:p>
    <w:p>
      <w:pPr>
        <w:pStyle w:val="Compact"/>
        <w:numPr>
          <w:ilvl w:val="0"/>
          <w:numId w:val="1044"/>
        </w:numPr>
      </w:pPr>
      <w:r>
        <w:rPr>
          <w:b/>
          <w:bCs/>
        </w:rPr>
        <w:t xml:space="preserve">Autocorrelation</w:t>
      </w:r>
      <w:r>
        <w:t xml:space="preserve">: Strong autocorrelation in residuals suggests the model is missing time-varying structure.</w:t>
      </w:r>
    </w:p>
    <w:bookmarkEnd w:id="210"/>
    <w:bookmarkStart w:id="21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5"/>
        </w:numPr>
      </w:pPr>
      <w:r>
        <w:rPr>
          <w:b/>
          <w:bCs/>
        </w:rPr>
        <w:t xml:space="preserve">Quiet-window perturbation</w:t>
      </w:r>
      <w:r>
        <w:t xml:space="preserve">: Shift the quiet-window start/end by ±4 weeks and re-fit. Stable parameters should vary by &lt; 10%.</w:t>
      </w:r>
    </w:p>
    <w:p>
      <w:pPr>
        <w:pStyle w:val="Compact"/>
        <w:numPr>
          <w:ilvl w:val="0"/>
          <w:numId w:val="1045"/>
        </w:numPr>
      </w:pPr>
      <w:r>
        <w:rPr>
          <w:b/>
          <w:bCs/>
        </w:rPr>
        <w:t xml:space="preserve">Skip-weeks sensitivity</w:t>
      </w:r>
      <w:r>
        <w:t xml:space="preserve">: Vary SKIP_WEEKS from 0 to 8 and verify KCOR(t) trajectories remain qualitatively similar.</w:t>
      </w:r>
    </w:p>
    <w:p>
      <w:pPr>
        <w:pStyle w:val="Compact"/>
        <w:numPr>
          <w:ilvl w:val="0"/>
          <w:numId w:val="1045"/>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9) provides a systematic assessment of parameter stability.</w:t>
      </w:r>
    </w:p>
    <w:bookmarkEnd w:id="211"/>
    <w:bookmarkStart w:id="21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6"/>
        </w:numPr>
      </w:pPr>
      <w:r>
        <w:t xml:space="preserve">Avoid major epidemic waves or external mortality shocks</w:t>
      </w:r>
    </w:p>
    <w:p>
      <w:pPr>
        <w:pStyle w:val="Compact"/>
        <w:numPr>
          <w:ilvl w:val="0"/>
          <w:numId w:val="1046"/>
        </w:numPr>
      </w:pPr>
      <w:r>
        <w:t xml:space="preserve">Contain sufficient event counts for stable estimation</w:t>
      </w:r>
    </w:p>
    <w:p>
      <w:pPr>
        <w:pStyle w:val="Compact"/>
        <w:numPr>
          <w:ilvl w:val="0"/>
          <w:numId w:val="1046"/>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2"/>
    <w:bookmarkEnd w:id="213"/>
    <w:bookmarkStart w:id="222"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14"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7"/>
        </w:numPr>
      </w:pPr>
      <w:r>
        <w:t xml:space="preserve">Inconsistencies in cohort risk sets (e.g., unexplained increases in at-risk counts).</w:t>
      </w:r>
    </w:p>
    <w:p>
      <w:pPr>
        <w:pStyle w:val="Compact"/>
        <w:numPr>
          <w:ilvl w:val="0"/>
          <w:numId w:val="1047"/>
        </w:numPr>
      </w:pPr>
      <w:r>
        <w:t xml:space="preserve">Early-time hazard suppression or inflation inconsistent with selection or depletion geometry.</w:t>
      </w:r>
    </w:p>
    <w:p>
      <w:pPr>
        <w:pStyle w:val="Compact"/>
        <w:numPr>
          <w:ilvl w:val="0"/>
          <w:numId w:val="1047"/>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14"/>
    <w:bookmarkStart w:id="215"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8"/>
        </w:numPr>
      </w:pPr>
      <w:r>
        <w:t xml:space="preserve">Calendar-time hazard spikes or drops that appear in only one cohort.</w:t>
      </w:r>
    </w:p>
    <w:p>
      <w:pPr>
        <w:pStyle w:val="Compact"/>
        <w:numPr>
          <w:ilvl w:val="0"/>
          <w:numId w:val="1048"/>
        </w:numPr>
      </w:pPr>
      <w:r>
        <w:t xml:space="preserve">Misalignment of major mortality shocks (e.g., epidemic waves) across cohorts.</w:t>
      </w:r>
    </w:p>
    <w:p>
      <w:pPr>
        <w:pStyle w:val="Compact"/>
        <w:numPr>
          <w:ilvl w:val="0"/>
          <w:numId w:val="1048"/>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15"/>
    <w:bookmarkStart w:id="216"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9"/>
        </w:numPr>
      </w:pPr>
      <w:r>
        <w:t xml:space="preserve">Strongly structured residuals in cumulative-hazard space inconsistent with depletion.</w:t>
      </w:r>
    </w:p>
    <w:p>
      <w:pPr>
        <w:pStyle w:val="Compact"/>
        <w:numPr>
          <w:ilvl w:val="0"/>
          <w:numId w:val="1049"/>
        </w:numPr>
      </w:pPr>
      <w:r>
        <w:t xml:space="preserve">Instability of fitted frailty parameters not attributable to window placement.</w:t>
      </w:r>
    </w:p>
    <w:p>
      <w:pPr>
        <w:pStyle w:val="Compact"/>
        <w:numPr>
          <w:ilvl w:val="0"/>
          <w:numId w:val="1049"/>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16"/>
    <w:bookmarkStart w:id="217"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0"/>
        </w:numPr>
      </w:pPr>
      <w:r>
        <w:t xml:space="preserve">Poor fit of the gamma-frailty cumulative-hazard model during the quiet window.</w:t>
      </w:r>
    </w:p>
    <w:p>
      <w:pPr>
        <w:pStyle w:val="Compact"/>
        <w:numPr>
          <w:ilvl w:val="0"/>
          <w:numId w:val="1050"/>
        </w:numPr>
      </w:pPr>
      <w:r>
        <w:t xml:space="preserve">Systematic residual curvature after frailty normalization.</w:t>
      </w:r>
    </w:p>
    <w:p>
      <w:pPr>
        <w:pStyle w:val="Compact"/>
        <w:numPr>
          <w:ilvl w:val="0"/>
          <w:numId w:val="1050"/>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17"/>
    <w:bookmarkStart w:id="218"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1"/>
        </w:numPr>
      </w:pPr>
      <w:r>
        <w:t xml:space="preserve">Failure of KCOR(t) trajectories to stabilize or asymptote following frailty normalization.</w:t>
      </w:r>
    </w:p>
    <w:p>
      <w:pPr>
        <w:pStyle w:val="Compact"/>
        <w:numPr>
          <w:ilvl w:val="0"/>
          <w:numId w:val="1051"/>
        </w:numPr>
      </w:pPr>
      <w:r>
        <w:t xml:space="preserve">Persistent nonzero slope in KCOR(t), indicating residual curvature after normalization.</w:t>
      </w:r>
    </w:p>
    <w:p>
      <w:pPr>
        <w:pStyle w:val="Compact"/>
        <w:numPr>
          <w:ilvl w:val="0"/>
          <w:numId w:val="1051"/>
        </w:numPr>
      </w:pPr>
      <w:r>
        <w:t xml:space="preserve">Instability of fitted frailty parameters (θ) under small perturbations of quiet-window boundaries.</w:t>
      </w:r>
    </w:p>
    <w:p>
      <w:pPr>
        <w:pStyle w:val="Compact"/>
        <w:numPr>
          <w:ilvl w:val="0"/>
          <w:numId w:val="1051"/>
        </w:numPr>
      </w:pPr>
      <w:r>
        <w:t xml:space="preserve">Failure of depletion-neutralized cumulative hazards to become approximately linear during the quiet window.</w:t>
      </w:r>
    </w:p>
    <w:p>
      <w:pPr>
        <w:pStyle w:val="Compact"/>
        <w:numPr>
          <w:ilvl w:val="0"/>
          <w:numId w:val="1051"/>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218"/>
    <w:bookmarkStart w:id="219"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19"/>
    <w:bookmarkStart w:id="220"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20"/>
    <w:bookmarkStart w:id="221"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21"/>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94" Target="media/rId94.png" /><Relationship Type="http://schemas.openxmlformats.org/officeDocument/2006/relationships/image" Id="rId112" Target="media/rId112.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2026-01-03T06:52:01Z</dcterms:created>
  <dcterms:modified xsi:type="dcterms:W3CDTF">2026-01-03T06:52:01Z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