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95.png" ContentType="image/png"/>
  <Override PartName="/word/media/rId99.png" ContentType="image/png"/>
  <Override PartName="/word/media/rId73.png" ContentType="image/png"/>
  <Override PartName="/word/media/rId77.png" ContentType="image/png"/>
  <Override PartName="/word/media/rId67.png" ContentType="image/png"/>
  <Override PartName="/word/media/rId89.png" ContentType="image/png"/>
  <Override PartName="/word/media/rId107.png" ContentType="image/png"/>
  <Override PartName="/word/media/rId130.png" ContentType="image/png"/>
  <Override PartName="/word/media/rId126.png" ContentType="image/png"/>
  <Override PartName="/word/media/rId113.png" ContentType="image/png"/>
  <Override PartName="/word/media/rId122.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3"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6" w:name="tbl:HVE_motivation"/>
    <w:p>
      <w:pPr>
        <w:pStyle w:val="TableCaption"/>
      </w:pPr>
      <w:r>
        <w:t xml:space="preserve">1</w:t>
      </w:r>
    </w:p>
    <w:tbl>
      <w:tblPr>
        <w:tblStyle w:val="Table"/>
        <w:tblW w:type="pct" w:w="5000"/>
        <w:tblLayout w:type="fixed"/>
        <w:tblLook w:firstRow="1" w:lastRow="0" w:firstColumn="0" w:lastColumn="0" w:noHBand="0" w:noVBand="0" w:val="0020"/>
        <w:tblCaption w:val="1"/>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1"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2</w:t>
      </w:r>
    </w:p>
    <w:tbl>
      <w:tblPr>
        <w:tblStyle w:val="Table"/>
        <w:tblW w:type="pct" w:w="5000"/>
        <w:tblLayout w:type="fixed"/>
        <w:tblLook w:firstRow="1" w:lastRow="0" w:firstColumn="0" w:lastColumn="0" w:noHBand="0" w:noVBand="0" w:val="0020"/>
        <w:tblCaption w:val="2"/>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bookmarkStart w:id="20" w:name="tbl:positioning"/>
    <w:p>
      <w:pPr>
        <w:pStyle w:val="TableCaption"/>
      </w:pPr>
      <w:r>
        <w:t xml:space="preserve">3</w:t>
      </w:r>
    </w:p>
    <w:tbl>
      <w:tblPr>
        <w:tblStyle w:val="Table"/>
        <w:tblW w:type="pct" w:w="5000"/>
        <w:tblLayout w:type="fixed"/>
        <w:tblLook w:firstRow="1" w:lastRow="0" w:firstColumn="0" w:lastColumn="0" w:noHBand="0" w:noVBand="0" w:val="0020"/>
        <w:tblCaption w:val="3"/>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0"/>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1"/>
    <w:bookmarkStart w:id="22"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2"/>
    <w:bookmarkEnd w:id="23"/>
    <w:bookmarkStart w:id="84" w:name="methods"/>
    <w:p>
      <w:pPr>
        <w:pStyle w:val="Heading2"/>
      </w:pPr>
      <w:r>
        <w:t xml:space="preserve">2. Methods</w:t>
      </w:r>
    </w:p>
    <w:p>
      <w:pPr>
        <w:pStyle w:val="FirstParagraph"/>
      </w:pPr>
      <w:r>
        <w:t xml:space="preserve">Table 4 defines the notation used throughout this section.</w:t>
      </w:r>
    </w:p>
    <w:bookmarkStart w:id="24" w:name="tbl:notation"/>
    <w:p>
      <w:pPr>
        <w:pStyle w:val="TableCaption"/>
      </w:pPr>
      <w:r>
        <w:t xml:space="preserve">4</w:t>
      </w:r>
    </w:p>
    <w:tbl>
      <w:tblPr>
        <w:tblStyle w:val="Table"/>
        <w:tblW w:type="pct" w:w="5000"/>
        <w:tblLayout w:type="fixed"/>
        <w:tblLook w:firstRow="1" w:lastRow="0" w:firstColumn="0" w:lastColumn="0" w:noHBand="0" w:noVBand="0" w:val="0020"/>
        <w:tblCaption w:val="4"/>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4"/>
    <w:p>
      <w:pPr>
        <w:pStyle w:val="BodyText"/>
      </w:pPr>
      <w:r>
        <w:t xml:space="preserve">For COVID-19 vaccination analyses, intervention count corresponds to the number of vaccine doses received; more generally, this can index any discrete exposure level.</w:t>
      </w:r>
    </w:p>
    <w:bookmarkStart w:id="31"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5"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5"/>
    <w:bookmarkStart w:id="26"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6"/>
    <w:bookmarkStart w:id="27"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7"/>
    <w:bookmarkStart w:id="28"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8"/>
    <w:bookmarkStart w:id="29"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9"/>
    <w:bookmarkStart w:id="30"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0"/>
    <w:bookmarkEnd w:id="31"/>
    <w:bookmarkStart w:id="33"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2"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2"/>
    <w:bookmarkEnd w:id="33"/>
    <w:bookmarkStart w:id="3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4"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4"/>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5"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5"/>
    </w:p>
    <w:bookmarkStart w:id="36"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6"/>
    <w:bookmarkEnd w:id="37"/>
    <w:bookmarkStart w:id="50" w:name="Xe033a348c5bd6b05b57c8d9f7299f5850ccd667"/>
    <w:p>
      <w:pPr>
        <w:pStyle w:val="Heading3"/>
      </w:pPr>
      <w:r>
        <w:t xml:space="preserve">2.4 Selection model: gamma frailty and the cumulative-hazard identity</w:t>
      </w:r>
    </w:p>
    <w:bookmarkStart w:id="3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8"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8"/>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9"/>
    <w:bookmarkStart w:id="47"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40"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40"/>
    </w:p>
    <w:p>
      <w:pPr>
        <w:pStyle w:val="FirstParagraph"/>
      </w:pPr>
      <w:r>
        <w:t xml:space="preserve">Integrating over gamma frailty yields a closed-form relationship between the observed cohort cumulative hazard and the baseline cumulative hazard:</w:t>
      </w:r>
    </w:p>
    <w:p>
      <w:pPr>
        <w:pStyle w:val="BodyText"/>
      </w:pPr>
      <w:bookmarkStart w:id="41"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41"/>
    </w:p>
    <w:p>
      <w:pPr>
        <w:pStyle w:val="FirstParagraph"/>
      </w:pPr>
      <w:r>
        <w:t xml:space="preserve">This identity can be inverted exactly:</w:t>
      </w:r>
    </w:p>
    <w:p>
      <w:pPr>
        <w:pStyle w:val="BodyText"/>
      </w:pPr>
      <w:bookmarkStart w:id="42"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42"/>
    </w:p>
    <w:p>
      <w:pPr>
        <w:pStyle w:val="FirstParagraph"/>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6" w:name="fig:kcor_v6_schematic"/>
    <w:p>
      <w:pPr>
        <w:pStyle w:val="CaptionedFigure"/>
      </w:pPr>
      <w:r>
        <w:drawing>
          <wp:inline>
            <wp:extent cx="5334000" cy="1417316"/>
            <wp:effectExtent b="0" l="0" r="0" t="0"/>
            <wp:docPr descr="1" title="" id="44" name="Picture"/>
            <a:graphic>
              <a:graphicData uri="http://schemas.openxmlformats.org/drawingml/2006/picture">
                <pic:pic>
                  <pic:nvPicPr>
                    <pic:cNvPr descr="figures/fig1_kcor_v6_schematic.png" id="45" name="Picture"/>
                    <pic:cNvPicPr>
                      <a:picLocks noChangeArrowheads="1" noChangeAspect="1"/>
                    </pic:cNvPicPr>
                  </pic:nvPicPr>
                  <pic:blipFill>
                    <a:blip r:embed="rId4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1</w:t>
      </w:r>
    </w:p>
    <w:bookmarkEnd w:id="46"/>
    <w:bookmarkEnd w:id="47"/>
    <w:bookmarkStart w:id="4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8"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8"/>
    </w:p>
    <w:p>
      <w:pPr>
        <w:pStyle w:val="FirstParagraph"/>
      </w:pPr>
      <w:r>
        <w:t xml:space="preserve">This choice minimizes degrees of freedom and forces curvature during quiet periods to be explained by selection (frailty) rather than by an explicit time-varying baseline.</w: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51"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51"/>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52"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52"/>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53"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53"/>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6"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6"/>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measurable depletion undergo an upward correction.</w:t>
      </w:r>
    </w:p>
    <w:p>
      <w:pPr>
        <w:pStyle w:val="BodyText"/>
      </w:pPr>
      <w:r>
        <w:t xml:space="preserve">An adjusted hazard may be recovered by differencing:</w:t>
      </w:r>
    </w:p>
    <w:p>
      <w:pPr>
        <w:pStyle w:val="BodyText"/>
      </w:pPr>
      <w:bookmarkStart w:id="57"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7"/>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61"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61"/>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63"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63"/>
    </w:p>
    <w:p>
      <w:pPr>
        <w:pStyle w:val="FirstParagraph"/>
      </w:pPr>
      <w:r>
        <w:t xml:space="preserve">This is a cumulative comparison in hazard space after removing cohort-specific selection-induced depletion dynamics estimated during quiet periods.</w:t>
      </w:r>
    </w:p>
    <w:bookmarkEnd w:id="64"/>
    <w:bookmarkStart w:id="65"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5</w:t>
      </w:r>
    </w:p>
    <w:tbl>
      <w:tblPr>
        <w:tblStyle w:val="Table"/>
        <w:tblW w:type="pct" w:w="5000"/>
        <w:tblLayout w:type="fixed"/>
        <w:tblLook w:firstRow="1" w:lastRow="0" w:firstColumn="0" w:lastColumn="0" w:noHBand="0" w:noVBand="0" w:val="0020"/>
        <w:tblCaption w:val="5"/>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287328"/>
            <wp:effectExtent b="0" l="0" r="0" t="0"/>
            <wp:docPr descr="2"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2</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2" w:name="tbl:cox_bias_demo"/>
    <w:p>
      <w:pPr>
        <w:pStyle w:val="TableCaption"/>
      </w:pPr>
      <w:r>
        <w:t xml:space="preserve">6</w:t>
      </w:r>
    </w:p>
    <w:tbl>
      <w:tblPr>
        <w:tblStyle w:val="Table"/>
        <w:tblW w:type="pct" w:w="5000"/>
        <w:tblLayout w:type="fixed"/>
        <w:tblLook w:firstRow="1" w:lastRow="0" w:firstColumn="0" w:lastColumn="0" w:noHBand="0" w:noVBand="0" w:val="0020"/>
        <w:tblCaption w:val="6"/>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3"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3</w:t>
      </w:r>
    </w:p>
    <w:bookmarkEnd w:id="76"/>
    <w:bookmarkStart w:id="80" w:name="fig:cox_bias_kcor"/>
    <w:p>
      <w:pPr>
        <w:pStyle w:val="CaptionedFigure"/>
      </w:pPr>
      <w:r>
        <w:drawing>
          <wp:inline>
            <wp:extent cx="5334000" cy="3975680"/>
            <wp:effectExtent b="0" l="0" r="0" t="0"/>
            <wp:docPr descr="4"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4</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2"/>
    <w:bookmarkEnd w:id="83"/>
    <w:bookmarkEnd w:id="84"/>
    <w:bookmarkStart w:id="137"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85" w:name="tbl:frailty_diagnostics"/>
    <w:p>
      <w:pPr>
        <w:pStyle w:val="TableCaption"/>
      </w:pPr>
      <w:r>
        <w:t xml:space="preserve">7</w:t>
      </w:r>
    </w:p>
    <w:tbl>
      <w:tblPr>
        <w:tblStyle w:val="Table"/>
        <w:tblW w:type="pct" w:w="5000"/>
        <w:tblLayout w:type="fixed"/>
        <w:tblLook w:firstRow="1" w:lastRow="0" w:firstColumn="0" w:lastColumn="0" w:noHBand="0" w:noVBand="0" w:val="0020"/>
        <w:tblCaption w:val="7"/>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5"/>
    <w:p>
      <w:pPr>
        <w:pStyle w:val="BodyText"/>
      </w:pPr>
      <w:r>
        <w:rPr>
          <w:b/>
          <w:bCs/>
        </w:rPr>
        <w:t xml:space="preserve">Notes:</w:t>
      </w:r>
      <w:r>
        <w:t xml:space="preserve"> </w:t>
      </w:r>
      <w:r>
        <w:t xml:space="preserve">-</w:t>
      </w:r>
      <w:r>
        <w:t xml:space="preserve"> </w:t>
      </w: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m:oMath>
        <m:acc>
          <m:accPr>
            <m:chr m:val="̂"/>
          </m:accPr>
          <m:e>
            <m:r>
              <m:t>θ</m:t>
            </m:r>
          </m:e>
        </m:acc>
      </m:oMath>
      <w:r>
        <w:t xml:space="preserve"> </w:t>
      </w:r>
      <w:r>
        <w:t xml:space="preserve">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selective uptake prior to follow-up.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86" w:name="tbl:raw_cumulative_outcomes"/>
    <w:p>
      <w:pPr>
        <w:pStyle w:val="TableCaption"/>
      </w:pPr>
      <w:r>
        <w:t xml:space="preserve">8</w:t>
      </w:r>
    </w:p>
    <w:tbl>
      <w:tblPr>
        <w:tblStyle w:val="Table"/>
        <w:tblW w:type="pct" w:w="5000"/>
        <w:tblLayout w:type="fixed"/>
        <w:tblLook w:firstRow="1" w:lastRow="0" w:firstColumn="0" w:lastColumn="0" w:noHBand="0" w:noVBand="0" w:val="0020"/>
        <w:tblCaption w:val="8"/>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6"/>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7"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(near-zero</w:t>
      </w:r>
      <w:r>
        <w:t xml:space="preserve"> </w:t>
      </w:r>
      <m:oMath>
        <m:acc>
          <m:accPr>
            <m:chr m:val="̂"/>
          </m:accPr>
          <m:e>
            <m:r>
              <m:t>θ</m:t>
            </m:r>
          </m:e>
        </m:acc>
      </m:oMath>
      <w:r>
        <w:t xml:space="preserve">) while unvaccinated cohorts retained substantial heterogeneity (</w:t>
      </w:r>
      <m:oMath>
        <m:acc>
          <m:accPr>
            <m:chr m:val="̂"/>
          </m:accPr>
          <m:e>
            <m:r>
              <m:t>θ</m:t>
            </m:r>
          </m:e>
        </m:acc>
        <m:r>
          <m:rPr>
            <m:sty m:val="p"/>
          </m:rPr>
          <m:t>&gt;</m:t>
        </m:r>
        <m:r>
          <m:t>0</m:t>
        </m:r>
      </m:oMath>
      <w:r>
        <w:t xml:space="preserve">).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7"/>
    <w:bookmarkStart w:id="88"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8"/>
    <w:bookmarkStart w:id="105" w:name="X250d2743dd947cd04209f9dc9cf02b545517230"/>
    <w:p>
      <w:pPr>
        <w:pStyle w:val="Heading3"/>
      </w:pPr>
      <w:r>
        <w:t xml:space="preserve">3.1 Negative controls: null under selection-induced curvature</w:t>
      </w:r>
    </w:p>
    <w:bookmarkStart w:id="94"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3"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2" w:name="fig:neg_control_synthetic"/>
    <w:p>
      <w:pPr>
        <w:pStyle w:val="CaptionedFigure"/>
      </w:pPr>
      <w:r>
        <w:drawing>
          <wp:inline>
            <wp:extent cx="5334000" cy="3852333"/>
            <wp:effectExtent b="0" l="0" r="0" t="0"/>
            <wp:docPr descr="5" title="" id="90" name="Picture"/>
            <a:graphic>
              <a:graphicData uri="http://schemas.openxmlformats.org/drawingml/2006/picture">
                <pic:pic>
                  <pic:nvPicPr>
                    <pic:cNvPr descr="figures/fig_neg_control_synthetic.png" id="91" name="Picture"/>
                    <pic:cNvPicPr>
                      <a:picLocks noChangeArrowheads="1" noChangeAspect="1"/>
                    </pic:cNvPicPr>
                  </pic:nvPicPr>
                  <pic:blipFill>
                    <a:blip r:embed="rId8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5</w:t>
      </w:r>
    </w:p>
    <w:bookmarkEnd w:id="92"/>
    <w:bookmarkEnd w:id="93"/>
    <w:bookmarkEnd w:id="94"/>
    <w:bookmarkStart w:id="104"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8" w:name="fig:neg_control_10yr"/>
    <w:p>
      <w:pPr>
        <w:pStyle w:val="CaptionedFigure"/>
      </w:pPr>
      <w:r>
        <w:drawing>
          <wp:inline>
            <wp:extent cx="5334000" cy="2773680"/>
            <wp:effectExtent b="0" l="0" r="0" t="0"/>
            <wp:docPr descr="6" title="" id="96" name="Picture"/>
            <a:graphic>
              <a:graphicData uri="http://schemas.openxmlformats.org/drawingml/2006/picture">
                <pic:pic>
                  <pic:nvPicPr>
                    <pic:cNvPr descr="figures/fig2_neg_control_10yr_age_diff.png" id="97" name="Picture"/>
                    <pic:cNvPicPr>
                      <a:picLocks noChangeArrowheads="1" noChangeAspect="1"/>
                    </pic:cNvPicPr>
                  </pic:nvPicPr>
                  <pic:blipFill>
                    <a:blip r:embed="rId95"/>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6</w:t>
      </w:r>
    </w:p>
    <w:bookmarkEnd w:id="98"/>
    <w:bookmarkStart w:id="102" w:name="fig:neg_control_20yr"/>
    <w:p>
      <w:pPr>
        <w:pStyle w:val="CaptionedFigure"/>
      </w:pPr>
      <w:r>
        <w:drawing>
          <wp:inline>
            <wp:extent cx="5334000" cy="2810466"/>
            <wp:effectExtent b="0" l="0" r="0" t="0"/>
            <wp:docPr descr="7" title="" id="100" name="Picture"/>
            <a:graphic>
              <a:graphicData uri="http://schemas.openxmlformats.org/drawingml/2006/picture">
                <pic:pic>
                  <pic:nvPicPr>
                    <pic:cNvPr descr="figures/fig3_neg_control_20yr_age_diff.png" id="101" name="Picture"/>
                    <pic:cNvPicPr>
                      <a:picLocks noChangeArrowheads="1" noChangeAspect="1"/>
                    </pic:cNvPicPr>
                  </pic:nvPicPr>
                  <pic:blipFill>
                    <a:blip r:embed="rId99"/>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7</w:t>
      </w:r>
    </w:p>
    <w:bookmarkEnd w:id="102"/>
    <w:p>
      <w:pPr>
        <w:pStyle w:val="BodyText"/>
      </w:pPr>
      <w:r>
        <w:t xml:space="preserve">Table 9 provides numeric summaries.</w:t>
      </w:r>
    </w:p>
    <w:bookmarkStart w:id="103" w:name="tbl:neg_control_summary"/>
    <w:p>
      <w:pPr>
        <w:pStyle w:val="TableCaption"/>
      </w:pPr>
      <w:r>
        <w:t xml:space="preserve">9</w:t>
      </w:r>
    </w:p>
    <w:tbl>
      <w:tblPr>
        <w:tblStyle w:val="Table"/>
        <w:tblW w:type="auto" w:w="0"/>
        <w:tblLook w:firstRow="1" w:lastRow="0" w:firstColumn="0" w:lastColumn="0" w:noHBand="0" w:noVBand="0" w:val="0020"/>
        <w:tblCaption w:val="9"/>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3"/>
    <w:bookmarkEnd w:id="104"/>
    <w:bookmarkEnd w:id="105"/>
    <w:bookmarkStart w:id="11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106"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106"/>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0" w:name="fig:pos_control_injected"/>
    <w:p>
      <w:pPr>
        <w:pStyle w:val="CaptionedFigure"/>
      </w:pPr>
      <w:r>
        <w:drawing>
          <wp:inline>
            <wp:extent cx="5334000" cy="4253184"/>
            <wp:effectExtent b="0" l="0" r="0" t="0"/>
            <wp:docPr descr="8" title="" id="108" name="Picture"/>
            <a:graphic>
              <a:graphicData uri="http://schemas.openxmlformats.org/drawingml/2006/picture">
                <pic:pic>
                  <pic:nvPicPr>
                    <pic:cNvPr descr="figures/fig_pos_control_injected.png" id="109" name="Picture"/>
                    <pic:cNvPicPr>
                      <a:picLocks noChangeArrowheads="1" noChangeAspect="1"/>
                    </pic:cNvPicPr>
                  </pic:nvPicPr>
                  <pic:blipFill>
                    <a:blip r:embed="rId107"/>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8</w:t>
      </w:r>
    </w:p>
    <w:bookmarkEnd w:id="110"/>
    <w:bookmarkStart w:id="111" w:name="tbl:pos_control_summary"/>
    <w:p>
      <w:pPr>
        <w:pStyle w:val="TableCaption"/>
      </w:pPr>
      <w:r>
        <w:t xml:space="preserve">10</w:t>
      </w:r>
    </w:p>
    <w:tbl>
      <w:tblPr>
        <w:tblStyle w:val="Table"/>
        <w:tblW w:type="pct" w:w="5000"/>
        <w:tblLayout w:type="fixed"/>
        <w:tblLook w:firstRow="1" w:lastRow="0" w:firstColumn="0" w:lastColumn="0" w:noHBand="0" w:noVBand="0" w:val="0020"/>
        <w:tblCaption w:val="10"/>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1"/>
    <w:bookmarkEnd w:id="112"/>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9 summarizes KCOR stability across the parameter grid.</w:t>
      </w:r>
    </w:p>
    <w:bookmarkStart w:id="116" w:name="fig:sensitivity_overview"/>
    <w:p>
      <w:pPr>
        <w:pStyle w:val="CaptionedFigure"/>
      </w:pPr>
      <w:r>
        <w:drawing>
          <wp:inline>
            <wp:extent cx="5334000" cy="1571483"/>
            <wp:effectExtent b="0" l="0" r="0" t="0"/>
            <wp:docPr descr="9" title="" id="114" name="Picture"/>
            <a:graphic>
              <a:graphicData uri="http://schemas.openxmlformats.org/drawingml/2006/picture">
                <pic:pic>
                  <pic:nvPicPr>
                    <pic:cNvPr descr="figures/fig_sensitivity_overview.png" id="115" name="Picture"/>
                    <pic:cNvPicPr>
                      <a:picLocks noChangeArrowheads="1" noChangeAspect="1"/>
                    </pic:cNvPicPr>
                  </pic:nvPicPr>
                  <pic:blipFill>
                    <a:blip r:embed="rId113"/>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9</w:t>
      </w:r>
    </w:p>
    <w:bookmarkEnd w:id="116"/>
    <w:p>
      <w:pPr>
        <w:pStyle w:val="BodyText"/>
      </w:pPr>
      <w:r>
        <w:t xml:space="preserve">Across all tested parameter ranges, KCOR values remained within approximately ±5% of unity, indicating stability under reasonable variations in fitting choices.</w:t>
      </w:r>
    </w:p>
    <w:bookmarkEnd w:id="117"/>
    <w:bookmarkStart w:id="134"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6345"/>
            <wp:effectExtent b="0" l="0" r="0" t="0"/>
            <wp:docPr descr="10"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10</w:t>
      </w:r>
    </w:p>
    <w:bookmarkEnd w:id="121"/>
    <w:bookmarkStart w:id="125" w:name="fig:sim_grid_diagnostics"/>
    <w:p>
      <w:pPr>
        <w:pStyle w:val="CaptionedFigure"/>
      </w:pPr>
      <w:r>
        <w:drawing>
          <wp:inline>
            <wp:extent cx="5334000" cy="2491716"/>
            <wp:effectExtent b="0" l="0" r="0" t="0"/>
            <wp:docPr descr="11"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11</w:t>
      </w:r>
    </w:p>
    <w:bookmarkEnd w:id="125"/>
    <w:bookmarkStart w:id="129" w:name="fig:s7_overview"/>
    <w:p>
      <w:pPr>
        <w:pStyle w:val="CaptionedFigure"/>
      </w:pPr>
      <w:r>
        <w:drawing>
          <wp:inline>
            <wp:extent cx="5334000" cy="1389920"/>
            <wp:effectExtent b="0" l="0" r="0" t="0"/>
            <wp:docPr descr="12"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12</w:t>
      </w:r>
    </w:p>
    <w:bookmarkEnd w:id="129"/>
    <w:bookmarkStart w:id="133" w:name="fig:s7_diagnostics"/>
    <w:p>
      <w:pPr>
        <w:pStyle w:val="CaptionedFigure"/>
      </w:pPr>
      <w:r>
        <w:drawing>
          <wp:inline>
            <wp:extent cx="5334000" cy="4432289"/>
            <wp:effectExtent b="0" l="0" r="0" t="0"/>
            <wp:docPr descr="13"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13</w:t>
      </w:r>
    </w:p>
    <w:bookmarkEnd w:id="133"/>
    <w:bookmarkEnd w:id="134"/>
    <w:bookmarkStart w:id="135"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5"/>
    <w:bookmarkStart w:id="136"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6"/>
    <w:bookmarkEnd w:id="137"/>
    <w:bookmarkStart w:id="14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8"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8"/>
    <w:bookmarkStart w:id="13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9"/>
    <w:bookmarkStart w:id="140"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0"/>
    <w:bookmarkStart w:id="14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1"/>
    <w:bookmarkEnd w:id="142"/>
    <w:bookmarkStart w:id="146"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3"/>
    <w:bookmarkStart w:id="14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4"/>
    <w:bookmarkStart w:id="14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5"/>
    <w:bookmarkEnd w:id="146"/>
    <w:bookmarkStart w:id="14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7"/>
    <w:bookmarkStart w:id="158" w:name="declarations"/>
    <w:p>
      <w:pPr>
        <w:pStyle w:val="Heading2"/>
      </w:pPr>
      <w:r>
        <w:t xml:space="preserve">Declarations</w:t>
      </w:r>
    </w:p>
    <w:bookmarkStart w:id="14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4</w:t>
      </w:r>
    </w:p>
    <w:bookmarkEnd w:id="148"/>
    <w:bookmarkStart w:id="149" w:name="consent-for-publication"/>
    <w:p>
      <w:pPr>
        <w:pStyle w:val="Heading3"/>
      </w:pPr>
      <w:r>
        <w:t xml:space="preserve">Consent for publication</w:t>
      </w:r>
    </w:p>
    <w:p>
      <w:pPr>
        <w:pStyle w:val="FirstParagraph"/>
      </w:pPr>
      <w:r>
        <w:t xml:space="preserve">Not applicable.</w:t>
      </w:r>
    </w:p>
    <w:bookmarkEnd w:id="149"/>
    <w:bookmarkStart w:id="150"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0"/>
    <w:bookmarkStart w:id="153" w:name="code-availability"/>
    <w:p>
      <w:pPr>
        <w:pStyle w:val="Heading3"/>
      </w:pPr>
      <w:r>
        <w:t xml:space="preserve">Code availability</w:t>
      </w:r>
    </w:p>
    <w:p>
      <w:pPr>
        <w:pStyle w:val="Compact"/>
        <w:numPr>
          <w:ilvl w:val="0"/>
          <w:numId w:val="1025"/>
        </w:numPr>
      </w:pPr>
      <w:r>
        <w:t xml:space="preserve">The KCOR reference implementation and complete validation suite are available in the project repository.</w:t>
      </w:r>
    </w:p>
    <w:p>
      <w:pPr>
        <w:pStyle w:val="Compact"/>
        <w:numPr>
          <w:ilvl w:val="0"/>
          <w:numId w:val="1025"/>
        </w:numPr>
      </w:pPr>
      <w:r>
        <w:t xml:space="preserve">Repository URL:</w:t>
      </w:r>
      <w:r>
        <w:t xml:space="preserve"> </w:t>
      </w:r>
      <w:hyperlink r:id="rId151">
        <w:r>
          <w:rPr>
            <w:rStyle w:val="Hyperlink"/>
          </w:rPr>
          <w:t xml:space="preserve">https://github.com/skirsch/KCOR</w:t>
        </w:r>
      </w:hyperlink>
    </w:p>
    <w:p>
      <w:pPr>
        <w:pStyle w:val="Compact"/>
        <w:numPr>
          <w:ilvl w:val="0"/>
          <w:numId w:val="1025"/>
        </w:numPr>
      </w:pPr>
      <w:r>
        <w:t xml:space="preserve">Zenodo DOI:</w:t>
      </w:r>
      <w:r>
        <w:t xml:space="preserve"> </w:t>
      </w:r>
      <w:hyperlink r:id="rId152">
        <w:r>
          <w:rPr>
            <w:rStyle w:val="Hyperlink"/>
          </w:rPr>
          <w:t xml:space="preserve">10.5281/zenodo.18050329</w:t>
        </w:r>
      </w:hyperlink>
    </w:p>
    <w:bookmarkEnd w:id="153"/>
    <w:bookmarkStart w:id="154" w:name="competing-interests"/>
    <w:p>
      <w:pPr>
        <w:pStyle w:val="Heading3"/>
      </w:pPr>
      <w:r>
        <w:t xml:space="preserve">Competing interests</w:t>
      </w:r>
    </w:p>
    <w:p>
      <w:pPr>
        <w:pStyle w:val="FirstParagraph"/>
      </w:pPr>
      <w:r>
        <w:t xml:space="preserve">The author is a board member of the Vaccine Safety Research Foundation.</w:t>
      </w:r>
    </w:p>
    <w:bookmarkEnd w:id="154"/>
    <w:bookmarkStart w:id="155" w:name="funding"/>
    <w:p>
      <w:pPr>
        <w:pStyle w:val="Heading3"/>
      </w:pPr>
      <w:r>
        <w:t xml:space="preserve">Funding</w:t>
      </w:r>
    </w:p>
    <w:p>
      <w:pPr>
        <w:pStyle w:val="FirstParagraph"/>
      </w:pPr>
      <w:r>
        <w:t xml:space="preserve">This research received no external funding.</w:t>
      </w:r>
    </w:p>
    <w:bookmarkEnd w:id="155"/>
    <w:bookmarkStart w:id="15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6"/>
    <w:bookmarkStart w:id="15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7"/>
    <w:bookmarkEnd w:id="158"/>
    <w:bookmarkStart w:id="167" w:name="references"/>
    <w:p>
      <w:pPr>
        <w:pStyle w:val="Heading2"/>
      </w:pPr>
      <w:r>
        <w:t xml:space="preserve">References</w:t>
      </w:r>
    </w:p>
    <w:bookmarkStart w:id="166" w:name="refs"/>
    <w:bookmarkStart w:id="16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9">
        <w:r>
          <w:rPr>
            <w:rStyle w:val="Hyperlink"/>
          </w:rPr>
          <w:t xml:space="preserve">10.2307/2061224</w:t>
        </w:r>
      </w:hyperlink>
    </w:p>
    <w:bookmarkEnd w:id="160"/>
    <w:bookmarkStart w:id="16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1">
        <w:r>
          <w:rPr>
            <w:rStyle w:val="Hyperlink"/>
          </w:rPr>
          <w:t xml:space="preserve">10.2147/CLEP.S468572</w:t>
        </w:r>
      </w:hyperlink>
    </w:p>
    <w:bookmarkEnd w:id="162"/>
    <w:bookmarkStart w:id="16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3">
        <w:r>
          <w:rPr>
            <w:rStyle w:val="Hyperlink"/>
          </w:rPr>
          <w:t xml:space="preserve">10.7554/eLife.103690</w:t>
        </w:r>
      </w:hyperlink>
    </w:p>
    <w:bookmarkEnd w:id="164"/>
    <w:bookmarkStart w:id="165"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5"/>
    <w:bookmarkEnd w:id="166"/>
    <w:bookmarkEnd w:id="167"/>
    <w:bookmarkStart w:id="20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3" w:name="appendix-a.-mathematical-derivations"/>
    <w:p>
      <w:pPr>
        <w:pStyle w:val="Heading3"/>
      </w:pPr>
      <w:r>
        <w:t xml:space="preserve">Appendix A. Mathematical derivations</w:t>
      </w:r>
    </w:p>
    <w:bookmarkStart w:id="168"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8"/>
    <w:bookmarkStart w:id="16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69"/>
    <w:bookmarkStart w:id="170"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70"/>
    <w:bookmarkStart w:id="171"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71"/>
    <w:bookmarkStart w:id="172"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72"/>
    <w:bookmarkEnd w:id="173"/>
    <w:bookmarkStart w:id="186" w:name="appendix-b.-control-test-specifications"/>
    <w:p>
      <w:pPr>
        <w:pStyle w:val="Heading3"/>
      </w:pPr>
      <w:r>
        <w:t xml:space="preserve">Appendix B. Control-test specifications</w:t>
      </w:r>
    </w:p>
    <w:bookmarkStart w:id="174"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4"/>
    <w:bookmarkStart w:id="175"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5"/>
    <w:bookmarkStart w:id="176"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6"/>
    <w:bookmarkStart w:id="177"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77"/>
    <w:bookmarkStart w:id="178"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78"/>
    <w:bookmarkStart w:id="185"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9"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9"/>
    <w:bookmarkStart w:id="180"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80"/>
    <w:bookmarkStart w:id="181"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81"/>
    <w:bookmarkStart w:id="182"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82"/>
    <w:bookmarkStart w:id="183"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3"/>
    <w:bookmarkStart w:id="184"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4"/>
    <w:bookmarkEnd w:id="185"/>
    <w:bookmarkEnd w:id="186"/>
    <w:bookmarkStart w:id="191" w:name="X3fb27f9d14d988b0afc4c757bd6d2a45d2ae0b5"/>
    <w:p>
      <w:pPr>
        <w:pStyle w:val="Heading3"/>
      </w:pPr>
      <w:r>
        <w:t xml:space="preserve">Appendix C. Additional figures and diagnostics</w:t>
      </w:r>
    </w:p>
    <w:bookmarkStart w:id="187"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187"/>
    <w:bookmarkStart w:id="188"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88"/>
    <w:bookmarkStart w:id="189"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9) provides a systematic assessment of parameter stability.</w:t>
      </w:r>
    </w:p>
    <w:bookmarkEnd w:id="189"/>
    <w:bookmarkStart w:id="190"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90"/>
    <w:bookmarkEnd w:id="191"/>
    <w:bookmarkStart w:id="20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9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92"/>
    <w:bookmarkStart w:id="19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3"/>
    <w:bookmarkStart w:id="19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4"/>
    <w:bookmarkStart w:id="19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5"/>
    <w:bookmarkStart w:id="19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6"/>
    <w:bookmarkStart w:id="19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7"/>
    <w:bookmarkStart w:id="19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8"/>
    <w:bookmarkStart w:id="19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9"/>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2026-01-01T02:02:45Z</dcterms:created>
  <dcterms:modified xsi:type="dcterms:W3CDTF">2026-01-01T02:02:45Z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i</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i</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