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97.png" ContentType="image/png"/>
  <Override PartName="/word/media/rId72.png" ContentType="image/png"/>
  <Override PartName="/word/media/rId76.png" ContentType="image/png"/>
  <Override PartName="/word/media/rId66.png" ContentType="image/png"/>
  <Override PartName="/word/media/rId87.png" ContentType="image/png"/>
  <Override PartName="/word/media/rId105.png" ContentType="image/png"/>
  <Override PartName="/word/media/rId129.png" ContentType="image/png"/>
  <Override PartName="/word/media/rId125.png" ContentType="image/png"/>
  <Override PartName="/word/media/rId111.png" ContentType="image/png"/>
  <Override PartName="/word/media/rId121.png" ContentType="image/png"/>
  <Override PartName="/word/media/rId117.png" ContentType="image/png"/>
  <Override PartName="/word/media/rId133.png" ContentType="image/png"/>
  <Override PartName="/word/media/rId232.png" ContentType="image/png"/>
  <Override PartName="/word/media/rId213.png" ContentType="image/png"/>
  <Override PartName="/word/media/rId217.png" ContentType="image/png"/>
  <Override PartName="/word/media/rId2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8" w:name="X87404fd0c70b5b6a5b8bf836f021ef75f69b977"/>
    <w:p>
      <w:pPr>
        <w:pStyle w:val="Heading1"/>
      </w:pPr>
      <w:r>
        <w:t xml:space="preserve">KCOR: A Depletion-Neutralized Cohort Comparison Framework Using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produce non-proportional hazards that invalidate standard survival estimands. We introduce the Kirsch Cumulative Outcomes Ratio (KCOR), a cumulative-hazard normalization and comparison framework designed for retrospective cohorts using minimal registry data (e.g., dates of birth, intervention, and event). KCOR operates by estimating cohort-specific frailty during epidemiologically quiet periods, transforming observed cumulative hazards into a depletion-neutralized space, and defining a cumulative hazard ratio as the target estimand.</w:t>
      </w:r>
    </w:p>
    <w:p>
      <w:pPr>
        <w:pStyle w:val="BodyText"/>
      </w:pPr>
      <w:r>
        <w:t xml:space="preserve">Using simulation studies structured to vary frailty heterogeneity and selection strength, we evaluate KCOR alongside commonly used alternative estimands under both null and non-null conditions. Under selection-only scenarios, KCOR remains centered near the null with stable trajectories, whereas survival-based and hazard-based estimands exhibit systematic non-null behavior driven by residual depletion effects. KCOR defines a cumulative hazard ratio after explicit normalization of selection-induced depletion; it is presented as a diagnostic and normalization framework rather than a causal estimator, with interpretation contingent on stated assumptions and validated through prespecified simulations and control tests.</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bookmarkEnd w:id="11"/>
    <w:bookmarkStart w:id="29"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8"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4"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bookmarkEnd w:id="14"/>
    <w:bookmarkStart w:id="15"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5"/>
    <w:bookmarkStart w:id="16"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6"/>
    <w:bookmarkStart w:id="17"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7"/>
    <w:bookmarkEnd w:id="18"/>
    <w:bookmarkStart w:id="22"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19"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9"/>
    <w:bookmarkStart w:id="21"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20"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20"/>
    <w:bookmarkEnd w:id="21"/>
    <w:bookmarkEnd w:id="22"/>
    <w:bookmarkStart w:id="25"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bookmarkStart w:id="23"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23"/>
    <w:p/>
    <w:bookmarkStart w:id="24"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24"/>
    <w:p>
      <w:pPr>
        <w:pStyle w:val="BodyText"/>
      </w:pPr>
      <w:r>
        <w:rPr>
          <w:i/>
          <w:iCs/>
        </w:rPr>
        <w:t xml:space="preserve">Most existing methods improve descriptive fit to non-proportional hazards but do not neutralize selection-induced depletion. KCOR explicitly estimates and removes depletion geometry before defining a cumulative comparison.</w:t>
      </w:r>
    </w:p>
    <w:p>
      <w:pPr>
        <w:pStyle w:val="BodyText"/>
      </w:pPr>
      <w:r>
        <w:t xml:space="preserve">Most retrospective approaches either compare cohorts under proportional-hazards assumptions, balance measured confounding, or diagnose bias without removing it. KCOR occupies a distinct role: it neutralizes selection-induced depletion dynamics via gamma-frailty inversion and then extracts the cohort contrast using a cumulative hazard ratio (KCOR), which is the estimand reported.</w:t>
      </w:r>
    </w:p>
    <w:bookmarkEnd w:id="25"/>
    <w:bookmarkStart w:id="26"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6"/>
    <w:bookmarkStart w:id="27"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7"/>
    <w:bookmarkStart w:id="28"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4"/>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4"/>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6"/>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7"/>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8"/>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8"/>
    <w:bookmarkEnd w:id="29"/>
    <w:bookmarkStart w:id="31"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bookmarkStart w:id="30"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Para>
              <m:oMathParaPr>
                <m:jc m:val="center"/>
              </m:oMathParaPr>
              <m:oMath>
                <m:r>
                  <m:t>d</m:t>
                </m:r>
              </m:oMath>
            </m:oMathPara>
          </w:p>
        </w:tc>
        <w:tc>
          <w:tcPr/>
          <w:p>
            <w:pPr>
              <w:pStyle w:val="Compact"/>
            </w:pPr>
            <w:r>
              <w:t xml:space="preserve">Cohort index</w:t>
            </w:r>
          </w:p>
        </w:tc>
      </w:tr>
      <w:tr>
        <w:tc>
          <w:tcPr/>
          <w:p>
            <w:pPr>
              <w:pStyle w:val="Compact"/>
            </w:pPr>
            <m:oMathPara>
              <m:oMathParaPr>
                <m:jc m:val="center"/>
              </m:oMathParaPr>
              <m:oMath>
                <m:r>
                  <m:t>A</m:t>
                </m:r>
                <m:r>
                  <m:rPr>
                    <m:sty m:val="p"/>
                  </m:rPr>
                  <m:t>,</m:t>
                </m:r>
                <m:r>
                  <m:t>B</m:t>
                </m:r>
              </m:oMath>
            </m:oMathPara>
          </w:p>
        </w:tc>
        <w:tc>
          <w:tcPr/>
          <w:p>
            <w:pPr>
              <w:pStyle w:val="Compact"/>
            </w:pPr>
            <w:r>
              <w:t xml:space="preserve">Indices of the two cohorts compared in a KCOR contrast</w:t>
            </w:r>
          </w:p>
        </w:tc>
      </w:tr>
      <w:tr>
        <w:tc>
          <w:tcPr/>
          <w:p>
            <w:pPr>
              <w:pStyle w:val="Compact"/>
            </w:pPr>
            <m:oMathPara>
              <m:oMathParaPr>
                <m:jc m:val="center"/>
              </m:oMathParaPr>
              <m:oMath>
                <m:r>
                  <m:t>t</m:t>
                </m:r>
              </m:oMath>
            </m:oMathPara>
          </w:p>
        </w:tc>
        <w:tc>
          <w:tcPr/>
          <w:p>
            <w:pPr>
              <w:pStyle w:val="Compact"/>
            </w:pPr>
            <w:r>
              <w:t xml:space="preserve">Event time since enrollment (discrete bins, e.g., weeks)</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cohort hazard</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cumulative hazard (after skip/stabilization)</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acc>
                      <m:accPr>
                        <m:chr m:val="̃"/>
                      </m:accPr>
                      <m:e>
                        <m:r>
                          <m:t>H</m:t>
                        </m:r>
                      </m:e>
                    </m:acc>
                  </m:e>
                  <m:sub>
                    <m:r>
                      <m:t>0</m:t>
                    </m:r>
                    <m:r>
                      <m:rPr>
                        <m:sty m:val="p"/>
                      </m:rPr>
                      <m:t>,</m:t>
                    </m:r>
                    <m:r>
                      <m:t>d</m:t>
                    </m:r>
                  </m:sub>
                </m:sSub>
                <m:r>
                  <m:rPr>
                    <m:sty m:val="p"/>
                  </m:rPr>
                  <m:t>(</m:t>
                </m:r>
                <m:r>
                  <m:t>t</m:t>
                </m:r>
                <m:r>
                  <m:rPr>
                    <m:sty m:val="p"/>
                  </m:rPr>
                  <m:t>)</m:t>
                </m:r>
              </m:oMath>
            </m:oMathPara>
          </w:p>
        </w:tc>
        <w:tc>
          <w:tcPr/>
          <w:p>
            <w:pPr>
              <w:pStyle w:val="Compact"/>
            </w:pPr>
            <w:r>
              <w:t xml:space="preserve">Depletion-neutralized baseline cumulative hazard</w:t>
            </w:r>
          </w:p>
        </w:tc>
      </w:tr>
      <w:tr>
        <w:tc>
          <w:tcPr/>
          <w:p>
            <w:pPr>
              <w:pStyle w:val="Compact"/>
            </w:pPr>
            <m:oMathPara>
              <m:oMathParaPr>
                <m:jc m:val="center"/>
              </m:oMathParaPr>
              <m:oMath>
                <m:sSub>
                  <m:e>
                    <m:r>
                      <m:t>θ</m:t>
                    </m:r>
                  </m:e>
                  <m:sub>
                    <m:r>
                      <m:t>d</m:t>
                    </m:r>
                  </m:sub>
                </m:sSub>
              </m:oMath>
            </m:oMathPara>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Para>
              <m:oMathParaPr>
                <m:jc m:val="center"/>
              </m:oMathParaPr>
              <m:oMath>
                <m:sSub>
                  <m:e>
                    <m:acc>
                      <m:accPr>
                        <m:chr m:val="̂"/>
                      </m:accPr>
                      <m:e>
                        <m:r>
                          <m:t>θ</m:t>
                        </m:r>
                      </m:e>
                    </m:acc>
                  </m:e>
                  <m:sub>
                    <m:r>
                      <m:t>d</m:t>
                    </m:r>
                  </m:sub>
                </m:sSub>
              </m:oMath>
            </m:oMathPara>
          </w:p>
        </w:tc>
        <w:tc>
          <w:tcPr/>
          <w:p>
            <w:pPr>
              <w:pStyle w:val="Compact"/>
            </w:pPr>
            <w:r>
              <w:t xml:space="preserve">Estimated frailty variance from quiet-window fitting</w:t>
            </w:r>
          </w:p>
        </w:tc>
      </w:tr>
      <w:tr>
        <w:tc>
          <w:tcPr/>
          <w:p>
            <w:pPr>
              <w:pStyle w:val="Compact"/>
            </w:pPr>
            <m:oMathPara>
              <m:oMathParaPr>
                <m:jc m:val="center"/>
              </m:oMathParaPr>
              <m:oMath>
                <m:sSub>
                  <m:e>
                    <m:r>
                      <m:t>k</m:t>
                    </m:r>
                  </m:e>
                  <m:sub>
                    <m:r>
                      <m:t>d</m:t>
                    </m:r>
                  </m:sub>
                </m:sSub>
              </m:oMath>
            </m:oMathPara>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Para>
              <m:oMathParaPr>
                <m:jc m:val="center"/>
              </m:oMathParaPr>
              <m:oMath>
                <m:sSub>
                  <m:e>
                    <m:acc>
                      <m:accPr>
                        <m:chr m:val="̂"/>
                      </m:accPr>
                      <m:e>
                        <m:r>
                          <m:t>k</m:t>
                        </m:r>
                      </m:e>
                    </m:acc>
                  </m:e>
                  <m:sub>
                    <m:r>
                      <m:t>d</m:t>
                    </m:r>
                  </m:sub>
                </m:sSub>
              </m:oMath>
            </m:oMathPara>
          </w:p>
        </w:tc>
        <w:tc>
          <w:tcPr/>
          <w:p>
            <w:pPr>
              <w:pStyle w:val="Compact"/>
            </w:pPr>
            <w:r>
              <w:t xml:space="preserve">Estimated baseline hazard level from quiet-window fitting</w:t>
            </w:r>
          </w:p>
        </w:tc>
      </w:tr>
    </w:tbl>
    <w:bookmarkEnd w:id="30"/>
    <w:p>
      <w:pPr>
        <w:pStyle w:val="BodyText"/>
      </w:pPr>
      <w:r>
        <w:t xml:space="preserve">For COVID-19 vaccination analyses, intervention count corresponds to the number of vaccine doses received; more generally, this can index any discrete exposure level.</w:t>
      </w:r>
    </w:p>
    <w:bookmarkEnd w:id="31"/>
    <w:bookmarkStart w:id="35"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09"/>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09"/>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0"/>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0"/>
        </w:numPr>
      </w:pPr>
      <w:r>
        <w:rPr>
          <w:b/>
          <w:bCs/>
        </w:rPr>
        <w:t xml:space="preserve">Map observed cumulative hazards into a depletion-neutralized space</w:t>
      </w:r>
      <w:r>
        <w:t xml:space="preserve"> </w:t>
      </w:r>
      <w:r>
        <w:t xml:space="preserve">by inverting that geometry.</w:t>
      </w:r>
    </w:p>
    <w:p>
      <w:pPr>
        <w:pStyle w:val="Compact"/>
        <w:numPr>
          <w:ilvl w:val="0"/>
          <w:numId w:val="1010"/>
        </w:numPr>
      </w:pPr>
      <w:r>
        <w:rPr>
          <w:b/>
          <w:bCs/>
        </w:rPr>
        <w:t xml:space="preserve">Compare cohorts only after normalization</w:t>
      </w:r>
      <w:r>
        <w:t xml:space="preserve">, using a cumulative-hazard ratio defined on the depletion-neutralized scale.</w:t>
      </w:r>
    </w:p>
    <w:bookmarkStart w:id="33" w:name="target-estimand"/>
    <w:p>
      <w:pPr>
        <w:pStyle w:val="Heading3"/>
      </w:pPr>
      <w:r>
        <w:t xml:space="preserve">2.1.1 Target estimand</w:t>
      </w:r>
    </w:p>
    <w:p>
      <w:pPr>
        <w:pStyle w:val="FirstParagraph"/>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32"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32"/>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3"/>
    <w:bookmarkStart w:id="34"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1"/>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1"/>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1"/>
        </w:numPr>
      </w:pPr>
      <w:r>
        <w:t xml:space="preserve">absence of systematic residual structure in cumulative-hazard space.</w:t>
      </w:r>
    </w:p>
    <w:p>
      <w:r>
        <w:pict>
          <v:rect style="width:0;height:1.5pt" o:hralign="center" o:hrstd="t" o:hr="t"/>
        </w:pict>
      </w:r>
    </w:p>
    <w:bookmarkEnd w:id="34"/>
    <w:bookmarkEnd w:id="35"/>
    <w:bookmarkStart w:id="36"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2"/>
        </w:numPr>
      </w:pPr>
      <w:r>
        <w:rPr>
          <w:b/>
          <w:bCs/>
        </w:rPr>
        <w:t xml:space="preserve">No post-enrollment switching</w:t>
      </w:r>
      <w:r>
        <w:t xml:space="preserve"> </w:t>
      </w:r>
      <w:r>
        <w:t xml:space="preserve">is allowed (individuals remain in their enrollment cohort),</w:t>
      </w:r>
    </w:p>
    <w:p>
      <w:pPr>
        <w:pStyle w:val="Compact"/>
        <w:numPr>
          <w:ilvl w:val="0"/>
          <w:numId w:val="1012"/>
        </w:numPr>
      </w:pPr>
      <w:r>
        <w:rPr>
          <w:b/>
          <w:bCs/>
        </w:rPr>
        <w:t xml:space="preserve">No censoring</w:t>
      </w:r>
      <w:r>
        <w:t xml:space="preserve"> </w:t>
      </w:r>
      <w:r>
        <w:t xml:space="preserve">is applied (other than administrative end of follow-up),</w:t>
      </w:r>
    </w:p>
    <w:p>
      <w:pPr>
        <w:pStyle w:val="Compact"/>
        <w:numPr>
          <w:ilvl w:val="0"/>
          <w:numId w:val="1012"/>
        </w:numPr>
      </w:pPr>
      <w:r>
        <w:t xml:space="preserve">analyses are performed on the resulting fixed risk sets.</w:t>
      </w:r>
    </w:p>
    <w:p>
      <w:pPr>
        <w:pStyle w:val="FirstParagraph"/>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6"/>
    <w:bookmarkStart w:id="39" w:name="X8d7a41b2ee06470250995551ddf1fd9af9326e9"/>
    <w:p>
      <w:pPr>
        <w:pStyle w:val="Heading2"/>
      </w:pPr>
      <w:r>
        <w:t xml:space="preserve">2.3 Hazard estimation and cumulative hazards in discrete time</w:t>
      </w:r>
    </w:p>
    <w:p>
      <w:pPr>
        <w:pStyle w:val="FirstParagraph"/>
      </w:pPr>
      <w:r>
        <w:t xml:space="preserve">Let</w:t>
      </w:r>
      <w:r>
        <w:t xml:space="preserve"> </w:t>
      </w:r>
      <m:oMath>
        <m:sSub>
          <m:e>
            <m:r>
              <m:t>D</m:t>
            </m:r>
          </m:e>
          <m:sub>
            <m:r>
              <m:t>d</m:t>
            </m:r>
          </m:sub>
        </m:sSub>
        <m:r>
          <m:rPr>
            <m:sty m:val="p"/>
          </m:rPr>
          <m:t>(</m:t>
        </m:r>
        <m:r>
          <m:t>t</m:t>
        </m:r>
        <m:r>
          <m:rPr>
            <m:sty m:val="p"/>
          </m:rPr>
          <m:t>)</m:t>
        </m:r>
      </m:oMath>
      <w:r>
        <w:t xml:space="preserve"> </w:t>
      </w:r>
      <w:r>
        <w:t xml:space="preserve">denote events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We compute the discrete-time cohort hazard as</w:t>
      </w:r>
    </w:p>
    <w:bookmarkStart w:id="37"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7"/>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t xml:space="preserve">Observed cumulative hazards are accumulated over event time after an optional stabilization skip (§2.7):</w:t>
      </w:r>
    </w:p>
    <w:bookmarkStart w:id="38"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8"/>
    <w:p>
      <w:pPr>
        <w:pStyle w:val="BodyText"/>
      </w:pPr>
      <w:r>
        <w:t xml:space="preserve">Discrete binning accommodates tied events and aggregated registry releases. Bin width is chosen based on diagnostic stability (e.g., smoothness and sufficient counts per bin) rather than temporal resolution alone.</w:t>
      </w:r>
    </w:p>
    <w:p>
      <w:r>
        <w:pict>
          <v:rect style="width:0;height:1.5pt" o:hralign="center" o:hrstd="t" o:hr="t"/>
        </w:pict>
      </w:r>
    </w:p>
    <w:bookmarkEnd w:id="39"/>
    <w:bookmarkStart w:id="86" w:name="Xac986e115b315a486d7d296f1ed82bc5da7c6c5"/>
    <w:p>
      <w:pPr>
        <w:pStyle w:val="Heading2"/>
      </w:pPr>
      <w:r>
        <w:t xml:space="preserve">2.4 Selection model: gamma frailty and depletion normalization</w:t>
      </w:r>
    </w:p>
    <w:bookmarkStart w:id="41"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40"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40"/>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41"/>
    <w:bookmarkStart w:id="45" w:name="gamma-frailty-identity-and-inversion"/>
    <w:p>
      <w:pPr>
        <w:pStyle w:val="Heading3"/>
      </w:pPr>
      <w:r>
        <w:t xml:space="preserve">2.4.2 Gamma-frailty identity and inversion</w:t>
      </w:r>
    </w:p>
    <w:p>
      <w:pPr>
        <w:pStyle w:val="FirstParagraph"/>
      </w:pPr>
      <w:r>
        <w:t xml:space="preserve">Let</w:t>
      </w:r>
    </w:p>
    <w:bookmarkStart w:id="42"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42"/>
    <w:p>
      <w:pPr>
        <w:pStyle w:val="BodyText"/>
      </w:pPr>
      <w:r>
        <w:t xml:space="preserve">denote the baseline cumulative hazard. Integrating over gamma frailty yields the gamma-frailty identity</w:t>
      </w:r>
    </w:p>
    <w:bookmarkStart w:id="43"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3"/>
    <w:p>
      <w:pPr>
        <w:pStyle w:val="BodyText"/>
      </w:pPr>
      <w:r>
        <w:t xml:space="preserve">which can be inverted exactly as</w:t>
      </w:r>
    </w:p>
    <w:bookmarkStart w:id="44"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4"/>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5"/>
    <w:bookmarkStart w:id="47"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6"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6"/>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7"/>
    <w:bookmarkStart w:id="48"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w:t>
      </w:r>
    </w:p>
    <w:p>
      <w:r>
        <w:pict>
          <v:rect style="width:0;height:1.5pt" o:hralign="center" o:hrstd="t" o:hr="t"/>
        </w:pict>
      </w:r>
    </w:p>
    <w:bookmarkEnd w:id="48"/>
    <w:bookmarkStart w:id="53"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49"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49"/>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0"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50"/>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2"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3"/>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3"/>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3"/>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1"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11</m:t>
        </m:r>
        <m:r>
          <m:rPr>
            <m:sty m:val="p"/>
          </m:rPr>
          <m:t>)</m:t>
        </m:r>
      </m:oMath>
    </w:p>
    <w:bookmarkEnd w:id="51"/>
    <w:p>
      <w:pPr>
        <w:pStyle w:val="BodyText"/>
      </w:pPr>
      <w:r>
        <w:t xml:space="preserve">This form provides a second-order accurate approximation to the continuous-time hazard while remaining numerically stable for small mortality-rate (MR) values.</w:t>
      </w:r>
    </w:p>
    <w:p>
      <w:pPr>
        <w:pStyle w:val="Compact"/>
        <w:numPr>
          <w:ilvl w:val="0"/>
          <w:numId w:val="1014"/>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4"/>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2"/>
    <w:bookmarkEnd w:id="53"/>
    <w:bookmarkStart w:id="58"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4"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12</m:t>
        </m:r>
        <m:r>
          <m:rPr>
            <m:sty m:val="p"/>
          </m:rPr>
          <m:t>)</m:t>
        </m:r>
      </m:oMath>
    </w:p>
    <w:bookmarkEnd w:id="54"/>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5"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13</m:t>
        </m:r>
        <m:r>
          <m:rPr>
            <m:sty m:val="p"/>
          </m:rPr>
          <m:t>)</m:t>
        </m:r>
      </m:oMath>
    </w:p>
    <w:bookmarkEnd w:id="55"/>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6"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6"/>
    <w:bookmarkStart w:id="57"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5"/>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5"/>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6"/>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7"/>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7"/>
    <w:bookmarkEnd w:id="58"/>
    <w:bookmarkStart w:id="60"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59"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14</m:t>
        </m:r>
        <m:r>
          <m:rPr>
            <m:sty m:val="p"/>
          </m:rPr>
          <m:t>)</m:t>
        </m:r>
      </m:oMath>
    </w:p>
    <w:bookmarkEnd w:id="59"/>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0"/>
    <w:bookmarkStart w:id="62"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1"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15</m:t>
        </m:r>
        <m:r>
          <m:rPr>
            <m:sty m:val="p"/>
          </m:rPr>
          <m:t>)</m:t>
        </m:r>
      </m:oMath>
    </w:p>
    <w:bookmarkEnd w:id="61"/>
    <w:p>
      <w:pPr>
        <w:pStyle w:val="BodyText"/>
      </w:pPr>
      <w:r>
        <w:t xml:space="preserve">This is a cumulative comparison in hazard space after removing cohort-specific selection-induced depletion dynamics estimated during quiet periods.</w:t>
      </w:r>
    </w:p>
    <w:bookmarkEnd w:id="62"/>
    <w:bookmarkStart w:id="64"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8"/>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8"/>
        </w:numPr>
      </w:pPr>
      <w:r>
        <w:rPr>
          <w:b/>
          <w:bCs/>
        </w:rPr>
        <w:t xml:space="preserve">Stratified bootstrap resampling</w:t>
      </w:r>
      <w:r>
        <w:t xml:space="preserve"> </w:t>
      </w:r>
      <w:r>
        <w:t xml:space="preserve">to capture uncertainty from event realization and from estimation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and the resulting normalization.</w:t>
      </w:r>
    </w:p>
    <w:bookmarkStart w:id="63"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19"/>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19"/>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19"/>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19"/>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19"/>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3"/>
    <w:bookmarkEnd w:id="64"/>
    <w:bookmarkStart w:id="70"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5"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5"/>
    <w:bookmarkStart w:id="69"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7" name="Picture"/>
            <a:graphic>
              <a:graphicData uri="http://schemas.openxmlformats.org/drawingml/2006/picture">
                <pic:pic>
                  <pic:nvPicPr>
                    <pic:cNvPr descr="figures/fig_kcor_workflow.png" id="68" name="Picture"/>
                    <pic:cNvPicPr>
                      <a:picLocks noChangeArrowheads="1" noChangeAspect="1"/>
                    </pic:cNvPicPr>
                  </pic:nvPicPr>
                  <pic:blipFill>
                    <a:blip r:embed="rId66"/>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69"/>
    <w:bookmarkEnd w:id="70"/>
    <w:bookmarkStart w:id="82"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Accordingly, Cox results are presented here only as a diagnostic demonstration of assumption failure,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80"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0"/>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0"/>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1"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1"/>
    <w:bookmarkStart w:id="75"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3" name="Picture"/>
            <a:graphic>
              <a:graphicData uri="http://schemas.openxmlformats.org/drawingml/2006/picture">
                <pic:pic>
                  <pic:nvPicPr>
                    <pic:cNvPr descr="figures/fig_cox_bias_hr_vs_theta.png" id="74" name="Picture"/>
                    <pic:cNvPicPr>
                      <a:picLocks noChangeArrowheads="1" noChangeAspect="1"/>
                    </pic:cNvPicPr>
                  </pic:nvPicPr>
                  <pic:blipFill>
                    <a:blip r:embed="rId72"/>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5"/>
    <w:bookmarkStart w:id="79"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77" name="Picture"/>
            <a:graphic>
              <a:graphicData uri="http://schemas.openxmlformats.org/drawingml/2006/picture">
                <pic:pic>
                  <pic:nvPicPr>
                    <pic:cNvPr descr="figures/fig_cox_bias_kcor_vs_theta.png" id="78" name="Picture"/>
                    <pic:cNvPicPr>
                      <a:picLocks noChangeArrowheads="1" noChangeAspect="1"/>
                    </pic:cNvPicPr>
                  </pic:nvPicPr>
                  <pic:blipFill>
                    <a:blip r:embed="rId76"/>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79"/>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motivating cumulative-hazard–based normalization when selection-induced curvature is present.</w:t>
      </w:r>
    </w:p>
    <w:bookmarkEnd w:id="80"/>
    <w:bookmarkStart w:id="81"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81"/>
    <w:bookmarkEnd w:id="82"/>
    <w:bookmarkStart w:id="83"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83"/>
    <w:bookmarkStart w:id="84"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4"/>
    <w:bookmarkStart w:id="85"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bookmarkEnd w:id="85"/>
    <w:bookmarkEnd w:id="86"/>
    <w:bookmarkStart w:id="142"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1"/>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1"/>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bookmarkStart w:id="103" w:name="X250d2743dd947cd04209f9dc9cf02b545517230"/>
    <w:p>
      <w:pPr>
        <w:pStyle w:val="Heading3"/>
      </w:pPr>
      <w:r>
        <w:t xml:space="preserve">3.1 Negative controls: null under selection-induced curvature</w:t>
      </w:r>
    </w:p>
    <w:bookmarkStart w:id="92"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2"/>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2"/>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2"/>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91"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3"/>
        </w:numPr>
      </w:pPr>
      <w:r>
        <w:t xml:space="preserve">Time unit: weeks.</w:t>
      </w:r>
    </w:p>
    <w:p>
      <w:pPr>
        <w:pStyle w:val="Compact"/>
        <w:numPr>
          <w:ilvl w:val="0"/>
          <w:numId w:val="1023"/>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3"/>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3"/>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90"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88" name="Picture"/>
            <a:graphic>
              <a:graphicData uri="http://schemas.openxmlformats.org/drawingml/2006/picture">
                <pic:pic>
                  <pic:nvPicPr>
                    <pic:cNvPr descr="figures/fig_neg_control_synthetic.png" id="89" name="Picture"/>
                    <pic:cNvPicPr>
                      <a:picLocks noChangeArrowheads="1" noChangeAspect="1"/>
                    </pic:cNvPicPr>
                  </pic:nvPicPr>
                  <pic:blipFill>
                    <a:blip r:embed="rId87"/>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90"/>
    <w:bookmarkEnd w:id="91"/>
    <w:bookmarkEnd w:id="92"/>
    <w:bookmarkStart w:id="102"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6"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Uncertainty bands (95% bootstrap intervals) are shown. Data source: Czech Republic mortality and vaccination dataset processed into KCOR_CMR aggregated format (negative-control construction; see Appendix B.2).12" title="" id="94" name="Picture"/>
            <a:graphic>
              <a:graphicData uri="http://schemas.openxmlformats.org/drawingml/2006/picture">
                <pic:pic>
                  <pic:nvPicPr>
                    <pic:cNvPr descr="figures/fig2_neg_control_10yr_age_diff.png" id="95" name="Picture"/>
                    <pic:cNvPicPr>
                      <a:picLocks noChangeArrowheads="1" noChangeAspect="1"/>
                    </pic:cNvPicPr>
                  </pic:nvPicPr>
                  <pic:blipFill>
                    <a:blip r:embed="rId93"/>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Uncertainty bands (95% bootstrap intervals) are shown. Data source: Czech Republic mortality and vaccination dataset processed into KCOR_CMR aggregated format (negative-control construction; see Appendix B.2).</w:t>
      </w:r>
      <w:r>
        <w:rPr>
          <w:vertAlign w:val="superscript"/>
        </w:rPr>
        <w:t xml:space="preserve">12</w:t>
      </w:r>
    </w:p>
    <w:bookmarkEnd w:id="96"/>
    <w:bookmarkStart w:id="100"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Uncertainty bands (95% bootstrap intervals) are shown. Data source: Czech Republic mortality and vaccination dataset processed into KCOR_CMR aggregated format (negative-control construction; see Appendix B.2)." title="" id="98" name="Picture"/>
            <a:graphic>
              <a:graphicData uri="http://schemas.openxmlformats.org/drawingml/2006/picture">
                <pic:pic>
                  <pic:nvPicPr>
                    <pic:cNvPr descr="figures/fig3_neg_control_20yr_age_diff.png" id="99" name="Picture"/>
                    <pic:cNvPicPr>
                      <a:picLocks noChangeArrowheads="1" noChangeAspect="1"/>
                    </pic:cNvPicPr>
                  </pic:nvPicPr>
                  <pic:blipFill>
                    <a:blip r:embed="rId97"/>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Uncertainty bands (95% bootstrap intervals) are shown. Data source: Czech Republic mortality and vaccination dataset processed into KCOR_CMR aggregated format (negative-control construction; see Appendix B.2).</w:t>
      </w:r>
    </w:p>
    <w:bookmarkEnd w:id="100"/>
    <w:p>
      <w:pPr>
        <w:pStyle w:val="BodyText"/>
      </w:pPr>
      <w:r>
        <w:t xml:space="preserve">Table 7 provides numeric summaries.</w:t>
      </w:r>
    </w:p>
    <w:bookmarkStart w:id="101"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1"/>
    <w:bookmarkEnd w:id="102"/>
    <w:bookmarkEnd w:id="103"/>
    <w:bookmarkStart w:id="110"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4"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16</m:t>
        </m:r>
        <m:r>
          <m:rPr>
            <m:sty m:val="p"/>
          </m:rPr>
          <m:t>)</m:t>
        </m:r>
      </m:oMath>
    </w:p>
    <w:bookmarkEnd w:id="104"/>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08"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06" name="Picture"/>
            <a:graphic>
              <a:graphicData uri="http://schemas.openxmlformats.org/drawingml/2006/picture">
                <pic:pic>
                  <pic:nvPicPr>
                    <pic:cNvPr descr="figures/fig_pos_control_injected.png" id="107" name="Picture"/>
                    <pic:cNvPicPr>
                      <a:picLocks noChangeArrowheads="1" noChangeAspect="1"/>
                    </pic:cNvPicPr>
                  </pic:nvPicPr>
                  <pic:blipFill>
                    <a:blip r:embed="rId105"/>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08"/>
    <w:bookmarkStart w:id="109"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09"/>
    <w:bookmarkEnd w:id="110"/>
    <w:bookmarkStart w:id="116"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4"/>
        </w:numPr>
      </w:pPr>
      <w:r>
        <w:t xml:space="preserve">Quiet-window selection (calendar ISO-week bounds)</w:t>
      </w:r>
    </w:p>
    <w:p>
      <w:pPr>
        <w:pStyle w:val="Compact"/>
        <w:numPr>
          <w:ilvl w:val="0"/>
          <w:numId w:val="1024"/>
        </w:numPr>
      </w:pPr>
      <w:r>
        <w:t xml:space="preserve">Stabilization skip (early-bin handling)</w:t>
      </w:r>
    </w:p>
    <w:p>
      <w:pPr>
        <w:pStyle w:val="Compact"/>
        <w:numPr>
          <w:ilvl w:val="0"/>
          <w:numId w:val="1024"/>
        </w:numPr>
      </w:pPr>
      <w:r>
        <w:t xml:space="preserve">Time-binning resolution</w:t>
      </w:r>
    </w:p>
    <w:p>
      <w:pPr>
        <w:pStyle w:val="Compact"/>
        <w:numPr>
          <w:ilvl w:val="0"/>
          <w:numId w:val="1024"/>
        </w:numPr>
      </w:pPr>
      <w:r>
        <w:t xml:space="preserve">Age stratification and/or stratified analyses where appropriate</w:t>
      </w:r>
    </w:p>
    <w:p>
      <w:pPr>
        <w:pStyle w:val="Compact"/>
        <w:numPr>
          <w:ilvl w:val="0"/>
          <w:numId w:val="1024"/>
        </w:numPr>
      </w:pPr>
      <w:r>
        <w:t xml:space="preserve">Baseline shape choice (default constant baseline over the fit window; alternatives can be assessed as sensitivity)</w:t>
      </w:r>
    </w:p>
    <w:p>
      <w:pPr>
        <w:pStyle w:val="FirstParagraph"/>
      </w:pPr>
      <w:r>
        <w:t xml:space="preserve">Figure 8 summarizes KCOR stability across the parameter grid.</w:t>
      </w:r>
    </w:p>
    <w:bookmarkStart w:id="114"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12" name="Picture"/>
            <a:graphic>
              <a:graphicData uri="http://schemas.openxmlformats.org/drawingml/2006/picture">
                <pic:pic>
                  <pic:nvPicPr>
                    <pic:cNvPr descr="figures/fig_sensitivity_overview.png" id="113" name="Picture"/>
                    <pic:cNvPicPr>
                      <a:picLocks noChangeArrowheads="1" noChangeAspect="1"/>
                    </pic:cNvPicPr>
                  </pic:nvPicPr>
                  <pic:blipFill>
                    <a:blip r:embed="rId111"/>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14"/>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15"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5"/>
        </w:numPr>
      </w:pPr>
      <w:r>
        <w:rPr>
          <w:b/>
          <w:bCs/>
        </w:rPr>
        <w:t xml:space="preserve">Gamma</w:t>
      </w:r>
      <w:r>
        <w:t xml:space="preserve"> </w:t>
      </w:r>
      <w:r>
        <w:t xml:space="preserve">(baseline reference)</w:t>
      </w:r>
    </w:p>
    <w:p>
      <w:pPr>
        <w:pStyle w:val="Compact"/>
        <w:numPr>
          <w:ilvl w:val="0"/>
          <w:numId w:val="1025"/>
        </w:numPr>
      </w:pPr>
      <w:r>
        <w:rPr>
          <w:b/>
          <w:bCs/>
        </w:rPr>
        <w:t xml:space="preserve">Lognormal</w:t>
      </w:r>
      <w:r>
        <w:t xml:space="preserve"> </w:t>
      </w:r>
      <w:r>
        <w:t xml:space="preserve">frailty</w:t>
      </w:r>
    </w:p>
    <w:p>
      <w:pPr>
        <w:pStyle w:val="Compact"/>
        <w:numPr>
          <w:ilvl w:val="0"/>
          <w:numId w:val="1025"/>
        </w:numPr>
      </w:pPr>
      <w:r>
        <w:rPr>
          <w:b/>
          <w:bCs/>
        </w:rPr>
        <w:t xml:space="preserve">Two-point mixture</w:t>
      </w:r>
      <w:r>
        <w:t xml:space="preserve"> </w:t>
      </w:r>
      <w:r>
        <w:t xml:space="preserve">(discrete frailty)</w:t>
      </w:r>
    </w:p>
    <w:p>
      <w:pPr>
        <w:pStyle w:val="Compact"/>
        <w:numPr>
          <w:ilvl w:val="0"/>
          <w:numId w:val="1025"/>
        </w:numPr>
      </w:pPr>
      <w:r>
        <w:rPr>
          <w:b/>
          <w:bCs/>
        </w:rPr>
        <w:t xml:space="preserve">Bimodal</w:t>
      </w:r>
      <w:r>
        <w:t xml:space="preserve"> </w:t>
      </w:r>
      <w:r>
        <w:t xml:space="preserve">frailty distributions</w:t>
      </w:r>
    </w:p>
    <w:p>
      <w:pPr>
        <w:pStyle w:val="Compact"/>
        <w:numPr>
          <w:ilvl w:val="0"/>
          <w:numId w:val="1025"/>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fails gracefully by attenuating toward unity or by failing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15"/>
    <w:bookmarkEnd w:id="116"/>
    <w:bookmarkStart w:id="139"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See Figures 9 and 10 below.</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0"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18" name="Picture"/>
            <a:graphic>
              <a:graphicData uri="http://schemas.openxmlformats.org/drawingml/2006/picture">
                <pic:pic>
                  <pic:nvPicPr>
                    <pic:cNvPr descr="figures/fig_sim_grid_overview.png" id="119" name="Picture"/>
                    <pic:cNvPicPr>
                      <a:picLocks noChangeArrowheads="1" noChangeAspect="1"/>
                    </pic:cNvPicPr>
                  </pic:nvPicPr>
                  <pic:blipFill>
                    <a:blip r:embed="rId117"/>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20"/>
    <w:bookmarkStart w:id="124"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22" name="Picture"/>
            <a:graphic>
              <a:graphicData uri="http://schemas.openxmlformats.org/drawingml/2006/picture">
                <pic:pic>
                  <pic:nvPicPr>
                    <pic:cNvPr descr="figures/fig_sim_grid_diagnostics.png" id="123" name="Picture"/>
                    <pic:cNvPicPr>
                      <a:picLocks noChangeArrowheads="1" noChangeAspect="1"/>
                    </pic:cNvPicPr>
                  </pic:nvPicPr>
                  <pic:blipFill>
                    <a:blip r:embed="rId121"/>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24"/>
    <w:bookmarkStart w:id="128"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26" name="Picture"/>
            <a:graphic>
              <a:graphicData uri="http://schemas.openxmlformats.org/drawingml/2006/picture">
                <pic:pic>
                  <pic:nvPicPr>
                    <pic:cNvPr descr="figures/fig_s7_overview.png" id="127" name="Picture"/>
                    <pic:cNvPicPr>
                      <a:picLocks noChangeArrowheads="1" noChangeAspect="1"/>
                    </pic:cNvPicPr>
                  </pic:nvPicPr>
                  <pic:blipFill>
                    <a:blip r:embed="rId125"/>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28"/>
    <w:bookmarkStart w:id="132"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30" name="Picture"/>
            <a:graphic>
              <a:graphicData uri="http://schemas.openxmlformats.org/drawingml/2006/picture">
                <pic:pic>
                  <pic:nvPicPr>
                    <pic:cNvPr descr="figures/fig_s7_diagnostics.png" id="131" name="Picture"/>
                    <pic:cNvPicPr>
                      <a:picLocks noChangeArrowheads="1" noChangeAspect="1"/>
                    </pic:cNvPicPr>
                  </pic:nvPicPr>
                  <pic:blipFill>
                    <a:blip r:embed="rId129"/>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32"/>
    <w:bookmarkStart w:id="136"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34" name="Picture"/>
            <a:graphic>
              <a:graphicData uri="http://schemas.openxmlformats.org/drawingml/2006/picture">
                <pic:pic>
                  <pic:nvPicPr>
                    <pic:cNvPr descr="figures/fig_skip_weeks_sensitivity.png" id="135" name="Picture"/>
                    <pic:cNvPicPr>
                      <a:picLocks noChangeArrowheads="1" noChangeAspect="1"/>
                    </pic:cNvPicPr>
                  </pic:nvPicPr>
                  <pic:blipFill>
                    <a:blip r:embed="rId133"/>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6"/>
    <w:p>
      <w:pPr>
        <w:pStyle w:val="BodyText"/>
      </w:pPr>
      <w:r>
        <w:rPr>
          <w:b/>
          <w:bCs/>
        </w:rPr>
        <w:t xml:space="preserve">Comparison with alternative estimands.</w:t>
      </w:r>
      <w:r>
        <w:br/>
      </w:r>
      <w:r>
        <w:t xml:space="preserve">Table 9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9,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9).</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9). Across selection-only scenarios, KCOR was the only estimand whose median deviation from the null remained approximately zero across the full frailty grid, whereas RMST and time-varying Cox produced systematic non-null contrasts that increased with frailty strength (Table 9).</w:t>
      </w:r>
    </w:p>
    <w:bookmarkStart w:id="137" w:name="tbl:comparison_estimands"/>
    <w:p>
      <w:pPr>
        <w:pStyle w:val="TableCaption"/>
      </w:pPr>
      <w:r>
        <w:t xml:space="preserve">Table 9.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9.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 (time-varying)</w:t>
            </w:r>
            <w:r>
              <w:t xml:space="preserve"> </w:t>
            </w:r>
            <w:r>
              <w:t xml:space="preserve">(diagnostic comparator)</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37"/>
    <w:p/>
    <w:bookmarkStart w:id="138" w:name="tbl:bootstrap_coverage"/>
    <w:p>
      <w:pPr>
        <w:pStyle w:val="TableCaption"/>
      </w:pPr>
      <w:r>
        <w:t xml:space="preserve">Table 10.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0.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[coverage value]</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[coverage value]</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[coverage value]</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[coverage value]</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[coverage value]</w:t>
            </w:r>
          </w:p>
        </w:tc>
        <w:tc>
          <w:tcPr/>
          <w:p>
            <w:pPr>
              <w:pStyle w:val="Compact"/>
            </w:pPr>
            <w:r>
              <w:t xml:space="preserve">Coverage under reduced event counts</w:t>
            </w:r>
          </w:p>
        </w:tc>
      </w:tr>
    </w:tbl>
    <w:bookmarkEnd w:id="138"/>
    <w:bookmarkEnd w:id="139"/>
    <w:bookmarkStart w:id="140"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40"/>
    <w:bookmarkStart w:id="141"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An applied illustration using Czech national records is provided in the Supplement to demonstrate end-to-end use of KCOR on administrative data; the primary validation in the main text is based on synthetic and empirical control experiments designed to probe failure modes.</w:t>
      </w:r>
    </w:p>
    <w:bookmarkEnd w:id="141"/>
    <w:bookmarkEnd w:id="142"/>
    <w:bookmarkStart w:id="148" w:name="discussion"/>
    <w:p>
      <w:pPr>
        <w:pStyle w:val="Heading2"/>
      </w:pPr>
      <w:r>
        <w:t xml:space="preserve">4. Discussion</w:t>
      </w:r>
    </w:p>
    <w:p>
      <w:pPr>
        <w:pStyle w:val="FirstParagraph"/>
      </w:pPr>
      <w:r>
        <w:t xml:space="preserve">In this discussion, KCOR is understood as a normalization-and-comparison framework designed to remove selection-induced depletion curvature in cumulative-hazard space and then report a cumulative cohort contrast (KCOR). It does not claim to identify a treatment-specific causal effect under arbitrary baseline and time-varying confounding, and it should be interpreted in conjunction with prespecified controls, diagnostics, and sensitivity analyses.</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43"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43"/>
    <w:bookmarkStart w:id="144"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6"/>
        </w:numPr>
      </w:pPr>
      <w:r>
        <w:t xml:space="preserve">selection-induced depletion dynamics can be estimated during quiet periods using a gamma-frailty mixture model, and</w:t>
      </w:r>
    </w:p>
    <w:p>
      <w:pPr>
        <w:pStyle w:val="Compact"/>
        <w:numPr>
          <w:ilvl w:val="0"/>
          <w:numId w:val="1026"/>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44"/>
    <w:bookmarkStart w:id="14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45"/>
    <w:bookmarkStart w:id="14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7"/>
        </w:numPr>
      </w:pPr>
      <w:r>
        <w:t xml:space="preserve">Enrollment definition and justification</w:t>
      </w:r>
    </w:p>
    <w:p>
      <w:pPr>
        <w:pStyle w:val="Compact"/>
        <w:numPr>
          <w:ilvl w:val="0"/>
          <w:numId w:val="1027"/>
        </w:numPr>
      </w:pPr>
      <w:r>
        <w:t xml:space="preserve">Risk set definitions and event-time binning</w:t>
      </w:r>
    </w:p>
    <w:p>
      <w:pPr>
        <w:pStyle w:val="Compact"/>
        <w:numPr>
          <w:ilvl w:val="0"/>
          <w:numId w:val="1027"/>
        </w:numPr>
      </w:pPr>
      <w:r>
        <w:t xml:space="preserve">Quiet-window definition and justification</w:t>
      </w:r>
    </w:p>
    <w:p>
      <w:pPr>
        <w:pStyle w:val="Compact"/>
        <w:numPr>
          <w:ilvl w:val="0"/>
          <w:numId w:val="1027"/>
        </w:numPr>
      </w:pPr>
      <w:r>
        <w:t xml:space="preserve">Baseline-shape choice (default constant baseline over the fit window) and fit diagnostics</w:t>
      </w:r>
    </w:p>
    <w:p>
      <w:pPr>
        <w:pStyle w:val="Compact"/>
        <w:numPr>
          <w:ilvl w:val="0"/>
          <w:numId w:val="1027"/>
        </w:numPr>
      </w:pPr>
      <w:r>
        <w:t xml:space="preserve">Skip/stabilization rule and robustness to nearby values</w:t>
      </w:r>
    </w:p>
    <w:p>
      <w:pPr>
        <w:pStyle w:val="Compact"/>
        <w:numPr>
          <w:ilvl w:val="0"/>
          <w:numId w:val="1027"/>
        </w:numPr>
      </w:pPr>
      <w:r>
        <w:t xml:space="preserve">Predefined negative/positive controls used for validation</w:t>
      </w:r>
    </w:p>
    <w:p>
      <w:pPr>
        <w:pStyle w:val="Compact"/>
        <w:numPr>
          <w:ilvl w:val="0"/>
          <w:numId w:val="1027"/>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6"/>
    <w:bookmarkStart w:id="147"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7"/>
    <w:bookmarkEnd w:id="148"/>
    <w:bookmarkStart w:id="152" w:name="limitations"/>
    <w:p>
      <w:pPr>
        <w:pStyle w:val="Heading2"/>
      </w:pPr>
      <w:r>
        <w:t xml:space="preserve">5. Limitations</w:t>
      </w:r>
    </w:p>
    <w:p>
      <w:pPr>
        <w:pStyle w:val="Compact"/>
        <w:numPr>
          <w:ilvl w:val="0"/>
          <w:numId w:val="1028"/>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8"/>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8"/>
        </w:numPr>
      </w:pPr>
      <w:r>
        <w:rPr>
          <w:b/>
          <w:bCs/>
        </w:rPr>
        <w:t xml:space="preserve">θ estimation is data-driven</w:t>
      </w:r>
      <w:r>
        <w:t xml:space="preserve">: KCOR does not impose θ = 0 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8"/>
        </w:numPr>
      </w:pPr>
      <w:r>
        <w:rPr>
          <w:b/>
          <w:bCs/>
        </w:rPr>
        <w:t xml:space="preserve">Sparse events</w:t>
      </w:r>
      <w:r>
        <w:t xml:space="preserve">: When event counts are small, hazard estimation and parameter fitting can be unstable.</w:t>
      </w:r>
    </w:p>
    <w:p>
      <w:pPr>
        <w:pStyle w:val="Compact"/>
        <w:numPr>
          <w:ilvl w:val="0"/>
          <w:numId w:val="1028"/>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8"/>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8"/>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9"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9"/>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29"/>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9"/>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29"/>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0"/>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0"/>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0"/>
        </w:numPr>
      </w:pPr>
      <w:r>
        <w:rPr>
          <w:b/>
          <w:bCs/>
        </w:rPr>
        <w:t xml:space="preserve">Sensitivity analyses</w:t>
      </w:r>
      <w:r>
        <w:t xml:space="preserve"> </w:t>
      </w:r>
      <w:r>
        <w:t xml:space="preserve">over plausible quiet windows and skip-weeks values.</w:t>
      </w:r>
    </w:p>
    <w:p>
      <w:pPr>
        <w:pStyle w:val="Compact"/>
        <w:numPr>
          <w:ilvl w:val="0"/>
          <w:numId w:val="1030"/>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9"/>
    <w:bookmarkStart w:id="150"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50"/>
    <w:bookmarkStart w:id="151"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51"/>
    <w:bookmarkEnd w:id="152"/>
    <w:bookmarkStart w:id="153"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53"/>
    <w:bookmarkStart w:id="164" w:name="declarations"/>
    <w:p>
      <w:pPr>
        <w:pStyle w:val="Heading2"/>
      </w:pPr>
      <w:r>
        <w:t xml:space="preserve">Declarations</w:t>
      </w:r>
    </w:p>
    <w:bookmarkStart w:id="154"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54"/>
    <w:bookmarkStart w:id="155" w:name="consent-for-publication"/>
    <w:p>
      <w:pPr>
        <w:pStyle w:val="Heading3"/>
      </w:pPr>
      <w:r>
        <w:t xml:space="preserve">Consent for publication</w:t>
      </w:r>
    </w:p>
    <w:p>
      <w:pPr>
        <w:pStyle w:val="FirstParagraph"/>
      </w:pPr>
      <w:r>
        <w:t xml:space="preserve">Not applicable.</w:t>
      </w:r>
    </w:p>
    <w:bookmarkEnd w:id="155"/>
    <w:bookmarkStart w:id="156"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1"/>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1"/>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1"/>
        </w:numPr>
      </w:pPr>
      <w:r>
        <w:t xml:space="preserve">The reference implementation includes example datasets in KCOR_CMR format for reproducibility.</w:t>
      </w:r>
    </w:p>
    <w:p>
      <w:pPr>
        <w:pStyle w:val="Compact"/>
        <w:numPr>
          <w:ilvl w:val="0"/>
          <w:numId w:val="1031"/>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6"/>
    <w:bookmarkStart w:id="159" w:name="code-availability"/>
    <w:p>
      <w:pPr>
        <w:pStyle w:val="Heading3"/>
      </w:pPr>
      <w:r>
        <w:t xml:space="preserve">Code availability</w:t>
      </w:r>
    </w:p>
    <w:p>
      <w:pPr>
        <w:pStyle w:val="Compact"/>
        <w:numPr>
          <w:ilvl w:val="0"/>
          <w:numId w:val="1032"/>
        </w:numPr>
      </w:pPr>
      <w:r>
        <w:t xml:space="preserve">The KCOR reference implementation and complete validation suite are available in the project repository.</w:t>
      </w:r>
    </w:p>
    <w:p>
      <w:pPr>
        <w:pStyle w:val="Compact"/>
        <w:numPr>
          <w:ilvl w:val="0"/>
          <w:numId w:val="1032"/>
        </w:numPr>
      </w:pPr>
      <w:r>
        <w:t xml:space="preserve">Repository URL:</w:t>
      </w:r>
      <w:r>
        <w:t xml:space="preserve"> </w:t>
      </w:r>
      <w:hyperlink r:id="rId157">
        <w:r>
          <w:rPr>
            <w:rStyle w:val="Hyperlink"/>
          </w:rPr>
          <w:t xml:space="preserve">https://github.com/skirsch/KCOR</w:t>
        </w:r>
      </w:hyperlink>
    </w:p>
    <w:p>
      <w:pPr>
        <w:pStyle w:val="Compact"/>
        <w:numPr>
          <w:ilvl w:val="0"/>
          <w:numId w:val="1032"/>
        </w:numPr>
      </w:pPr>
      <w:r>
        <w:t xml:space="preserve">Zenodo DOI:</w:t>
      </w:r>
      <w:r>
        <w:t xml:space="preserve"> </w:t>
      </w:r>
      <w:hyperlink r:id="rId158">
        <w:r>
          <w:rPr>
            <w:rStyle w:val="Hyperlink"/>
          </w:rPr>
          <w:t xml:space="preserve">10.5281/zenodo.18050329</w:t>
        </w:r>
      </w:hyperlink>
    </w:p>
    <w:p>
      <w:pPr>
        <w:pStyle w:val="Compact"/>
        <w:numPr>
          <w:ilvl w:val="0"/>
          <w:numId w:val="1032"/>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59"/>
    <w:bookmarkStart w:id="160" w:name="competing-interests"/>
    <w:p>
      <w:pPr>
        <w:pStyle w:val="Heading3"/>
      </w:pPr>
      <w:r>
        <w:t xml:space="preserve">Competing interests</w:t>
      </w:r>
    </w:p>
    <w:p>
      <w:pPr>
        <w:pStyle w:val="FirstParagraph"/>
      </w:pPr>
      <w:r>
        <w:t xml:space="preserve">The author is a board member of the Vaccine Safety Research Foundation.</w:t>
      </w:r>
    </w:p>
    <w:bookmarkEnd w:id="160"/>
    <w:bookmarkStart w:id="161" w:name="funding"/>
    <w:p>
      <w:pPr>
        <w:pStyle w:val="Heading3"/>
      </w:pPr>
      <w:r>
        <w:t xml:space="preserve">Funding</w:t>
      </w:r>
    </w:p>
    <w:p>
      <w:pPr>
        <w:pStyle w:val="FirstParagraph"/>
      </w:pPr>
      <w:r>
        <w:t xml:space="preserve">This research received no external funding.</w:t>
      </w:r>
    </w:p>
    <w:bookmarkEnd w:id="161"/>
    <w:bookmarkStart w:id="162"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62"/>
    <w:bookmarkStart w:id="163" w:name="acknowledgements"/>
    <w:p>
      <w:pPr>
        <w:pStyle w:val="Heading3"/>
      </w:pPr>
      <w:r>
        <w:t xml:space="preserve">Acknowledgements</w:t>
      </w:r>
    </w:p>
    <w:p>
      <w:pPr>
        <w:pStyle w:val="FirstParagraph"/>
      </w:pPr>
      <w:r>
        <w:t xml:space="preserve">The author thanks James Lyons-Weiler and Dr. Clare Craig for helpful discussions and methodological feedback during the development of this work. All errors remain the author’s responsibility.</w:t>
      </w:r>
    </w:p>
    <w:bookmarkEnd w:id="163"/>
    <w:bookmarkEnd w:id="164"/>
    <w:bookmarkStart w:id="189" w:name="references"/>
    <w:p>
      <w:pPr>
        <w:pStyle w:val="Heading2"/>
      </w:pPr>
      <w:r>
        <w:t xml:space="preserve">References</w:t>
      </w:r>
    </w:p>
    <w:bookmarkStart w:id="188" w:name="refs"/>
    <w:bookmarkStart w:id="166"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5">
        <w:r>
          <w:rPr>
            <w:rStyle w:val="Hyperlink"/>
          </w:rPr>
          <w:t xml:space="preserve">10.2307/2061224</w:t>
        </w:r>
      </w:hyperlink>
    </w:p>
    <w:bookmarkEnd w:id="166"/>
    <w:bookmarkStart w:id="168"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7">
        <w:r>
          <w:rPr>
            <w:rStyle w:val="Hyperlink"/>
          </w:rPr>
          <w:t xml:space="preserve">10.2147/CLEP.S468572</w:t>
        </w:r>
      </w:hyperlink>
    </w:p>
    <w:bookmarkEnd w:id="168"/>
    <w:bookmarkStart w:id="170"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9">
        <w:r>
          <w:rPr>
            <w:rStyle w:val="Hyperlink"/>
          </w:rPr>
          <w:t xml:space="preserve">10.7554/eLife.103690</w:t>
        </w:r>
      </w:hyperlink>
    </w:p>
    <w:bookmarkEnd w:id="170"/>
    <w:bookmarkStart w:id="172"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71">
        <w:r>
          <w:rPr>
            <w:rStyle w:val="Hyperlink"/>
          </w:rPr>
          <w:t xml:space="preserve">10.1093/biomet/81.3.515</w:t>
        </w:r>
      </w:hyperlink>
    </w:p>
    <w:bookmarkEnd w:id="172"/>
    <w:bookmarkStart w:id="174"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73">
        <w:r>
          <w:rPr>
            <w:rStyle w:val="Hyperlink"/>
          </w:rPr>
          <w:t xml:space="preserve">10.1214/aos/1176345976</w:t>
        </w:r>
      </w:hyperlink>
    </w:p>
    <w:bookmarkEnd w:id="174"/>
    <w:bookmarkStart w:id="176"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75">
        <w:r>
          <w:rPr>
            <w:rStyle w:val="Hyperlink"/>
          </w:rPr>
          <w:t xml:space="preserve">10.1002/sim.1203</w:t>
        </w:r>
      </w:hyperlink>
    </w:p>
    <w:bookmarkEnd w:id="176"/>
    <w:bookmarkStart w:id="178"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77">
        <w:r>
          <w:rPr>
            <w:rStyle w:val="Hyperlink"/>
          </w:rPr>
          <w:t xml:space="preserve">10.1002/sim.4780080803</w:t>
        </w:r>
      </w:hyperlink>
    </w:p>
    <w:bookmarkEnd w:id="178"/>
    <w:bookmarkStart w:id="180"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79">
        <w:r>
          <w:rPr>
            <w:rStyle w:val="Hyperlink"/>
          </w:rPr>
          <w:t xml:space="preserve">10.1093/biomet/81.1.61</w:t>
        </w:r>
      </w:hyperlink>
    </w:p>
    <w:bookmarkEnd w:id="180"/>
    <w:bookmarkStart w:id="182"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81">
        <w:r>
          <w:rPr>
            <w:rStyle w:val="Hyperlink"/>
          </w:rPr>
          <w:t xml:space="preserve">10.1111/j.1467-9469.2006.00529.x</w:t>
        </w:r>
      </w:hyperlink>
    </w:p>
    <w:bookmarkEnd w:id="182"/>
    <w:bookmarkStart w:id="184"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83">
        <w:r>
          <w:rPr>
            <w:rStyle w:val="Hyperlink"/>
          </w:rPr>
          <w:t xml:space="preserve">10.1097/00001648-200009000-00011</w:t>
        </w:r>
      </w:hyperlink>
    </w:p>
    <w:bookmarkEnd w:id="184"/>
    <w:bookmarkStart w:id="186"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85">
        <w:r>
          <w:rPr>
            <w:rStyle w:val="Hyperlink"/>
          </w:rPr>
          <w:t xml:space="preserve">10.1093/aje/kwn164</w:t>
        </w:r>
      </w:hyperlink>
    </w:p>
    <w:bookmarkEnd w:id="186"/>
    <w:bookmarkStart w:id="187"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87"/>
    <w:bookmarkEnd w:id="188"/>
    <w:bookmarkEnd w:id="189"/>
    <w:bookmarkStart w:id="247"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95" w:name="appendix-a.-mathematical-derivations"/>
    <w:p>
      <w:pPr>
        <w:pStyle w:val="Heading3"/>
      </w:pPr>
      <w:r>
        <w:t xml:space="preserve">Appendix A. Mathematical derivations</w:t>
      </w:r>
    </w:p>
    <w:bookmarkStart w:id="190"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where individual</w:t>
      </w:r>
      <w:r>
        <w:t xml:space="preserve"> </w:t>
      </w:r>
      <m:oMath>
        <m:r>
          <m:t>i</m:t>
        </m:r>
      </m:oMath>
      <w:r>
        <w:t xml:space="preserve"> </w:t>
      </w:r>
      <w:r>
        <w:t xml:space="preserve">has hazard</w:t>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oMath>
      <w:r>
        <w:t xml:space="preserve">, with frailty</w:t>
      </w:r>
      <w:r>
        <w:t xml:space="preserve"> </w:t>
      </w:r>
      <m:oMath>
        <m:sSub>
          <m:e>
            <m:r>
              <m:t>z</m:t>
            </m:r>
          </m:e>
          <m:sub>
            <m:r>
              <m:t>i</m:t>
            </m:r>
            <m:r>
              <m:rPr>
                <m:sty m:val="p"/>
              </m:rPr>
              <m:t>,</m:t>
            </m:r>
            <m:r>
              <m:t>d</m:t>
            </m:r>
          </m:sub>
        </m:sSub>
      </m:oMath>
      <w:r>
        <w:t xml:space="preserve"> </w:t>
      </w:r>
      <w:r>
        <w:t xml:space="preserve">drawn from a distribution with mean 1 and variance</w:t>
      </w:r>
      <w:r>
        <w:t xml:space="preserve"> </w:t>
      </w:r>
      <m:oMath>
        <m:sSub>
          <m:e>
            <m:r>
              <m:t>θ</m:t>
            </m:r>
          </m:e>
          <m:sub>
            <m:r>
              <m:t>d</m:t>
            </m:r>
          </m:sub>
        </m:sSub>
        <m:r>
          <m:rPr>
            <m:sty m:val="p"/>
          </m:rPr>
          <m:t>&gt;</m:t>
        </m:r>
        <m:r>
          <m:t>0</m:t>
        </m:r>
      </m:oMath>
      <w:r>
        <w:t xml:space="preserve">. Let</w:t>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 xml:space="preserve">be the individual survival function, where</w:t>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b>
            <m:e>
              <m:r>
                <m:t>E</m:t>
              </m:r>
            </m:e>
            <m:sub>
              <m:r>
                <m:t>z</m:t>
              </m:r>
            </m:sub>
          </m:sSub>
          <m:r>
            <m:rPr>
              <m:sty m:val="p"/>
            </m:rPr>
            <m:t>[</m:t>
          </m:r>
          <m:sSub>
            <m:e>
              <m:r>
                <m:t>S</m:t>
              </m:r>
            </m:e>
            <m:sub>
              <m:r>
                <m:t>i</m:t>
              </m:r>
              <m:r>
                <m:rPr>
                  <m:sty m:val="p"/>
                </m:rPr>
                <m:t>,</m:t>
              </m:r>
              <m:r>
                <m:t>d</m:t>
              </m:r>
            </m:sub>
          </m:sSub>
          <m:r>
            <m:rPr>
              <m:sty m:val="p"/>
            </m:rPr>
            <m:t>(</m:t>
          </m:r>
          <m:r>
            <m:t>t</m:t>
          </m:r>
          <m:r>
            <m:rPr>
              <m:sty m:val="p"/>
            </m:rPr>
            <m:t>)</m:t>
          </m:r>
          <m:r>
            <m:rPr>
              <m:sty m:val="p"/>
            </m:rPr>
            <m:t>]</m:t>
          </m:r>
          <m:r>
            <m:rPr>
              <m:sty m:val="p"/>
            </m:rPr>
            <m:t>=</m:t>
          </m:r>
          <m:sSub>
            <m:e>
              <m:r>
                <m:t>E</m:t>
              </m:r>
            </m:e>
            <m:sub>
              <m:r>
                <m:t>z</m:t>
              </m:r>
            </m:sub>
          </m:sSub>
          <m:r>
            <m:t>​</m:t>
          </m:r>
          <m:d>
            <m:dPr>
              <m:begChr m:val="["/>
              <m:sepChr m:val=""/>
              <m:endChr m:val="]"/>
              <m:grow/>
            </m:dPr>
            <m:e>
              <m:r>
                <m:rPr>
                  <m:sty m:val="p"/>
                </m:rPr>
                <m:t>exp</m:t>
              </m:r>
              <m:r>
                <m:t>​</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r>
            <m:t>​</m:t>
          </m:r>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rPr>
              <m:sty m:val="p"/>
            </m:rPr>
            <m:t>−</m:t>
          </m:r>
          <m:f>
            <m:fPr>
              <m:type m:val="bar"/>
            </m:fPr>
            <m:num>
              <m:r>
                <m:t>d</m:t>
              </m:r>
            </m:num>
            <m:den>
              <m:r>
                <m:t>d</m:t>
              </m:r>
              <m:r>
                <m:t>t</m:t>
              </m:r>
            </m:den>
          </m:f>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90"/>
    <w:bookmarkStart w:id="191"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(6) in the main text).</w:t>
      </w:r>
    </w:p>
    <w:bookmarkEnd w:id="191"/>
    <w:bookmarkStart w:id="192"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92"/>
    <w:bookmarkStart w:id="193"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93"/>
    <w:bookmarkStart w:id="194"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94"/>
    <w:bookmarkEnd w:id="195"/>
    <w:bookmarkStart w:id="208" w:name="appendix-b.-control-test-specifications"/>
    <w:p>
      <w:pPr>
        <w:pStyle w:val="Heading3"/>
      </w:pPr>
      <w:r>
        <w:t xml:space="preserve">Appendix B. Control-test specifications</w:t>
      </w:r>
    </w:p>
    <w:bookmarkStart w:id="196" w:name="X2180becb792c7366d1a2d9abe674c7e8eb8a3b6"/>
    <w:p>
      <w:pPr>
        <w:pStyle w:val="Heading4"/>
      </w:pPr>
      <w:r>
        <w:t xml:space="preserve">B.1 Negative control: synthetic gamma-frailty null</w:t>
      </w:r>
    </w:p>
    <w:p>
      <w:pPr>
        <w:pStyle w:val="FirstParagraph"/>
      </w:pPr>
      <w:r>
        <w:t xml:space="preserve">The synthetic negative control (Figure 4) is generated using:</w:t>
      </w:r>
    </w:p>
    <w:p>
      <w:pPr>
        <w:pStyle w:val="Compact"/>
        <w:numPr>
          <w:ilvl w:val="0"/>
          <w:numId w:val="1033"/>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3"/>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3"/>
        </w:numPr>
      </w:pPr>
      <w:r>
        <w:rPr>
          <w:b/>
          <w:bCs/>
        </w:rPr>
        <w:t xml:space="preserve">Cohort A weights</w:t>
      </w:r>
      <w:r>
        <w:t xml:space="preserve">: Equal weights across 5 frailty groups (0.2 each)</w:t>
      </w:r>
    </w:p>
    <w:p>
      <w:pPr>
        <w:pStyle w:val="Compact"/>
        <w:numPr>
          <w:ilvl w:val="0"/>
          <w:numId w:val="1033"/>
        </w:numPr>
      </w:pPr>
      <w:r>
        <w:rPr>
          <w:b/>
          <w:bCs/>
        </w:rPr>
        <w:t xml:space="preserve">Cohort B weights</w:t>
      </w:r>
      <w:r>
        <w:t xml:space="preserve">: Shifted weights [0.30, 0.20, 0.20, 0.20, 0.10]</w:t>
      </w:r>
    </w:p>
    <w:p>
      <w:pPr>
        <w:pStyle w:val="Compact"/>
        <w:numPr>
          <w:ilvl w:val="0"/>
          <w:numId w:val="1033"/>
        </w:numPr>
      </w:pPr>
      <w:r>
        <w:rPr>
          <w:b/>
          <w:bCs/>
        </w:rPr>
        <w:t xml:space="preserve">Frailty values</w:t>
      </w:r>
      <w:r>
        <w:t xml:space="preserve">: [1, 2, 4, 6, 10] (relative frailty multipliers)</w:t>
      </w:r>
    </w:p>
    <w:p>
      <w:pPr>
        <w:pStyle w:val="Compact"/>
        <w:numPr>
          <w:ilvl w:val="0"/>
          <w:numId w:val="1033"/>
        </w:numPr>
      </w:pPr>
      <w:r>
        <w:rPr>
          <w:b/>
          <w:bCs/>
        </w:rPr>
        <w:t xml:space="preserve">Base weekly probability</w:t>
      </w:r>
      <w:r>
        <w:t xml:space="preserve">: 0.01</w:t>
      </w:r>
    </w:p>
    <w:p>
      <w:pPr>
        <w:pStyle w:val="Compact"/>
        <w:numPr>
          <w:ilvl w:val="0"/>
          <w:numId w:val="1033"/>
        </w:numPr>
      </w:pPr>
      <w:r>
        <w:rPr>
          <w:b/>
          <w:bCs/>
        </w:rPr>
        <w:t xml:space="preserve">Weekly log-slope</w:t>
      </w:r>
      <w:r>
        <w:t xml:space="preserve">: 0.0 (constant baseline during quiet periods)</w:t>
      </w:r>
    </w:p>
    <w:p>
      <w:pPr>
        <w:pStyle w:val="Compact"/>
        <w:numPr>
          <w:ilvl w:val="0"/>
          <w:numId w:val="1033"/>
        </w:numPr>
      </w:pPr>
      <w:r>
        <w:rPr>
          <w:b/>
          <w:bCs/>
        </w:rPr>
        <w:t xml:space="preserve">Skip weeks</w:t>
      </w:r>
      <w:r>
        <w:t xml:space="preserve">: 2</w:t>
      </w:r>
    </w:p>
    <w:p>
      <w:pPr>
        <w:pStyle w:val="Compact"/>
        <w:numPr>
          <w:ilvl w:val="0"/>
          <w:numId w:val="1033"/>
        </w:numPr>
      </w:pPr>
      <w:r>
        <w:rPr>
          <w:b/>
          <w:bCs/>
        </w:rPr>
        <w:t xml:space="preserve">Normalization weeks</w:t>
      </w:r>
      <w:r>
        <w:t xml:space="preserve">: 4</w:t>
      </w:r>
    </w:p>
    <w:p>
      <w:pPr>
        <w:pStyle w:val="Compact"/>
        <w:numPr>
          <w:ilvl w:val="0"/>
          <w:numId w:val="1033"/>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96"/>
    <w:bookmarkStart w:id="197" w:name="X6ca5a97e85e9ee460a15280db933ceb5c1ed112"/>
    <w:p>
      <w:pPr>
        <w:pStyle w:val="Heading4"/>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34"/>
        </w:numPr>
      </w:pPr>
      <w:r>
        <w:rPr>
          <w:b/>
          <w:bCs/>
        </w:rPr>
        <w:t xml:space="preserve">Data source</w:t>
      </w:r>
      <w:r>
        <w:t xml:space="preserve">: Czech Republic administrative mortality and vaccination data, aggregated into KCOR_CMR format</w:t>
      </w:r>
    </w:p>
    <w:p>
      <w:pPr>
        <w:pStyle w:val="Compact"/>
        <w:numPr>
          <w:ilvl w:val="0"/>
          <w:numId w:val="1034"/>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4"/>
        </w:numPr>
      </w:pPr>
      <w:r>
        <w:rPr>
          <w:b/>
          <w:bCs/>
        </w:rPr>
        <w:t xml:space="preserve">Construction</w:t>
      </w:r>
      <w:r>
        <w:t xml:space="preserve">: Age strata remapped to pseudo-doses within same vaccination category</w:t>
      </w:r>
    </w:p>
    <w:p>
      <w:pPr>
        <w:pStyle w:val="Compact"/>
        <w:numPr>
          <w:ilvl w:val="0"/>
          <w:numId w:val="1034"/>
        </w:numPr>
      </w:pPr>
      <w:r>
        <w:rPr>
          <w:b/>
          <w:bCs/>
        </w:rPr>
        <w:t xml:space="preserve">Age mapping</w:t>
      </w:r>
      <w:r>
        <w:t xml:space="preserve">:</w:t>
      </w:r>
    </w:p>
    <w:p>
      <w:pPr>
        <w:pStyle w:val="Compact"/>
        <w:numPr>
          <w:ilvl w:val="1"/>
          <w:numId w:val="1035"/>
        </w:numPr>
      </w:pPr>
      <w:r>
        <w:t xml:space="preserve">Dose 0 → YoB {1930, 1935}</w:t>
      </w:r>
    </w:p>
    <w:p>
      <w:pPr>
        <w:pStyle w:val="Compact"/>
        <w:numPr>
          <w:ilvl w:val="1"/>
          <w:numId w:val="1035"/>
        </w:numPr>
      </w:pPr>
      <w:r>
        <w:t xml:space="preserve">Dose 1 → YoB {1940, 1945}</w:t>
      </w:r>
    </w:p>
    <w:p>
      <w:pPr>
        <w:pStyle w:val="Compact"/>
        <w:numPr>
          <w:ilvl w:val="1"/>
          <w:numId w:val="1035"/>
        </w:numPr>
      </w:pPr>
      <w:r>
        <w:t xml:space="preserve">Dose 2 → YoB {1950, 1955}</w:t>
      </w:r>
    </w:p>
    <w:p>
      <w:pPr>
        <w:pStyle w:val="Compact"/>
        <w:numPr>
          <w:ilvl w:val="0"/>
          <w:numId w:val="1034"/>
        </w:numPr>
      </w:pPr>
      <w:r>
        <w:rPr>
          <w:b/>
          <w:bCs/>
        </w:rPr>
        <w:t xml:space="preserve">Output YoB</w:t>
      </w:r>
      <w:r>
        <w:t xml:space="preserve">: Fixed at 1950 (unvax cohort) or 1940 (vax cohort)</w:t>
      </w:r>
    </w:p>
    <w:p>
      <w:pPr>
        <w:pStyle w:val="Compact"/>
        <w:numPr>
          <w:ilvl w:val="0"/>
          <w:numId w:val="1034"/>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97"/>
    <w:bookmarkStart w:id="198" w:name="b.3-positive-control-injected-effect"/>
    <w:p>
      <w:pPr>
        <w:pStyle w:val="Heading4"/>
      </w:pPr>
      <w:r>
        <w:t xml:space="preserve">B.3 Positive control: injected effect</w:t>
      </w:r>
    </w:p>
    <w:p>
      <w:pPr>
        <w:pStyle w:val="FirstParagraph"/>
      </w:pPr>
      <w:r>
        <w:t xml:space="preserve">The positive control (Figure 7 and Table 8) is generated using:</w:t>
      </w:r>
    </w:p>
    <w:p>
      <w:pPr>
        <w:pStyle w:val="Compact"/>
        <w:numPr>
          <w:ilvl w:val="0"/>
          <w:numId w:val="1036"/>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6"/>
        </w:numPr>
      </w:pPr>
      <w:r>
        <w:rPr>
          <w:b/>
          <w:bCs/>
        </w:rPr>
        <w:t xml:space="preserve">Initial cohort size</w:t>
      </w:r>
      <w:r>
        <w:t xml:space="preserve">: 100,000 per cohort</w:t>
      </w:r>
    </w:p>
    <w:p>
      <w:pPr>
        <w:pStyle w:val="Compact"/>
        <w:numPr>
          <w:ilvl w:val="0"/>
          <w:numId w:val="1036"/>
        </w:numPr>
      </w:pPr>
      <w:r>
        <w:rPr>
          <w:b/>
          <w:bCs/>
        </w:rPr>
        <w:t xml:space="preserve">Baseline hazard</w:t>
      </w:r>
      <w:r>
        <w:t xml:space="preserve">: 0.002 per week</w:t>
      </w:r>
    </w:p>
    <w:p>
      <w:pPr>
        <w:pStyle w:val="Compact"/>
        <w:numPr>
          <w:ilvl w:val="0"/>
          <w:numId w:val="1036"/>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6"/>
        </w:numPr>
      </w:pPr>
      <w:r>
        <w:rPr>
          <w:b/>
          <w:bCs/>
        </w:rPr>
        <w:t xml:space="preserve">Effect window</w:t>
      </w:r>
      <w:r>
        <w:t xml:space="preserve">: weeks 20–80</w:t>
      </w:r>
    </w:p>
    <w:p>
      <w:pPr>
        <w:pStyle w:val="Compact"/>
        <w:numPr>
          <w:ilvl w:val="0"/>
          <w:numId w:val="1036"/>
        </w:numPr>
      </w:pPr>
      <w:r>
        <w:rPr>
          <w:b/>
          <w:bCs/>
        </w:rPr>
        <w:t xml:space="preserve">Hazard multipliers</w:t>
      </w:r>
      <w:r>
        <w:t xml:space="preserve">:</w:t>
      </w:r>
    </w:p>
    <w:p>
      <w:pPr>
        <w:pStyle w:val="Compact"/>
        <w:numPr>
          <w:ilvl w:val="1"/>
          <w:numId w:val="1037"/>
        </w:numPr>
      </w:pPr>
      <w:r>
        <w:t xml:space="preserve">Harm scenario:</w:t>
      </w:r>
      <w:r>
        <w:t xml:space="preserve"> </w:t>
      </w:r>
      <m:oMath>
        <m:r>
          <m:t>r</m:t>
        </m:r>
        <m:r>
          <m:rPr>
            <m:sty m:val="p"/>
          </m:rPr>
          <m:t>=</m:t>
        </m:r>
        <m:r>
          <m:t>1.2</m:t>
        </m:r>
      </m:oMath>
    </w:p>
    <w:p>
      <w:pPr>
        <w:pStyle w:val="Compact"/>
        <w:numPr>
          <w:ilvl w:val="1"/>
          <w:numId w:val="1037"/>
        </w:numPr>
      </w:pPr>
      <w:r>
        <w:t xml:space="preserve">Benefit scenario:</w:t>
      </w:r>
      <w:r>
        <w:t xml:space="preserve"> </w:t>
      </w:r>
      <m:oMath>
        <m:r>
          <m:t>r</m:t>
        </m:r>
        <m:r>
          <m:rPr>
            <m:sty m:val="p"/>
          </m:rPr>
          <m:t>=</m:t>
        </m:r>
        <m:r>
          <m:t>0.8</m:t>
        </m:r>
      </m:oMath>
    </w:p>
    <w:p>
      <w:pPr>
        <w:pStyle w:val="Compact"/>
        <w:numPr>
          <w:ilvl w:val="0"/>
          <w:numId w:val="1036"/>
        </w:numPr>
      </w:pPr>
      <w:r>
        <w:rPr>
          <w:b/>
          <w:bCs/>
        </w:rPr>
        <w:t xml:space="preserve">Random seed</w:t>
      </w:r>
      <w:r>
        <w:t xml:space="preserve">: 42</w:t>
      </w:r>
    </w:p>
    <w:p>
      <w:pPr>
        <w:pStyle w:val="Compact"/>
        <w:numPr>
          <w:ilvl w:val="0"/>
          <w:numId w:val="1036"/>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98"/>
    <w:bookmarkStart w:id="199"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38"/>
        </w:numPr>
      </w:pPr>
      <w:r>
        <w:rPr>
          <w:b/>
          <w:bCs/>
        </w:rPr>
        <w:t xml:space="preserve">Baseline weeks</w:t>
      </w:r>
      <w:r>
        <w:t xml:space="preserve">: [2, 3, 4, 5, 6, 7, 8]</w:t>
      </w:r>
    </w:p>
    <w:p>
      <w:pPr>
        <w:pStyle w:val="Compact"/>
        <w:numPr>
          <w:ilvl w:val="0"/>
          <w:numId w:val="1038"/>
        </w:numPr>
      </w:pPr>
      <w:r>
        <w:rPr>
          <w:b/>
          <w:bCs/>
        </w:rPr>
        <w:t xml:space="preserve">Quiet-start offsets</w:t>
      </w:r>
      <w:r>
        <w:t xml:space="preserve">: [-12, -8, -4, 0, +4, +8, +12] weeks from 2022-24</w:t>
      </w:r>
    </w:p>
    <w:p>
      <w:pPr>
        <w:pStyle w:val="Compact"/>
        <w:numPr>
          <w:ilvl w:val="0"/>
          <w:numId w:val="1038"/>
        </w:numPr>
      </w:pPr>
      <w:r>
        <w:rPr>
          <w:b/>
          <w:bCs/>
        </w:rPr>
        <w:t xml:space="preserve">Quiet-window end</w:t>
      </w:r>
      <w:r>
        <w:t xml:space="preserve">: Fixed at 2024-16</w:t>
      </w:r>
    </w:p>
    <w:p>
      <w:pPr>
        <w:pStyle w:val="Compact"/>
        <w:numPr>
          <w:ilvl w:val="0"/>
          <w:numId w:val="1038"/>
        </w:numPr>
      </w:pPr>
      <w:r>
        <w:rPr>
          <w:b/>
          <w:bCs/>
        </w:rPr>
        <w:t xml:space="preserve">Dose pairs</w:t>
      </w:r>
      <w:r>
        <w:t xml:space="preserve">: 1 vs 0, 2 vs 0, 2 vs 1</w:t>
      </w:r>
    </w:p>
    <w:p>
      <w:pPr>
        <w:pStyle w:val="Compact"/>
        <w:numPr>
          <w:ilvl w:val="0"/>
          <w:numId w:val="1038"/>
        </w:numPr>
      </w:pPr>
      <w:r>
        <w:rPr>
          <w:b/>
          <w:bCs/>
        </w:rPr>
        <w:t xml:space="preserve">Cohorts</w:t>
      </w:r>
      <w:r>
        <w:t xml:space="preserve">: 2021_24</w:t>
      </w:r>
    </w:p>
    <w:p>
      <w:pPr>
        <w:pStyle w:val="FirstParagraph"/>
      </w:pPr>
      <w:r>
        <w:t xml:space="preserve">Output grids show KCOR(t) values for each parameter combination.</w:t>
      </w:r>
    </w:p>
    <w:bookmarkEnd w:id="199"/>
    <w:bookmarkStart w:id="200"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9"/>
        </w:numPr>
      </w:pPr>
      <w:r>
        <w:rPr>
          <w:b/>
          <w:bCs/>
        </w:rPr>
        <w:t xml:space="preserve">Mid-sampled cohort</w:t>
      </w:r>
      <w:r>
        <w:t xml:space="preserve">: frailty restricted to central quantiles (e.g., 25th–75th percentile) and renormalized to mean 1.</w:t>
      </w:r>
    </w:p>
    <w:p>
      <w:pPr>
        <w:pStyle w:val="Compact"/>
        <w:numPr>
          <w:ilvl w:val="0"/>
          <w:numId w:val="1039"/>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40"/>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40"/>
        </w:numPr>
      </w:pPr>
      <w:r>
        <w:rPr>
          <w:b/>
          <w:bCs/>
        </w:rPr>
        <w:t xml:space="preserve">Base frailty distribution</w:t>
      </w:r>
      <w:r>
        <w:t xml:space="preserve">: Log-normal with mean 1, variance 0.5</w:t>
      </w:r>
    </w:p>
    <w:p>
      <w:pPr>
        <w:pStyle w:val="Compact"/>
        <w:numPr>
          <w:ilvl w:val="0"/>
          <w:numId w:val="1040"/>
        </w:numPr>
      </w:pPr>
      <w:r>
        <w:rPr>
          <w:b/>
          <w:bCs/>
        </w:rPr>
        <w:t xml:space="preserve">Mid-quantile cohort</w:t>
      </w:r>
      <w:r>
        <w:t xml:space="preserve">: 25th–75th percentile</w:t>
      </w:r>
    </w:p>
    <w:p>
      <w:pPr>
        <w:pStyle w:val="Compact"/>
        <w:numPr>
          <w:ilvl w:val="0"/>
          <w:numId w:val="1040"/>
        </w:numPr>
      </w:pPr>
      <w:r>
        <w:rPr>
          <w:b/>
          <w:bCs/>
        </w:rPr>
        <w:t xml:space="preserve">Tail-mixture cohort</w:t>
      </w:r>
      <w:r>
        <w:t xml:space="preserve">: [0–15th] + [85th–100th] percentiles, equal weights</w:t>
      </w:r>
    </w:p>
    <w:p>
      <w:pPr>
        <w:pStyle w:val="Compact"/>
        <w:numPr>
          <w:ilvl w:val="0"/>
          <w:numId w:val="1040"/>
        </w:numPr>
      </w:pPr>
      <w:r>
        <w:rPr>
          <w:b/>
          <w:bCs/>
        </w:rPr>
        <w:t xml:space="preserve">Baseline hazard</w:t>
      </w:r>
      <w:r>
        <w:t xml:space="preserve">: 0.002 per week (constant)</w:t>
      </w:r>
    </w:p>
    <w:p>
      <w:pPr>
        <w:pStyle w:val="Compact"/>
        <w:numPr>
          <w:ilvl w:val="0"/>
          <w:numId w:val="1040"/>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40"/>
        </w:numPr>
      </w:pPr>
      <w:r>
        <w:rPr>
          <w:b/>
          <w:bCs/>
        </w:rPr>
        <w:t xml:space="preserve">Effect window</w:t>
      </w:r>
      <w:r>
        <w:t xml:space="preserve">: weeks 20–80</w:t>
      </w:r>
    </w:p>
    <w:p>
      <w:pPr>
        <w:pStyle w:val="Compact"/>
        <w:numPr>
          <w:ilvl w:val="0"/>
          <w:numId w:val="1040"/>
        </w:numPr>
      </w:pPr>
      <w:r>
        <w:rPr>
          <w:b/>
          <w:bCs/>
        </w:rPr>
        <w:t xml:space="preserve">Random seed</w:t>
      </w:r>
      <w:r>
        <w:t xml:space="preserve">: 42</w:t>
      </w:r>
    </w:p>
    <w:bookmarkEnd w:id="200"/>
    <w:bookmarkStart w:id="207"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1"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1"/>
    <w:bookmarkStart w:id="202" w:name="frailty-structure"/>
    <w:p>
      <w:pPr>
        <w:pStyle w:val="Heading5"/>
      </w:pPr>
      <w:r>
        <w:t xml:space="preserve">Frailty structure</w:t>
      </w:r>
    </w:p>
    <w:p>
      <w:pPr>
        <w:pStyle w:val="Compact"/>
        <w:numPr>
          <w:ilvl w:val="0"/>
          <w:numId w:val="1041"/>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41"/>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02"/>
    <w:bookmarkStart w:id="203"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2"/>
        </w:numPr>
      </w:pPr>
      <w:r>
        <w:t xml:space="preserve">Step change (constant multiplicative factor),</w:t>
      </w:r>
    </w:p>
    <w:p>
      <w:pPr>
        <w:pStyle w:val="Compact"/>
        <w:numPr>
          <w:ilvl w:val="0"/>
          <w:numId w:val="1042"/>
        </w:numPr>
      </w:pPr>
      <w:r>
        <w:t xml:space="preserve">Linear ramp,</w:t>
      </w:r>
    </w:p>
    <w:p>
      <w:pPr>
        <w:pStyle w:val="Compact"/>
        <w:numPr>
          <w:ilvl w:val="0"/>
          <w:numId w:val="1042"/>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03"/>
    <w:bookmarkStart w:id="204"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04"/>
    <w:bookmarkStart w:id="205"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43"/>
        </w:numPr>
      </w:pPr>
      <w:r>
        <w:t xml:space="preserve">KCOR(t) remains approximately flat and near unity during the quiet window,</w:t>
      </w:r>
    </w:p>
    <w:p>
      <w:pPr>
        <w:pStyle w:val="Compact"/>
        <w:numPr>
          <w:ilvl w:val="0"/>
          <w:numId w:val="1043"/>
        </w:numPr>
      </w:pPr>
      <w:r>
        <w:t xml:space="preserve">KCOR(t) deviates in the correct direction and magnitude during the treatment window,</w:t>
      </w:r>
    </w:p>
    <w:p>
      <w:pPr>
        <w:pStyle w:val="Compact"/>
        <w:numPr>
          <w:ilvl w:val="0"/>
          <w:numId w:val="1043"/>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05"/>
    <w:bookmarkStart w:id="206"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06"/>
    <w:bookmarkEnd w:id="207"/>
    <w:bookmarkEnd w:id="208"/>
    <w:bookmarkStart w:id="226" w:name="X3fb27f9d14d988b0afc4c757bd6d2a45d2ae0b5"/>
    <w:p>
      <w:pPr>
        <w:pStyle w:val="Heading3"/>
      </w:pPr>
      <w:r>
        <w:t xml:space="preserve">Appendix C. Additional figures and diagnostics</w:t>
      </w:r>
    </w:p>
    <w:bookmarkStart w:id="209"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4"/>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4"/>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4"/>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09"/>
    <w:bookmarkStart w:id="210"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45"/>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5"/>
        </w:numPr>
      </w:pPr>
      <w:r>
        <w:rPr>
          <w:b/>
          <w:bCs/>
        </w:rPr>
        <w:t xml:space="preserve">Outliers</w:t>
      </w:r>
      <w:r>
        <w:t xml:space="preserve">: Individual weeks with large residuals may indicate data quality issues or external shocks.</w:t>
      </w:r>
    </w:p>
    <w:p>
      <w:pPr>
        <w:pStyle w:val="Compact"/>
        <w:numPr>
          <w:ilvl w:val="0"/>
          <w:numId w:val="1045"/>
        </w:numPr>
      </w:pPr>
      <w:r>
        <w:rPr>
          <w:b/>
          <w:bCs/>
        </w:rPr>
        <w:t xml:space="preserve">Autocorrelation</w:t>
      </w:r>
      <w:r>
        <w:t xml:space="preserve">: Strong autocorrelation in residuals suggests the model is missing time-varying structure.</w:t>
      </w:r>
    </w:p>
    <w:bookmarkEnd w:id="210"/>
    <w:bookmarkStart w:id="211"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46"/>
        </w:numPr>
      </w:pPr>
      <w:r>
        <w:rPr>
          <w:b/>
          <w:bCs/>
        </w:rPr>
        <w:t xml:space="preserve">Quiet-window perturbation</w:t>
      </w:r>
      <w:r>
        <w:t xml:space="preserve">: Shift the quiet-window start/end by ±4 weeks and re-fit. Stable parameters should vary by &lt; 10%.</w:t>
      </w:r>
    </w:p>
    <w:p>
      <w:pPr>
        <w:pStyle w:val="Compact"/>
        <w:numPr>
          <w:ilvl w:val="0"/>
          <w:numId w:val="1046"/>
        </w:numPr>
      </w:pPr>
      <w:r>
        <w:rPr>
          <w:b/>
          <w:bCs/>
        </w:rPr>
        <w:t xml:space="preserve">Skip-weeks sensitivity</w:t>
      </w:r>
      <w:r>
        <w:t xml:space="preserve">: Vary SKIP_WEEKS from 0 to 8 and verify KCOR(t) trajectories remain qualitatively similar.</w:t>
      </w:r>
    </w:p>
    <w:p>
      <w:pPr>
        <w:pStyle w:val="Compact"/>
        <w:numPr>
          <w:ilvl w:val="0"/>
          <w:numId w:val="1046"/>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211"/>
    <w:bookmarkStart w:id="212"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7"/>
        </w:numPr>
      </w:pPr>
      <w:r>
        <w:t xml:space="preserve">Avoid major epidemic waves or external mortality shocks</w:t>
      </w:r>
    </w:p>
    <w:p>
      <w:pPr>
        <w:pStyle w:val="Compact"/>
        <w:numPr>
          <w:ilvl w:val="0"/>
          <w:numId w:val="1047"/>
        </w:numPr>
      </w:pPr>
      <w:r>
        <w:t xml:space="preserve">Contain sufficient event counts for stable estimation</w:t>
      </w:r>
    </w:p>
    <w:p>
      <w:pPr>
        <w:pStyle w:val="Compact"/>
        <w:numPr>
          <w:ilvl w:val="0"/>
          <w:numId w:val="1047"/>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212"/>
    <w:bookmarkStart w:id="225" w:name="c.5-robustness-to-age-stratification"/>
    <w:p>
      <w:pPr>
        <w:pStyle w:val="Heading4"/>
      </w:pPr>
      <w:r>
        <w:t xml:space="preserve">C.5 Robustness to age stratification</w:t>
      </w:r>
    </w:p>
    <w:bookmarkStart w:id="216" w:name="fig:kcor_realdata_yob1930"/>
    <w:p>
      <w:pPr>
        <w:pStyle w:val="CaptionedFigure"/>
      </w:pPr>
      <w:r>
        <w:drawing>
          <wp:inline>
            <wp:extent cx="5334000" cy="3078759"/>
            <wp:effectExtent b="0" l="0" r="0" t="0"/>
            <wp:docPr descr="Figure 14. Birth-year cohort 193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14" name="Picture"/>
            <a:graphic>
              <a:graphicData uri="http://schemas.openxmlformats.org/drawingml/2006/picture">
                <pic:pic>
                  <pic:nvPicPr>
                    <pic:cNvPr descr="figures/supplement/kcor_realdata_yob1930_enroll2022w26_eval2023.png" id="215" name="Picture"/>
                    <pic:cNvPicPr>
                      <a:picLocks noChangeArrowheads="1" noChangeAspect="1"/>
                    </pic:cNvPicPr>
                  </pic:nvPicPr>
                  <pic:blipFill>
                    <a:blip r:embed="rId213"/>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14. Birth-year cohort 1930: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16"/>
    <w:bookmarkStart w:id="220" w:name="fig:kcor_realdata_yob1940"/>
    <w:p>
      <w:pPr>
        <w:pStyle w:val="CaptionedFigure"/>
      </w:pPr>
      <w:r>
        <w:drawing>
          <wp:inline>
            <wp:extent cx="5334000" cy="3078759"/>
            <wp:effectExtent b="0" l="0" r="0" t="0"/>
            <wp:docPr descr="Figure 15. Birth-year cohort 194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18" name="Picture"/>
            <a:graphic>
              <a:graphicData uri="http://schemas.openxmlformats.org/drawingml/2006/picture">
                <pic:pic>
                  <pic:nvPicPr>
                    <pic:cNvPr descr="figures/supplement/kcor_realdata_yob1940_enroll2022w26_eval2023.png" id="219" name="Picture"/>
                    <pic:cNvPicPr>
                      <a:picLocks noChangeArrowheads="1" noChangeAspect="1"/>
                    </pic:cNvPicPr>
                  </pic:nvPicPr>
                  <pic:blipFill>
                    <a:blip r:embed="rId217"/>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15. Birth-year cohort 1940: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20"/>
    <w:bookmarkStart w:id="224" w:name="fig:kcor_realdata_yob1950"/>
    <w:p>
      <w:pPr>
        <w:pStyle w:val="CaptionedFigure"/>
      </w:pPr>
      <w:r>
        <w:drawing>
          <wp:inline>
            <wp:extent cx="5334000" cy="3078759"/>
            <wp:effectExtent b="0" l="0" r="0" t="0"/>
            <wp:docPr descr="Figure 16. Birth-year cohort 195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22" name="Picture"/>
            <a:graphic>
              <a:graphicData uri="http://schemas.openxmlformats.org/drawingml/2006/picture">
                <pic:pic>
                  <pic:nvPicPr>
                    <pic:cNvPr descr="figures/supplement/kcor_realdata_yob1950_enroll2022w26_eval2023.png" id="223" name="Picture"/>
                    <pic:cNvPicPr>
                      <a:picLocks noChangeArrowheads="1" noChangeAspect="1"/>
                    </pic:cNvPicPr>
                  </pic:nvPicPr>
                  <pic:blipFill>
                    <a:blip r:embed="rId221"/>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16. Birth-year cohort 1950: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24"/>
    <w:bookmarkEnd w:id="225"/>
    <w:bookmarkEnd w:id="226"/>
    <w:bookmarkStart w:id="237" w:name="X71516bca36a67a7b252aa09e83ac6f66b78ee40"/>
    <w:p>
      <w:pPr>
        <w:pStyle w:val="Heading3"/>
      </w:pPr>
      <w:r>
        <w:t xml:space="preserve">Appendix C.1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w:t>
      </w:r>
    </w:p>
    <w:bookmarkStart w:id="227"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227"/>
    <w:bookmarkStart w:id="231"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Start w:id="228" w:name="tbl:frailty_diagnostics"/>
    <w:p>
      <w:pPr>
        <w:pStyle w:val="TableCaption"/>
      </w:pPr>
      <w:r>
        <w:t xml:space="preserve">Table 11.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11.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228"/>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13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bookmarkStart w:id="229" w:name="tbl:czech_diagnostic_gate"/>
    <w:p>
      <w:pPr>
        <w:pStyle w:val="TableCaption"/>
      </w:pPr>
      <w:r>
        <w:t xml:space="preserve">Table 12.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12.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bookmarkEnd w:id="229"/>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 θ 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11 demonstrates selection-induced heterogeneity, unadjusted cumulative outcome contrasts are expected to conflate depletion effects with any true treatment differences; Table 13 therefore reports raw cumulative hazards solely as a pre-normalization diagnostic. KCOR normalization removes the depletion component, enabling interpretable comparison of the remaining differences.</w:t>
      </w:r>
    </w:p>
    <w:bookmarkStart w:id="230" w:name="tbl:raw_cumulative_outcomes"/>
    <w:p>
      <w:pPr>
        <w:pStyle w:val="TableCaption"/>
      </w:pPr>
      <w:r>
        <w:t xml:space="preserve">Table 13.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13.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230"/>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End w:id="231"/>
    <w:bookmarkStart w:id="236"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17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14–16.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descriptively to illustrate estimator behavior; no hypothesis testing is performed.</w:t>
      </w:r>
    </w:p>
    <w:bookmarkStart w:id="235" w:name="fig:kcor_realdata_allages"/>
    <w:p>
      <w:pPr>
        <w:pStyle w:val="CaptionedFigure"/>
      </w:pPr>
      <w:r>
        <w:drawing>
          <wp:inline>
            <wp:extent cx="5334000" cy="3078759"/>
            <wp:effectExtent b="0" l="0" r="0" t="0"/>
            <wp:docPr descr="Figure 17. All-ages stress test: \mathrm{KCOR}(t) trajectories comparing dose 2 and dose 3 to dose 0 for cohorts enrolled in ISO week 2022-26 and evaluated over calendar year 2023. This figure is presented as an illustrative application demonstrating estimator behavior under extreme heterogeneity and does not support causal inference." title="" id="233" name="Picture"/>
            <a:graphic>
              <a:graphicData uri="http://schemas.openxmlformats.org/drawingml/2006/picture">
                <pic:pic>
                  <pic:nvPicPr>
                    <pic:cNvPr descr="figures/kcor_realdata_allages_enroll2022w26_eval2023.png" id="234" name="Picture"/>
                    <pic:cNvPicPr>
                      <a:picLocks noChangeArrowheads="1" noChangeAspect="1"/>
                    </pic:cNvPicPr>
                  </pic:nvPicPr>
                  <pic:blipFill>
                    <a:blip r:embed="rId232"/>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17.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This figure is presented as an illustrative application demonstrating estimator behavior under extreme heterogeneity and does not support causal inference.</w:t>
      </w:r>
    </w:p>
    <w:bookmarkEnd w:id="235"/>
    <w:bookmarkEnd w:id="236"/>
    <w:bookmarkEnd w:id="237"/>
    <w:bookmarkStart w:id="246"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238"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8"/>
        </w:numPr>
      </w:pPr>
      <w:r>
        <w:t xml:space="preserve">Inconsistencies in cohort risk sets (e.g., unexplained increases in at-risk counts).</w:t>
      </w:r>
    </w:p>
    <w:p>
      <w:pPr>
        <w:pStyle w:val="Compact"/>
        <w:numPr>
          <w:ilvl w:val="0"/>
          <w:numId w:val="1048"/>
        </w:numPr>
      </w:pPr>
      <w:r>
        <w:t xml:space="preserve">Early-time hazard suppression or inflation inconsistent with selection or depletion geometry.</w:t>
      </w:r>
    </w:p>
    <w:p>
      <w:pPr>
        <w:pStyle w:val="Compact"/>
        <w:numPr>
          <w:ilvl w:val="0"/>
          <w:numId w:val="1048"/>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238"/>
    <w:bookmarkStart w:id="239"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9"/>
        </w:numPr>
      </w:pPr>
      <w:r>
        <w:t xml:space="preserve">Calendar-time hazard spikes or drops that appear in only one cohort.</w:t>
      </w:r>
    </w:p>
    <w:p>
      <w:pPr>
        <w:pStyle w:val="Compact"/>
        <w:numPr>
          <w:ilvl w:val="0"/>
          <w:numId w:val="1049"/>
        </w:numPr>
      </w:pPr>
      <w:r>
        <w:t xml:space="preserve">Misalignment of major mortality shocks (e.g., epidemic waves) across cohorts.</w:t>
      </w:r>
    </w:p>
    <w:p>
      <w:pPr>
        <w:pStyle w:val="Compact"/>
        <w:numPr>
          <w:ilvl w:val="0"/>
          <w:numId w:val="1049"/>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239"/>
    <w:bookmarkStart w:id="240"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50"/>
        </w:numPr>
      </w:pPr>
      <w:r>
        <w:t xml:space="preserve">Strongly structured residuals in cumulative-hazard space inconsistent with depletion.</w:t>
      </w:r>
    </w:p>
    <w:p>
      <w:pPr>
        <w:pStyle w:val="Compact"/>
        <w:numPr>
          <w:ilvl w:val="0"/>
          <w:numId w:val="1050"/>
        </w:numPr>
      </w:pPr>
      <w:r>
        <w:t xml:space="preserve">Instability of fitted frailty parameters not attributable to window placement.</w:t>
      </w:r>
    </w:p>
    <w:p>
      <w:pPr>
        <w:pStyle w:val="Compact"/>
        <w:numPr>
          <w:ilvl w:val="0"/>
          <w:numId w:val="1050"/>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240"/>
    <w:bookmarkStart w:id="241"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51"/>
        </w:numPr>
      </w:pPr>
      <w:r>
        <w:t xml:space="preserve">Poor fit of the gamma-frailty cumulative-hazard model during the quiet window.</w:t>
      </w:r>
    </w:p>
    <w:p>
      <w:pPr>
        <w:pStyle w:val="Compact"/>
        <w:numPr>
          <w:ilvl w:val="0"/>
          <w:numId w:val="1051"/>
        </w:numPr>
      </w:pPr>
      <w:r>
        <w:t xml:space="preserve">Systematic residual curvature after frailty normalization.</w:t>
      </w:r>
    </w:p>
    <w:p>
      <w:pPr>
        <w:pStyle w:val="Compact"/>
        <w:numPr>
          <w:ilvl w:val="0"/>
          <w:numId w:val="1051"/>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241"/>
    <w:bookmarkStart w:id="242"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2"/>
        </w:numPr>
      </w:pPr>
      <w:r>
        <w:t xml:space="preserve">Failure of KCOR(t) trajectories to stabilize or asymptote following frailty normalization.</w:t>
      </w:r>
    </w:p>
    <w:p>
      <w:pPr>
        <w:pStyle w:val="Compact"/>
        <w:numPr>
          <w:ilvl w:val="0"/>
          <w:numId w:val="1052"/>
        </w:numPr>
      </w:pPr>
      <w:r>
        <w:t xml:space="preserve">Persistent nonzero slope in KCOR(t), indicating residual curvature after normalization.</w:t>
      </w:r>
    </w:p>
    <w:p>
      <w:pPr>
        <w:pStyle w:val="Compact"/>
        <w:numPr>
          <w:ilvl w:val="0"/>
          <w:numId w:val="1052"/>
        </w:numPr>
      </w:pPr>
      <w:r>
        <w:t xml:space="preserve">Instability of fitted frailty parameters (θ) under small perturbations of quiet-window boundaries.</w:t>
      </w:r>
    </w:p>
    <w:p>
      <w:pPr>
        <w:pStyle w:val="Compact"/>
        <w:numPr>
          <w:ilvl w:val="0"/>
          <w:numId w:val="1052"/>
        </w:numPr>
      </w:pPr>
      <w:r>
        <w:t xml:space="preserve">Failure of depletion-neutralized cumulative hazards to become approximately linear during the quiet window.</w:t>
      </w:r>
    </w:p>
    <w:p>
      <w:pPr>
        <w:pStyle w:val="Compact"/>
        <w:numPr>
          <w:ilvl w:val="0"/>
          <w:numId w:val="1052"/>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bookmarkEnd w:id="242"/>
    <w:bookmarkStart w:id="243"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243"/>
    <w:bookmarkStart w:id="244"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244"/>
    <w:bookmarkStart w:id="245"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245"/>
    <w:bookmarkEnd w:id="246"/>
    <w:bookmarkEnd w:id="247"/>
    <w:bookmarkEnd w:id="2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66" Target="media/rId66.png" /><Relationship Type="http://schemas.openxmlformats.org/officeDocument/2006/relationships/image" Id="rId87" Target="media/rId87.png" /><Relationship Type="http://schemas.openxmlformats.org/officeDocument/2006/relationships/image" Id="rId105" Target="media/rId105.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11" Target="media/rId111.png" /><Relationship Type="http://schemas.openxmlformats.org/officeDocument/2006/relationships/image" Id="rId121" Target="media/rId121.png" /><Relationship Type="http://schemas.openxmlformats.org/officeDocument/2006/relationships/image" Id="rId117" Target="media/rId117.png" /><Relationship Type="http://schemas.openxmlformats.org/officeDocument/2006/relationships/image" Id="rId133" Target="media/rId133.png" /><Relationship Type="http://schemas.openxmlformats.org/officeDocument/2006/relationships/image" Id="rId232" Target="media/rId232.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hyperlink" Id="rId175" Target="https://doi.org/10.1002/sim.1203" TargetMode="External" /><Relationship Type="http://schemas.openxmlformats.org/officeDocument/2006/relationships/hyperlink" Id="rId177" Target="https://doi.org/10.1002/sim.4780080803" TargetMode="External" /><Relationship Type="http://schemas.openxmlformats.org/officeDocument/2006/relationships/hyperlink" Id="rId185" Target="https://doi.org/10.1093/aje/kwn164" TargetMode="External" /><Relationship Type="http://schemas.openxmlformats.org/officeDocument/2006/relationships/hyperlink" Id="rId179" Target="https://doi.org/10.1093/biomet/81.1.61" TargetMode="External" /><Relationship Type="http://schemas.openxmlformats.org/officeDocument/2006/relationships/hyperlink" Id="rId171" Target="https://doi.org/10.1093/biomet/81.3.515" TargetMode="External" /><Relationship Type="http://schemas.openxmlformats.org/officeDocument/2006/relationships/hyperlink" Id="rId183" Target="https://doi.org/10.1097/00001648-200009000-00011" TargetMode="External" /><Relationship Type="http://schemas.openxmlformats.org/officeDocument/2006/relationships/hyperlink" Id="rId181" Target="https://doi.org/10.1111/j.1467-9469.2006.00529.x" TargetMode="External" /><Relationship Type="http://schemas.openxmlformats.org/officeDocument/2006/relationships/hyperlink" Id="rId173" Target="https://doi.org/10.1214/aos/1176345976" TargetMode="External" /><Relationship Type="http://schemas.openxmlformats.org/officeDocument/2006/relationships/hyperlink" Id="rId167" Target="https://doi.org/10.2147/CLEP.S468572" TargetMode="External" /><Relationship Type="http://schemas.openxmlformats.org/officeDocument/2006/relationships/hyperlink" Id="rId165" Target="https://doi.org/10.2307/2061224" TargetMode="External" /><Relationship Type="http://schemas.openxmlformats.org/officeDocument/2006/relationships/hyperlink" Id="rId158" Target="https://doi.org/10.5281/zenodo.18050329" TargetMode="External" /><Relationship Type="http://schemas.openxmlformats.org/officeDocument/2006/relationships/hyperlink" Id="rId169" Target="https://doi.org/10.7554/eLife.103690" TargetMode="External" /><Relationship Type="http://schemas.openxmlformats.org/officeDocument/2006/relationships/hyperlink" Id="rId157"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75" Target="https://doi.org/10.1002/sim.1203" TargetMode="External" /><Relationship Type="http://schemas.openxmlformats.org/officeDocument/2006/relationships/hyperlink" Id="rId177" Target="https://doi.org/10.1002/sim.4780080803" TargetMode="External" /><Relationship Type="http://schemas.openxmlformats.org/officeDocument/2006/relationships/hyperlink" Id="rId185" Target="https://doi.org/10.1093/aje/kwn164" TargetMode="External" /><Relationship Type="http://schemas.openxmlformats.org/officeDocument/2006/relationships/hyperlink" Id="rId179" Target="https://doi.org/10.1093/biomet/81.1.61" TargetMode="External" /><Relationship Type="http://schemas.openxmlformats.org/officeDocument/2006/relationships/hyperlink" Id="rId171" Target="https://doi.org/10.1093/biomet/81.3.515" TargetMode="External" /><Relationship Type="http://schemas.openxmlformats.org/officeDocument/2006/relationships/hyperlink" Id="rId183" Target="https://doi.org/10.1097/00001648-200009000-00011" TargetMode="External" /><Relationship Type="http://schemas.openxmlformats.org/officeDocument/2006/relationships/hyperlink" Id="rId181" Target="https://doi.org/10.1111/j.1467-9469.2006.00529.x" TargetMode="External" /><Relationship Type="http://schemas.openxmlformats.org/officeDocument/2006/relationships/hyperlink" Id="rId173" Target="https://doi.org/10.1214/aos/1176345976" TargetMode="External" /><Relationship Type="http://schemas.openxmlformats.org/officeDocument/2006/relationships/hyperlink" Id="rId167" Target="https://doi.org/10.2147/CLEP.S468572" TargetMode="External" /><Relationship Type="http://schemas.openxmlformats.org/officeDocument/2006/relationships/hyperlink" Id="rId165" Target="https://doi.org/10.2307/2061224" TargetMode="External" /><Relationship Type="http://schemas.openxmlformats.org/officeDocument/2006/relationships/hyperlink" Id="rId158" Target="https://doi.org/10.5281/zenodo.18050329" TargetMode="External" /><Relationship Type="http://schemas.openxmlformats.org/officeDocument/2006/relationships/hyperlink" Id="rId169" Target="https://doi.org/10.7554/eLife.103690" TargetMode="External" /><Relationship Type="http://schemas.openxmlformats.org/officeDocument/2006/relationships/hyperlink" Id="rId157"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2026-01-05T00:07:35Z</dcterms:created>
  <dcterms:modified xsi:type="dcterms:W3CDTF">2026-01-05T00:07:35Z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