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3.png" ContentType="image/png"/>
  <Override PartName="/word/media/rId68.png" ContentType="image/png"/>
  <Override PartName="/word/media/rId72.png" ContentType="image/png"/>
  <Override PartName="/word/media/rId63.png" ContentType="image/png"/>
  <Override PartName="/word/media/rId83.png" ContentType="image/png"/>
  <Override PartName="/word/media/rId100.png" ContentType="image/png"/>
  <Override PartName="/word/media/rId123.png" ContentType="image/png"/>
  <Override PartName="/word/media/rId119.png" ContentType="image/png"/>
  <Override PartName="/word/media/rId105.png" ContentType="image/png"/>
  <Override PartName="/word/media/rId115.png" ContentType="image/png"/>
  <Override PartName="/word/media/rId111.png" ContentType="image/png"/>
  <Override PartName="/word/media/rId128.png" ContentType="image/png"/>
  <Override PartName="/word/media/rId230.png" ContentType="image/png"/>
  <Override PartName="/word/media/rId217.png" ContentType="image/png"/>
  <Override PartName="/word/media/rId220.png" ContentType="image/png"/>
  <Override PartName="/word/media/rId2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b558c015cbeea3090c50751492c4ebdb2030436"/>
    <w:p>
      <w:pPr>
        <w:pStyle w:val="Heading1"/>
      </w:pPr>
      <w:r>
        <w:t xml:space="preserve">KCOR: Depletion-Neutralized Cohort Comparison via Gamma-Frailty Normalization</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under selection-induced cohort bias</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Appendices)</w:t>
      </w:r>
    </w:p>
    <w:p>
      <w:pPr>
        <w:pStyle w:val="Compact"/>
        <w:numPr>
          <w:ilvl w:val="0"/>
          <w:numId w:val="1001"/>
        </w:numPr>
      </w:pPr>
      <w:r>
        <w:rPr>
          <w:b/>
          <w:bCs/>
        </w:rPr>
        <w:t xml:space="preserve">Keywords</w:t>
      </w:r>
      <w:r>
        <w:t xml:space="preserve">: selection bias; frailty model; gamma mixture model; frailty inversion; frailty heterogeneity; depletion of susceptibles; non-proportional hazards; cumulative hazard; hazard normalization; cumulative hazards; estimands; gamma frailty; negative controls; observational studies; observational cohort studies</w:t>
      </w:r>
    </w:p>
    <w:bookmarkEnd w:id="9"/>
    <w:bookmarkStart w:id="10" w:name="abstract"/>
    <w:p>
      <w:pPr>
        <w:pStyle w:val="Heading2"/>
      </w:pPr>
      <w:r>
        <w:t xml:space="preserve">Abstract</w:t>
      </w:r>
    </w:p>
    <w:p>
      <w:pPr>
        <w:pStyle w:val="FirstParagraph"/>
      </w:pPr>
      <w:r>
        <w:rPr>
          <w:b/>
          <w:bCs/>
        </w:rPr>
        <w:t xml:space="preserve">Background</w:t>
      </w:r>
      <w:r>
        <w:br/>
      </w:r>
      <w:r>
        <w:t xml:space="preserve">Retrospective cohort analyses frequently involve heterogeneous populations subject to selection-induced depletion under latent frailty. This process produces non-proportional hazards and curvature in observed cumulative hazards that can bias standard survival estimands when applied directly to registry and administrative data.</w:t>
      </w:r>
    </w:p>
    <w:p>
      <w:pPr>
        <w:pStyle w:val="BodyText"/>
      </w:pPr>
      <w:r>
        <w:rPr>
          <w:b/>
          <w:bCs/>
        </w:rPr>
        <w:t xml:space="preserve">Methods</w:t>
      </w:r>
      <w:r>
        <w:br/>
      </w:r>
      <w:r>
        <w:t xml:space="preserve">We introduce KCOR, a depletion-neutralized cohort comparison framework based on gamma-frailty normalization. KCOR estimates cohort-specific depletion geometry during prespecified epidemiologically quiet periods and applies an analytic inversion to map observed cumulative hazards into a common, depletion-neutralized scale prior to comparison. The method requires only minimal event-time information and does not rely on proportional hazards assumptions or rich covariate adjustment.</w:t>
      </w:r>
    </w:p>
    <w:p>
      <w:pPr>
        <w:pStyle w:val="BodyText"/>
      </w:pPr>
      <w:r>
        <w:rPr>
          <w:b/>
          <w:bCs/>
        </w:rPr>
        <w:t xml:space="preserve">Results</w:t>
      </w:r>
      <w:r>
        <w:br/>
      </w:r>
      <w:r>
        <w:t xml:space="preserve">Through extensive simulation studies spanning a wide range of frailty heterogeneity and selection strength, as well as empirical negative and positive controls, we show that commonly used methods—including Cox proportional hazards regression—can exhibit systematic non-null behavior under selection-only regimes. In contrast, KCOR-normalized trajectories remain stable and centered near the null across these settings.</w:t>
      </w:r>
    </w:p>
    <w:p>
      <w:pPr>
        <w:pStyle w:val="BodyText"/>
      </w:pPr>
      <w:r>
        <w:rPr>
          <w:b/>
          <w:bCs/>
        </w:rPr>
        <w:t xml:space="preserve">Conclusions</w:t>
      </w:r>
      <w:r>
        <w:br/>
      </w:r>
      <w:r>
        <w:t xml:space="preserve">KCOR provides a diagnostic and descriptive framework for comparing fixed cohorts under selection-induced hazard curvature. By separating depletion normalization from outcome comparison, the method restores a common comparison scale prior to model fitting and improves the interpretability of cumulative outcome analyses in heterogeneous real-world data.</w:t>
      </w:r>
    </w:p>
    <w:p>
      <w:pPr>
        <w:pStyle w:val="BodyText"/>
      </w:pPr>
      <w:r>
        <w:rPr>
          <w:b/>
          <w:bCs/>
        </w:rPr>
        <w:t xml:space="preserve">Key contributions</w:t>
      </w:r>
    </w:p>
    <w:p>
      <w:pPr>
        <w:pStyle w:val="Compact"/>
        <w:numPr>
          <w:ilvl w:val="0"/>
          <w:numId w:val="1002"/>
        </w:numPr>
      </w:pPr>
      <w:r>
        <w:t xml:space="preserve">Introduces a principled depletion-neutralization mapping for heterogeneous cohorts under latent frailty.</w:t>
      </w:r>
    </w:p>
    <w:p>
      <w:pPr>
        <w:pStyle w:val="Compact"/>
        <w:numPr>
          <w:ilvl w:val="0"/>
          <w:numId w:val="1002"/>
        </w:numPr>
      </w:pPr>
      <w:r>
        <w:t xml:space="preserve">Demonstrates systematic non-null behavior of standard survival methods under selection-only regimes.</w:t>
      </w:r>
    </w:p>
    <w:p>
      <w:pPr>
        <w:pStyle w:val="Compact"/>
        <w:numPr>
          <w:ilvl w:val="0"/>
          <w:numId w:val="1002"/>
        </w:numPr>
      </w:pPr>
      <w:r>
        <w:t xml:space="preserve">Provides a practical diagnostic framework requiring minimal registry data.</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that can bias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3"/>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3"/>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3"/>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3"/>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3"/>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4"/>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4"/>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4"/>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5"/>
        </w:numPr>
      </w:pPr>
      <w:r>
        <w:rPr>
          <w:b/>
          <w:bCs/>
        </w:rPr>
        <w:t xml:space="preserve">Cox PH</w:t>
      </w:r>
      <w:r>
        <w:t xml:space="preserve">: assumes hazards differ by a time-invariant multiplicative factor (proportional hazards).</w:t>
      </w:r>
    </w:p>
    <w:p>
      <w:pPr>
        <w:pStyle w:val="Compact"/>
        <w:numPr>
          <w:ilvl w:val="0"/>
          <w:numId w:val="1005"/>
        </w:numPr>
      </w:pPr>
      <w:r>
        <w:rPr>
          <w:b/>
          <w:bCs/>
        </w:rPr>
        <w:t xml:space="preserve">IPTW / matching</w:t>
      </w:r>
      <w:r>
        <w:t xml:space="preserve">: can balance measured covariates yet fail to balance unmeasured frailty and the resulting depletion dynamics.</w:t>
      </w:r>
    </w:p>
    <w:p>
      <w:pPr>
        <w:pStyle w:val="Compact"/>
        <w:numPr>
          <w:ilvl w:val="0"/>
          <w:numId w:val="1005"/>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6"/>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6"/>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can bias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can bias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7"/>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7"/>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8"/>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9"/>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10"/>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1"/>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3"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2"/>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2"/>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3"/>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3"/>
        </w:numPr>
      </w:pPr>
      <w:r>
        <w:rPr>
          <w:b/>
          <w:bCs/>
        </w:rPr>
        <w:t xml:space="preserve">Map observed cumulative hazards into a depletion-neutralized space</w:t>
      </w:r>
      <w:r>
        <w:t xml:space="preserve"> </w:t>
      </w:r>
      <w:r>
        <w:t xml:space="preserve">by inverting that geometry.</w:t>
      </w:r>
    </w:p>
    <w:p>
      <w:pPr>
        <w:pStyle w:val="Compact"/>
        <w:numPr>
          <w:ilvl w:val="0"/>
          <w:numId w:val="1013"/>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30" w:name="target-estimand"/>
    <w:p>
      <w:pPr>
        <w:pStyle w:val="Heading3"/>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4"/>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4"/>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4"/>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1"/>
    <w:bookmarkStart w:id="32" w:name="assumptions"/>
    <w:p>
      <w:pPr>
        <w:pStyle w:val="Heading3"/>
      </w:pPr>
      <w:r>
        <w:t xml:space="preserve">Assumptions</w:t>
      </w:r>
    </w:p>
    <w:p>
      <w:pPr>
        <w:pStyle w:val="BlockText"/>
      </w:pPr>
      <w:r>
        <w:t xml:space="preserve">The KCOR framework relies on the following assumptions, which are diagnostic rather than causal in nature:</w:t>
      </w:r>
    </w:p>
    <w:p>
      <w:pPr>
        <w:pStyle w:val="BlockText"/>
        <w:numPr>
          <w:ilvl w:val="0"/>
          <w:numId w:val="1015"/>
        </w:numPr>
      </w:pPr>
      <w:r>
        <w:rPr>
          <w:b/>
          <w:bCs/>
        </w:rPr>
        <w:t xml:space="preserve">Fixed cohort enrollment.</w:t>
      </w:r>
      <w:r>
        <w:t xml:space="preserve"> </w:t>
      </w:r>
      <w:r>
        <w:t xml:space="preserve">Cohorts are defined at a common enrollment time and followed forward without dynamic entry or rebalancing.</w:t>
      </w:r>
    </w:p>
    <w:p>
      <w:pPr>
        <w:pStyle w:val="BlockText"/>
        <w:numPr>
          <w:ilvl w:val="0"/>
          <w:numId w:val="1015"/>
        </w:numPr>
      </w:pPr>
      <w:r>
        <w:rPr>
          <w:b/>
          <w:bCs/>
        </w:rPr>
        <w:t xml:space="preserve">Multiplicative latent frailty.</w:t>
      </w:r>
      <w:r>
        <w:t xml:space="preserve"> </w:t>
      </w:r>
      <w:r>
        <w:t xml:space="preserve">Individual hazards are assumed to be multiplicatively composed of a baseline hazard and an unobserved frailty term, with cohort-specific frailty distributions.</w:t>
      </w:r>
    </w:p>
    <w:p>
      <w:pPr>
        <w:pStyle w:val="BlockText"/>
        <w:numPr>
          <w:ilvl w:val="0"/>
          <w:numId w:val="1015"/>
        </w:numPr>
      </w:pPr>
      <w:r>
        <w:rPr>
          <w:b/>
          <w:bCs/>
        </w:rPr>
        <w:t xml:space="preserve">Quiet-window stability.</w:t>
      </w:r>
      <w:r>
        <w:t xml:space="preserve"> </w:t>
      </w:r>
      <w:r>
        <w:t xml:space="preserve">A prespecified epidemiologically quiet period exists during which external shocks to the baseline hazard are minimal, allowing depletion geometry to be estimated from observed cumulative hazards.</w:t>
      </w:r>
    </w:p>
    <w:p>
      <w:pPr>
        <w:pStyle w:val="BlockText"/>
        <w:numPr>
          <w:ilvl w:val="0"/>
          <w:numId w:val="1015"/>
        </w:numPr>
      </w:pPr>
      <w:r>
        <w:rPr>
          <w:b/>
          <w:bCs/>
        </w:rPr>
        <w:t xml:space="preserve">Independence across strata.</w:t>
      </w:r>
      <w:r>
        <w:t xml:space="preserve"> </w:t>
      </w:r>
      <w:r>
        <w:t xml:space="preserve">Cohorts or strata are analyzed independently, without interference, spillover, or cross-cohort coupling.</w:t>
      </w:r>
    </w:p>
    <w:p>
      <w:pPr>
        <w:pStyle w:val="BlockText"/>
        <w:numPr>
          <w:ilvl w:val="0"/>
          <w:numId w:val="1015"/>
        </w:numPr>
      </w:pPr>
      <w:r>
        <w:rPr>
          <w:b/>
          <w:bCs/>
        </w:rPr>
        <w:t xml:space="preserve">Sufficient event-time resolution.</w:t>
      </w:r>
      <w:r>
        <w:t xml:space="preserve"> </w:t>
      </w:r>
      <w:r>
        <w:t xml:space="preserve">Event timing is observed at a temporal resolution adequate to estimate cumulative hazards over the quiet window.</w:t>
      </w:r>
    </w:p>
    <w:p>
      <w:pPr>
        <w:pStyle w:val="BlockText"/>
      </w:pPr>
      <w:r>
        <w:t xml:space="preserve">These assumptions are evaluated empirically using post-normalization diagnostics. Violations are expected to manifest as residual curvature, drift, or instability in adjusted cumulative hazard trajectories.</w:t>
      </w:r>
    </w:p>
    <w:bookmarkEnd w:id="32"/>
    <w:bookmarkEnd w:id="33"/>
    <w:bookmarkStart w:id="34"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6"/>
        </w:numPr>
      </w:pPr>
      <w:r>
        <w:rPr>
          <w:b/>
          <w:bCs/>
        </w:rPr>
        <w:t xml:space="preserve">No post-enrollment switching</w:t>
      </w:r>
      <w:r>
        <w:t xml:space="preserve"> </w:t>
      </w:r>
      <w:r>
        <w:t xml:space="preserve">is allowed (individuals remain in their enrollment cohort),</w:t>
      </w:r>
    </w:p>
    <w:p>
      <w:pPr>
        <w:pStyle w:val="Compact"/>
        <w:numPr>
          <w:ilvl w:val="0"/>
          <w:numId w:val="1016"/>
        </w:numPr>
      </w:pPr>
      <w:r>
        <w:rPr>
          <w:b/>
          <w:bCs/>
        </w:rPr>
        <w:t xml:space="preserve">No censoring</w:t>
      </w:r>
      <w:r>
        <w:t xml:space="preserve"> </w:t>
      </w:r>
      <w:r>
        <w:t xml:space="preserve">is applied (other than administrative end of follow-up),</w:t>
      </w:r>
    </w:p>
    <w:p>
      <w:pPr>
        <w:pStyle w:val="Compact"/>
        <w:numPr>
          <w:ilvl w:val="0"/>
          <w:numId w:val="1016"/>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4"/>
    <w:bookmarkStart w:id="37"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5"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5"/>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6"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6"/>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7"/>
    <w:bookmarkStart w:id="82" w:name="Xac986e115b315a486d7d296f1ed82bc5da7c6c5"/>
    <w:p>
      <w:pPr>
        <w:pStyle w:val="Heading2"/>
      </w:pPr>
      <w:r>
        <w:t xml:space="preserve">2.4 Selection model: gamma frailty and depletion normalization</w:t>
      </w:r>
    </w:p>
    <w:bookmarkStart w:id="39"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8"/>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9"/>
    <w:bookmarkStart w:id="43" w:name="gamma-frailty-identity-and-inversion"/>
    <w:p>
      <w:pPr>
        <w:pStyle w:val="Heading3"/>
      </w:pPr>
      <w:r>
        <w:t xml:space="preserve">2.4.2 Gamma-frailty identity and inversion</w:t>
      </w:r>
    </w:p>
    <w:p>
      <w:pPr>
        <w:pStyle w:val="FirstParagraph"/>
      </w:pPr>
      <w:r>
        <w:t xml:space="preserve">Let</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0"/>
    <w:p>
      <w:pPr>
        <w:pStyle w:val="BodyText"/>
      </w:pPr>
      <w:r>
        <w:t xml:space="preserve">denote the baseline cumulative hazard. Integrating over gamma frailty yields the gamma-frailty identity</w:t>
      </w:r>
    </w:p>
    <w:bookmarkStart w:id="41"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1"/>
    <w:p>
      <w:pPr>
        <w:pStyle w:val="BodyText"/>
      </w:pPr>
      <w:r>
        <w:t xml:space="preserve">which can be inverted exactly as</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2"/>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3"/>
    <w:bookmarkStart w:id="45"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4"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4"/>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5"/>
    <w:bookmarkStart w:id="47"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6"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7"/>
        </w:numPr>
      </w:pPr>
      <w:r>
        <w:t xml:space="preserve">Calendar-time hazard curves exhibit approximate linearity with no sustained trend breaks.</w:t>
      </w:r>
    </w:p>
    <w:p>
      <w:pPr>
        <w:pStyle w:val="Compact"/>
        <w:numPr>
          <w:ilvl w:val="0"/>
          <w:numId w:val="1017"/>
        </w:numPr>
      </w:pPr>
      <w:r>
        <w:t xml:space="preserve">Periods containing epidemic waves, reporting artifacts, or policy shocks are excluded.</w:t>
      </w:r>
    </w:p>
    <w:p>
      <w:pPr>
        <w:pStyle w:val="Compact"/>
        <w:numPr>
          <w:ilvl w:val="0"/>
          <w:numId w:val="1017"/>
        </w:numPr>
      </w:pPr>
      <w:r>
        <w:t xml:space="preserve">The window spans a minimum duration sufficient for stable slope estimation.</w:t>
      </w:r>
    </w:p>
    <w:p>
      <w:pPr>
        <w:pStyle w:val="Compact"/>
        <w:numPr>
          <w:ilvl w:val="0"/>
          <w:numId w:val="1017"/>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6"/>
    <w:bookmarkEnd w:id="47"/>
    <w:bookmarkStart w:id="50"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8"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8"/>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9"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9"/>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50"/>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1"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bookmarkStart w:id="53" w:name="kcor-identity-summary"/>
    <w:p>
      <w:pPr>
        <w:pStyle w:val="Heading4"/>
      </w:pPr>
      <w:r>
        <w:t xml:space="preserve">KCOR Identity Summary</w:t>
      </w:r>
    </w:p>
    <w:p>
      <w:pPr>
        <w:pStyle w:val="FirstParagraph"/>
      </w:pPr>
      <w:r>
        <w:t xml:space="preserve">This block summarizes the core KCOR identities used throughout the manuscript; each appears elsewhere in full detail. References point to the original labeled equations to preserve equation numbering.</w:t>
      </w:r>
    </w:p>
    <w:p>
      <w:pPr>
        <w:pStyle w:val="BodyText"/>
      </w:pPr>
      <w:r>
        <w:t xml:space="preserve">Unlabeled summary forms: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t>  </m:t>
          </m:r>
          <m:r>
            <m:rPr>
              <m:nor/>
              <m:sty m:val="p"/>
            </m:rPr>
            <m:t>(see Equation @eq:hazard-discrete).</m:t>
          </m:r>
        </m:oMath>
      </m:oMathPara>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t>  </m:t>
          </m:r>
          <m:r>
            <m:rPr>
              <m:nor/>
              <m:sty m:val="p"/>
            </m:rPr>
            <m:t>(see Equation @eq:nls-objective).</m:t>
          </m:r>
        </m:oMath>
      </m:oMathPara>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t>  </m:t>
          </m:r>
          <m:r>
            <m:rPr>
              <m:nor/>
              <m:sty m:val="p"/>
            </m:rPr>
            <m:t>(see Equation @eq:normalized-cumhazard).</m:t>
          </m:r>
        </m:oMath>
      </m:oMathPara>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t>  </m:t>
          </m:r>
          <m:r>
            <m:rPr>
              <m:nor/>
              <m:sty m:val="p"/>
            </m:rPr>
            <m:t>(see Equation @eq:kcor-estimand).</m:t>
          </m:r>
        </m:oMath>
      </m:oMathPara>
    </w:p>
    <w:p>
      <w:pPr>
        <w:pStyle w:val="FirstParagraph"/>
      </w:pPr>
      <w:r>
        <w:t xml:space="preserve">Where:</w:t>
      </w:r>
      <w:r>
        <w:t xml:space="preserve"> </w:t>
      </w:r>
      <m:oMath>
        <m:r>
          <m:t>d</m:t>
        </m:r>
      </m:oMath>
      <w:r>
        <w:t xml:space="preserve"> </w:t>
      </w:r>
      <w:r>
        <w:t xml:space="preserve">indexes cohorts;</w:t>
      </w:r>
      <w:r>
        <w:t xml:space="preserve"> </w:t>
      </w:r>
      <m:oMath>
        <m:r>
          <m:t>t</m:t>
        </m:r>
      </m:oMath>
      <w:r>
        <w:t xml:space="preserve"> </w:t>
      </w:r>
      <w:r>
        <w:t xml:space="preserve">is discrete event time since enrollment;</w:t>
      </w:r>
      <w:r>
        <w:t xml:space="preserve"> </w:t>
      </w:r>
      <m:oMath>
        <m:sSub>
          <m:e>
            <m:r>
              <m:t>N</m:t>
            </m:r>
          </m:e>
          <m:sub>
            <m:r>
              <m:t>d</m:t>
            </m:r>
          </m:sub>
        </m:sSub>
        <m:r>
          <m:rPr>
            <m:sty m:val="p"/>
          </m:rPr>
          <m:t>(</m:t>
        </m:r>
        <m:r>
          <m:t>t</m:t>
        </m:r>
        <m:r>
          <m:rPr>
            <m:sty m:val="p"/>
          </m:rPr>
          <m:t>)</m:t>
        </m:r>
      </m:oMath>
      <w:r>
        <w:t xml:space="preserve"> </w:t>
      </w:r>
      <w:r>
        <w:t xml:space="preserve">is the risk set size at the start of interval</w:t>
      </w:r>
      <w:r>
        <w:t xml:space="preserve"> </w:t>
      </w:r>
      <m:oMath>
        <m:r>
          <m:t>t</m:t>
        </m:r>
      </m:oMath>
      <w:r>
        <w:t xml:space="preserve">;</w:t>
      </w:r>
      <w:r>
        <w:t xml:space="preserve"> </w:t>
      </w:r>
      <m:oMath>
        <m:sSub>
          <m:e>
            <m:r>
              <m:t>d</m:t>
            </m:r>
          </m:e>
          <m:sub>
            <m:r>
              <m:t>d</m:t>
            </m:r>
          </m:sub>
        </m:sSub>
        <m:r>
          <m:rPr>
            <m:sty m:val="p"/>
          </m:rPr>
          <m:t>(</m:t>
        </m:r>
        <m:r>
          <m:t>t</m:t>
        </m:r>
        <m:r>
          <m:rPr>
            <m:sty m:val="p"/>
          </m:rPr>
          <m:t>)</m:t>
        </m:r>
      </m:oMath>
      <w:r>
        <w:t xml:space="preserve"> </w:t>
      </w:r>
      <w:r>
        <w:t xml:space="preserve">is deaths in interval</w:t>
      </w:r>
      <w:r>
        <w:t xml:space="preserve"> </w:t>
      </w:r>
      <m:oMath>
        <m:r>
          <m:t>t</m:t>
        </m:r>
      </m:oMath>
      <w:r>
        <w:t xml:space="preserve">;</w:t>
      </w:r>
      <w:r>
        <w:t xml:space="preserve"> </w:t>
      </w:r>
      <m:oMath>
        <m:sSub>
          <m:e>
            <m:r>
              <m:rPr>
                <m:scr m:val="script"/>
                <m:sty m:val="p"/>
              </m:rPr>
              <m:t>T</m:t>
            </m:r>
          </m:e>
          <m:sub>
            <m:r>
              <m:t>d</m:t>
            </m:r>
          </m:sub>
        </m:sSub>
      </m:oMath>
      <w:r>
        <w:t xml:space="preserve"> </w:t>
      </w:r>
      <w:r>
        <w:t xml:space="preserve">is the set of fit bins lying inside the prespecified quiet window;</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is the observed cumulative hazard; and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the depletion-neutralized baseline cumulative hazard used for cohort comparison.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2"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End w:id="53"/>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8"/>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8"/>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9"/>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20"/>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1"/>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1"/>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1"/>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1"/>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1"/>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8"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2"/>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2"/>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p>
      <w:pPr>
        <w:pStyle w:val="BodyText"/>
      </w:pPr>
      <w:r>
        <w:t xml:space="preserve">Additional Cox HR results from the same synthetic-null grid are shown in Figure 2.</w:t>
      </w:r>
    </w:p>
    <w:bookmarkStart w:id="71"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6"/>
    <w:bookmarkStart w:id="77"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is not supported by the data.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7"/>
    <w:bookmarkEnd w:id="78"/>
    <w:bookmarkStart w:id="79"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9"/>
    <w:bookmarkStart w:id="80"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0"/>
    <w:bookmarkStart w:id="81"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Appendix.</w:t>
      </w:r>
    </w:p>
    <w:bookmarkEnd w:id="81"/>
    <w:bookmarkEnd w:id="82"/>
    <w:bookmarkStart w:id="13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3"/>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8" w:name="X250d2743dd947cd04209f9dc9cf02b545517230"/>
    <w:p>
      <w:pPr>
        <w:pStyle w:val="Heading3"/>
      </w:pPr>
      <w:r>
        <w:t xml:space="preserve">3.1 Negative controls: null under selection-induced curvature</w:t>
      </w:r>
    </w:p>
    <w:bookmarkStart w:id="88"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4"/>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7"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5"/>
        </w:numPr>
      </w:pPr>
      <w:r>
        <w:t xml:space="preserve">Time unit: weeks.</w:t>
      </w:r>
    </w:p>
    <w:p>
      <w:pPr>
        <w:pStyle w:val="Compact"/>
        <w:numPr>
          <w:ilvl w:val="0"/>
          <w:numId w:val="1025"/>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6"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4" name="Picture"/>
            <a:graphic>
              <a:graphicData uri="http://schemas.openxmlformats.org/drawingml/2006/picture">
                <pic:pic>
                  <pic:nvPicPr>
                    <pic:cNvPr descr="figures/fig_neg_control_synthetic.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6"/>
    <w:bookmarkEnd w:id="87"/>
    <w:bookmarkEnd w:id="88"/>
    <w:bookmarkStart w:id="97"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2"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0" name="Picture"/>
            <a:graphic>
              <a:graphicData uri="http://schemas.openxmlformats.org/drawingml/2006/picture">
                <pic:pic>
                  <pic:nvPicPr>
                    <pic:cNvPr descr="figures/fig2_neg_control_10yr_age_diff.png" id="91" name="Picture"/>
                    <pic:cNvPicPr>
                      <a:picLocks noChangeArrowheads="1" noChangeAspect="1"/>
                    </pic:cNvPicPr>
                  </pic:nvPicPr>
                  <pic:blipFill>
                    <a:blip r:embed="rId8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2"/>
    <w:p>
      <w:pPr>
        <w:pStyle w:val="BodyText"/>
      </w:pPr>
      <w:r>
        <w:t xml:space="preserve">The corresponding 20-year age-shift negative control is shown in Figure 6.</w:t>
      </w:r>
    </w:p>
    <w:bookmarkStart w:id="96"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4" name="Picture"/>
            <a:graphic>
              <a:graphicData uri="http://schemas.openxmlformats.org/drawingml/2006/picture">
                <pic:pic>
                  <pic:nvPicPr>
                    <pic:cNvPr descr="figures/fig3_neg_control_20yr_age_diff.png" id="95" name="Picture"/>
                    <pic:cNvPicPr>
                      <a:picLocks noChangeArrowheads="1" noChangeAspect="1"/>
                    </pic:cNvPicPr>
                  </pic:nvPicPr>
                  <pic:blipFill>
                    <a:blip r:embed="rId93"/>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6"/>
    <w:p>
      <w:pPr>
        <w:pStyle w:val="BodyText"/>
      </w:pPr>
      <w:r>
        <w:t xml:space="preserve">Table 7 provides numeric summaries.</w:t>
      </w:r>
    </w:p>
    <w:bookmarkEnd w:id="97"/>
    <w:bookmarkEnd w:id="98"/>
    <w:bookmarkStart w:id="104"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99"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99"/>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3"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1" name="Picture"/>
            <a:graphic>
              <a:graphicData uri="http://schemas.openxmlformats.org/drawingml/2006/picture">
                <pic:pic>
                  <pic:nvPicPr>
                    <pic:cNvPr descr="figures/fig_pos_control_injected.png" id="102" name="Picture"/>
                    <pic:cNvPicPr>
                      <a:picLocks noChangeArrowheads="1" noChangeAspect="1"/>
                    </pic:cNvPicPr>
                  </pic:nvPicPr>
                  <pic:blipFill>
                    <a:blip r:embed="rId100"/>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3"/>
    <w:bookmarkEnd w:id="104"/>
    <w:bookmarkStart w:id="110"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6"/>
        </w:numPr>
      </w:pPr>
      <w:r>
        <w:t xml:space="preserve">Quiet-window selection (calendar ISO-week bounds)</w:t>
      </w:r>
    </w:p>
    <w:p>
      <w:pPr>
        <w:pStyle w:val="Compact"/>
        <w:numPr>
          <w:ilvl w:val="0"/>
          <w:numId w:val="1026"/>
        </w:numPr>
      </w:pPr>
      <w:r>
        <w:t xml:space="preserve">Stabilization skip (early-bin handling)</w:t>
      </w:r>
    </w:p>
    <w:p>
      <w:pPr>
        <w:pStyle w:val="Compact"/>
        <w:numPr>
          <w:ilvl w:val="0"/>
          <w:numId w:val="1026"/>
        </w:numPr>
      </w:pPr>
      <w:r>
        <w:t xml:space="preserve">Time-binning resolution</w:t>
      </w:r>
    </w:p>
    <w:p>
      <w:pPr>
        <w:pStyle w:val="Compact"/>
        <w:numPr>
          <w:ilvl w:val="0"/>
          <w:numId w:val="1026"/>
        </w:numPr>
      </w:pPr>
      <w:r>
        <w:t xml:space="preserve">Age stratification and/or stratified analyses where appropriate</w:t>
      </w:r>
    </w:p>
    <w:p>
      <w:pPr>
        <w:pStyle w:val="Compact"/>
        <w:numPr>
          <w:ilvl w:val="0"/>
          <w:numId w:val="1026"/>
        </w:numPr>
      </w:pPr>
      <w:r>
        <w:t xml:space="preserve">Baseline shape choice (default constant baseline over the fit window; alternatives can be assessed as sensitivity)</w:t>
      </w:r>
    </w:p>
    <w:p>
      <w:pPr>
        <w:pStyle w:val="FirstParagraph"/>
      </w:pPr>
      <w:r>
        <w:t xml:space="preserve">KCOR stability across the parameter grid is summarized in Figure 8.</w:t>
      </w:r>
    </w:p>
    <w:bookmarkStart w:id="108"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6" name="Picture"/>
            <a:graphic>
              <a:graphicData uri="http://schemas.openxmlformats.org/drawingml/2006/picture">
                <pic:pic>
                  <pic:nvPicPr>
                    <pic:cNvPr descr="figures/fig_sensitivity_overview.png" id="107" name="Picture"/>
                    <pic:cNvPicPr>
                      <a:picLocks noChangeArrowheads="1" noChangeAspect="1"/>
                    </pic:cNvPicPr>
                  </pic:nvPicPr>
                  <pic:blipFill>
                    <a:blip r:embed="rId105"/>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8"/>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09"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7"/>
        </w:numPr>
      </w:pPr>
      <w:r>
        <w:rPr>
          <w:b/>
          <w:bCs/>
        </w:rPr>
        <w:t xml:space="preserve">Gamma</w:t>
      </w:r>
      <w:r>
        <w:t xml:space="preserve"> </w:t>
      </w:r>
      <w:r>
        <w:t xml:space="preserve">(baseline reference)</w:t>
      </w:r>
    </w:p>
    <w:p>
      <w:pPr>
        <w:pStyle w:val="Compact"/>
        <w:numPr>
          <w:ilvl w:val="0"/>
          <w:numId w:val="1027"/>
        </w:numPr>
      </w:pPr>
      <w:r>
        <w:rPr>
          <w:b/>
          <w:bCs/>
        </w:rPr>
        <w:t xml:space="preserve">Lognormal</w:t>
      </w:r>
      <w:r>
        <w:t xml:space="preserve"> </w:t>
      </w:r>
      <w:r>
        <w:t xml:space="preserve">frailty</w:t>
      </w:r>
    </w:p>
    <w:p>
      <w:pPr>
        <w:pStyle w:val="Compact"/>
        <w:numPr>
          <w:ilvl w:val="0"/>
          <w:numId w:val="1027"/>
        </w:numPr>
      </w:pPr>
      <w:r>
        <w:rPr>
          <w:b/>
          <w:bCs/>
        </w:rPr>
        <w:t xml:space="preserve">Two-point mixture</w:t>
      </w:r>
      <w:r>
        <w:t xml:space="preserve"> </w:t>
      </w:r>
      <w:r>
        <w:t xml:space="preserve">(discrete frailty)</w:t>
      </w:r>
    </w:p>
    <w:p>
      <w:pPr>
        <w:pStyle w:val="Compact"/>
        <w:numPr>
          <w:ilvl w:val="0"/>
          <w:numId w:val="1027"/>
        </w:numPr>
      </w:pPr>
      <w:r>
        <w:rPr>
          <w:b/>
          <w:bCs/>
        </w:rPr>
        <w:t xml:space="preserve">Bimodal</w:t>
      </w:r>
      <w:r>
        <w:t xml:space="preserve"> </w:t>
      </w:r>
      <w:r>
        <w:t xml:space="preserve">frailty distributions</w:t>
      </w:r>
    </w:p>
    <w:p>
      <w:pPr>
        <w:pStyle w:val="Compact"/>
        <w:numPr>
          <w:ilvl w:val="0"/>
          <w:numId w:val="1027"/>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can degrade gracefully by attenuating toward unity or by not meeting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09"/>
    <w:bookmarkEnd w:id="110"/>
    <w:bookmarkStart w:id="127"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Figures 9 and 10 summarize the simulation grid.</w:t>
      </w:r>
    </w:p>
    <w:bookmarkStart w:id="114"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2" name="Picture"/>
            <a:graphic>
              <a:graphicData uri="http://schemas.openxmlformats.org/drawingml/2006/picture">
                <pic:pic>
                  <pic:nvPicPr>
                    <pic:cNvPr descr="figures/fig_sim_grid_overview.png" id="113" name="Picture"/>
                    <pic:cNvPicPr>
                      <a:picLocks noChangeArrowheads="1" noChangeAspect="1"/>
                    </pic:cNvPicPr>
                  </pic:nvPicPr>
                  <pic:blipFill>
                    <a:blip r:embed="rId111"/>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4"/>
    <w:bookmarkStart w:id="118"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6" name="Picture"/>
            <a:graphic>
              <a:graphicData uri="http://schemas.openxmlformats.org/drawingml/2006/picture">
                <pic:pic>
                  <pic:nvPicPr>
                    <pic:cNvPr descr="figures/fig_sim_grid_diagnostics.png" id="117" name="Picture"/>
                    <pic:cNvPicPr>
                      <a:picLocks noChangeArrowheads="1" noChangeAspect="1"/>
                    </pic:cNvPicPr>
                  </pic:nvPicPr>
                  <pic:blipFill>
                    <a:blip r:embed="rId115"/>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8"/>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bookmarkStart w:id="122"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0" name="Picture"/>
            <a:graphic>
              <a:graphicData uri="http://schemas.openxmlformats.org/drawingml/2006/picture">
                <pic:pic>
                  <pic:nvPicPr>
                    <pic:cNvPr descr="figures/fig_s7_overview.png" id="121" name="Picture"/>
                    <pic:cNvPicPr>
                      <a:picLocks noChangeArrowheads="1" noChangeAspect="1"/>
                    </pic:cNvPicPr>
                  </pic:nvPicPr>
                  <pic:blipFill>
                    <a:blip r:embed="rId119"/>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2"/>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bookmarkStart w:id="126"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4" name="Picture"/>
            <a:graphic>
              <a:graphicData uri="http://schemas.openxmlformats.org/drawingml/2006/picture">
                <pic:pic>
                  <pic:nvPicPr>
                    <pic:cNvPr descr="figures/fig_s7_diagnostics.png" id="125" name="Picture"/>
                    <pic:cNvPicPr>
                      <a:picLocks noChangeArrowheads="1" noChangeAspect="1"/>
                    </pic:cNvPicPr>
                  </pic:nvPicPr>
                  <pic:blipFill>
                    <a:blip r:embed="rId123"/>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6"/>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diagnostics are intended to indicate loss of identifiability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among the methods evaluated, KCOR remained stable and near-null, while RMST and time-varying Cox produced non-null contrasts that varied with frailty strength, consistent with inherited depletion geometry rather than causal signal (Table 10). Across selection-only scenarios, among the estimands evaluated, KCOR’s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127"/>
    <w:bookmarkStart w:id="13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Start w:id="13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9" name="Picture"/>
            <a:graphic>
              <a:graphicData uri="http://schemas.openxmlformats.org/drawingml/2006/picture">
                <pic:pic>
                  <pic:nvPicPr>
                    <pic:cNvPr descr="figures/fig_skip_weeks_sensitivity.png" id="130" name="Picture"/>
                    <pic:cNvPicPr>
                      <a:picLocks noChangeArrowheads="1" noChangeAspect="1"/>
                    </pic:cNvPicPr>
                  </pic:nvPicPr>
                  <pic:blipFill>
                    <a:blip r:embed="rId12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bookmarkEnd w:id="132"/>
    <w:bookmarkStart w:id="13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Appendix to demonstrate end-to-end use of KCOR on administrative data; the primary validation in the main text is based on synthetic and empirical control experiments designed to probe failure modes.</w:t>
      </w:r>
    </w:p>
    <w:p>
      <w:pPr>
        <w:pStyle w:val="BodyText"/>
      </w:pPr>
      <w:r>
        <w:t xml:space="preserve">Post-normalization diagnostics are used to assess whether the depletion geometry has been adequately corrected. In practice, we treat the following criteria as indicative of acceptable normalization: (i) residual drift in adjusted cumulative hazards below 5% per year within the evaluation window; (ii) approximate linearity during the quiet period with coefficient of determination R² ≥ 0.98; and (iii) root-mean-square deviation consistent with values observed under simulated null regimes.</w:t>
      </w:r>
    </w:p>
    <w:p>
      <w:pPr>
        <w:pStyle w:val="BodyText"/>
      </w:pPr>
      <w:r>
        <w:t xml:space="preserve">These thresholds were calibrated empirically through simulation studies spanning a wide range of frailty heterogeneity and selection strength. Diagnostics are intended to identify departures from the modeling assumptions rather than to provide formal hypothesis tests, and should be interpreted as descriptive measures of normalization adequacy.</w:t>
      </w:r>
    </w:p>
    <w:bookmarkEnd w:id="133"/>
    <w:bookmarkEnd w:id="134"/>
    <w:bookmarkStart w:id="139"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5"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5"/>
    <w:bookmarkStart w:id="136"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8"/>
        </w:numPr>
      </w:pPr>
      <w:r>
        <w:t xml:space="preserve">selection-induced depletion dynamics can be estimated during quiet periods using a gamma-frailty mixture model, and</w:t>
      </w:r>
    </w:p>
    <w:p>
      <w:pPr>
        <w:pStyle w:val="Compact"/>
        <w:numPr>
          <w:ilvl w:val="0"/>
          <w:numId w:val="102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6"/>
    <w:bookmarkStart w:id="13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7"/>
    <w:bookmarkStart w:id="138"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9"/>
        </w:numPr>
      </w:pPr>
      <w:r>
        <w:t xml:space="preserve">Enrollment definition and justification</w:t>
      </w:r>
    </w:p>
    <w:p>
      <w:pPr>
        <w:pStyle w:val="Compact"/>
        <w:numPr>
          <w:ilvl w:val="0"/>
          <w:numId w:val="1029"/>
        </w:numPr>
      </w:pPr>
      <w:r>
        <w:t xml:space="preserve">Risk set definitions and event-time binning</w:t>
      </w:r>
    </w:p>
    <w:p>
      <w:pPr>
        <w:pStyle w:val="Compact"/>
        <w:numPr>
          <w:ilvl w:val="0"/>
          <w:numId w:val="1029"/>
        </w:numPr>
      </w:pPr>
      <w:r>
        <w:t xml:space="preserve">Quiet-window definition and justification</w:t>
      </w:r>
    </w:p>
    <w:p>
      <w:pPr>
        <w:pStyle w:val="Compact"/>
        <w:numPr>
          <w:ilvl w:val="0"/>
          <w:numId w:val="1029"/>
        </w:numPr>
      </w:pPr>
      <w:r>
        <w:t xml:space="preserve">Baseline-shape choice (default constant baseline over the fit window) and fit diagnostics</w:t>
      </w:r>
    </w:p>
    <w:p>
      <w:pPr>
        <w:pStyle w:val="Compact"/>
        <w:numPr>
          <w:ilvl w:val="0"/>
          <w:numId w:val="1029"/>
        </w:numPr>
      </w:pPr>
      <w:r>
        <w:t xml:space="preserve">Skip/stabilization rule and robustness to nearby values</w:t>
      </w:r>
    </w:p>
    <w:p>
      <w:pPr>
        <w:pStyle w:val="Compact"/>
        <w:numPr>
          <w:ilvl w:val="0"/>
          <w:numId w:val="1029"/>
        </w:numPr>
      </w:pPr>
      <w:r>
        <w:t xml:space="preserve">Predefined negative/positive controls used for validation</w:t>
      </w:r>
    </w:p>
    <w:p>
      <w:pPr>
        <w:pStyle w:val="Compact"/>
        <w:numPr>
          <w:ilvl w:val="0"/>
          <w:numId w:val="102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pPr>
        <w:pStyle w:val="BlockText"/>
      </w:pPr>
      <w:r>
        <w:t xml:space="preserve">This work is intentionally non-causal. KCOR is not proposed as an estimator of treatment effects, nor does it attempt to recover counterfactual outcomes under hypothetical interventions. Instead, it is a diagnostic and descriptive framework designed to address a specific geometric distortion that arises prior to model fitting in retrospective cohort data: selection-induced depletion under latent frailty heterogeneity. By estimating and inverting cohort-specific depletion geometry during epidemiologically quiet periods, KCOR maps observed cumulative hazards into a common comparison scale on which standard post-adjustment summaries may be meaningfully interpreted. The stability of KCOR-normalized trajectories under selection-only regimes should therefore not be construed as evidence of causal neutrality, but rather as evidence that the normalization removes bias arising from heterogeneous risk composition before any causal or associational estimand is imposed. In this sense, KCOR is complementary to, rather than a substitute for, causal inference frameworks, and may be viewed as a preprocessing step that clarifies the limits of what can be inferred from observational data when proportional hazards assumptions are violated. Future work may explore how depletion-neutralized hazard representations could be incorporated into causal pipelines—for example, as inputs to target trial emulation or sensitivity analyses—while preserving the separation between normalization and causal identification emphasized here.</w:t>
      </w:r>
    </w:p>
    <w:bookmarkEnd w:id="138"/>
    <w:bookmarkEnd w:id="139"/>
    <w:bookmarkStart w:id="143" w:name="limitations"/>
    <w:p>
      <w:pPr>
        <w:pStyle w:val="Heading2"/>
      </w:pPr>
      <w:r>
        <w:t xml:space="preserve">5. Limitations</w:t>
      </w:r>
    </w:p>
    <w:p>
      <w:pPr>
        <w:pStyle w:val="Compact"/>
        <w:numPr>
          <w:ilvl w:val="0"/>
          <w:numId w:val="103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30"/>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30"/>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30"/>
        </w:numPr>
      </w:pPr>
      <w:r>
        <w:rPr>
          <w:b/>
          <w:bCs/>
        </w:rPr>
        <w:t xml:space="preserve">Sparse events</w:t>
      </w:r>
      <w:r>
        <w:t xml:space="preserve">: When event counts are small, hazard estimation and parameter fitting can be unstable.</w:t>
      </w:r>
    </w:p>
    <w:p>
      <w:pPr>
        <w:pStyle w:val="Compact"/>
        <w:numPr>
          <w:ilvl w:val="0"/>
          <w:numId w:val="103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3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30"/>
        </w:numPr>
      </w:pPr>
      <w:r>
        <w:rPr>
          <w:b/>
          <w:bCs/>
        </w:rPr>
        <w:t xml:space="preserve">Applicability to other outcomes</w:t>
      </w:r>
      <w:r>
        <w:t xml:space="preserve">: 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p>
      <w:pPr>
        <w:pStyle w:val="Compact"/>
        <w:numPr>
          <w:ilvl w:val="0"/>
          <w:numId w:val="103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1"/>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1"/>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2"/>
        </w:numPr>
      </w:pPr>
      <w:r>
        <w:rPr>
          <w:b/>
          <w:bCs/>
        </w:rPr>
        <w:t xml:space="preserve">Sensitivity analyses</w:t>
      </w:r>
      <w:r>
        <w:t xml:space="preserve"> </w:t>
      </w:r>
      <w:r>
        <w:t xml:space="preserve">over plausible quiet windows and skip-weeks values.</w:t>
      </w:r>
    </w:p>
    <w:p>
      <w:pPr>
        <w:pStyle w:val="Compact"/>
        <w:numPr>
          <w:ilvl w:val="0"/>
          <w:numId w:val="1032"/>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can exhibit systematic deviation under non-proportional hazards and selection-induced depletion, KCOR provides a practical alternative that operates on minimal individual-level information—dates of birth, intervention, and death—while remaining applicable to national registry data where richer covariates are unavailable or unreliable.</w:t>
      </w:r>
    </w:p>
    <w:p>
      <w:pPr>
        <w:pStyle w:val="BodyText"/>
      </w:pPr>
      <w:r>
        <w:t xml:space="preserve">Reproducibility: code, simulations, and manuscript build instructions are available in the project repository (</w:t>
      </w:r>
      <w:hyperlink r:id="rId144">
        <w:r>
          <w:rPr>
            <w:rStyle w:val="Hyperlink"/>
          </w:rPr>
          <w:t xml:space="preserve">https://github.com/skirsch/KCOR</w:t>
        </w:r>
      </w:hyperlink>
      <w:r>
        <w:t xml:space="preserve">).</w:t>
      </w:r>
    </w:p>
    <w:bookmarkEnd w:id="145"/>
    <w:bookmarkStart w:id="156" w:name="declarations"/>
    <w:p>
      <w:pPr>
        <w:pStyle w:val="Heading2"/>
      </w:pPr>
      <w:r>
        <w:t xml:space="preserve">Declarations</w:t>
      </w:r>
    </w:p>
    <w:bookmarkStart w:id="146"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6"/>
    <w:bookmarkStart w:id="147" w:name="consent-for-publication"/>
    <w:p>
      <w:pPr>
        <w:pStyle w:val="Heading3"/>
      </w:pPr>
      <w:r>
        <w:t xml:space="preserve">Consent for publication</w:t>
      </w:r>
    </w:p>
    <w:p>
      <w:pPr>
        <w:pStyle w:val="FirstParagraph"/>
      </w:pPr>
      <w:r>
        <w:t xml:space="preserve">Not applicable.</w:t>
      </w:r>
    </w:p>
    <w:bookmarkEnd w:id="147"/>
    <w:bookmarkStart w:id="148"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3"/>
        </w:numPr>
      </w:pPr>
      <w:r>
        <w:t xml:space="preserve">The reference implementation includes example datasets in KCOR_CMR format for reproducibility.</w:t>
      </w:r>
    </w:p>
    <w:p>
      <w:pPr>
        <w:pStyle w:val="Compact"/>
        <w:numPr>
          <w:ilvl w:val="0"/>
          <w:numId w:val="103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8"/>
    <w:bookmarkStart w:id="150" w:name="code-availability"/>
    <w:p>
      <w:pPr>
        <w:pStyle w:val="Heading3"/>
      </w:pPr>
      <w:r>
        <w:t xml:space="preserve">Code availability</w:t>
      </w:r>
    </w:p>
    <w:p>
      <w:pPr>
        <w:pStyle w:val="Compact"/>
        <w:numPr>
          <w:ilvl w:val="0"/>
          <w:numId w:val="1034"/>
        </w:numPr>
      </w:pPr>
      <w:r>
        <w:t xml:space="preserve">The KCOR reference implementation and complete validation suite are available in the project repository.</w:t>
      </w:r>
    </w:p>
    <w:p>
      <w:pPr>
        <w:pStyle w:val="Compact"/>
        <w:numPr>
          <w:ilvl w:val="0"/>
          <w:numId w:val="1034"/>
        </w:numPr>
      </w:pPr>
      <w:r>
        <w:t xml:space="preserve">Repository URL:</w:t>
      </w:r>
      <w:r>
        <w:t xml:space="preserve"> </w:t>
      </w:r>
      <w:hyperlink r:id="rId144">
        <w:r>
          <w:rPr>
            <w:rStyle w:val="Hyperlink"/>
          </w:rPr>
          <w:t xml:space="preserve">https://github.com/skirsch/KCOR</w:t>
        </w:r>
      </w:hyperlink>
    </w:p>
    <w:p>
      <w:pPr>
        <w:pStyle w:val="Compact"/>
        <w:numPr>
          <w:ilvl w:val="0"/>
          <w:numId w:val="1034"/>
        </w:numPr>
      </w:pPr>
      <w:r>
        <w:t xml:space="preserve">Zenodo DOI:</w:t>
      </w:r>
      <w:r>
        <w:t xml:space="preserve"> </w:t>
      </w:r>
      <w:hyperlink r:id="rId149">
        <w:r>
          <w:rPr>
            <w:rStyle w:val="Hyperlink"/>
          </w:rPr>
          <w:t xml:space="preserve">10.5281/zenodo.18050329</w:t>
        </w:r>
      </w:hyperlink>
    </w:p>
    <w:p>
      <w:pPr>
        <w:pStyle w:val="Compact"/>
        <w:numPr>
          <w:ilvl w:val="0"/>
          <w:numId w:val="1034"/>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0"/>
    <w:bookmarkStart w:id="151" w:name="use-of-artificial-intelligence-tools"/>
    <w:p>
      <w:pPr>
        <w:pStyle w:val="Heading3"/>
      </w:pPr>
      <w:r>
        <w:t xml:space="preserve">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manuscript.</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151"/>
    <w:bookmarkStart w:id="152" w:name="competing-interests"/>
    <w:p>
      <w:pPr>
        <w:pStyle w:val="Heading3"/>
      </w:pPr>
      <w:r>
        <w:t xml:space="preserve">Competing interests</w:t>
      </w:r>
    </w:p>
    <w:p>
      <w:pPr>
        <w:pStyle w:val="FirstParagraph"/>
      </w:pPr>
      <w:r>
        <w:t xml:space="preserve">The author is a board member of the Vaccine Safety Research Foundation.</w:t>
      </w:r>
    </w:p>
    <w:bookmarkEnd w:id="152"/>
    <w:bookmarkStart w:id="153" w:name="funding"/>
    <w:p>
      <w:pPr>
        <w:pStyle w:val="Heading3"/>
      </w:pPr>
      <w:r>
        <w:t xml:space="preserve">Funding</w:t>
      </w:r>
    </w:p>
    <w:p>
      <w:pPr>
        <w:pStyle w:val="FirstParagraph"/>
      </w:pPr>
      <w:r>
        <w:t xml:space="preserve">This research received no external funding.</w:t>
      </w:r>
    </w:p>
    <w:bookmarkEnd w:id="153"/>
    <w:bookmarkStart w:id="15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4"/>
    <w:bookmarkStart w:id="155"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5"/>
    <w:bookmarkEnd w:id="156"/>
    <w:bookmarkStart w:id="181" w:name="references"/>
    <w:p>
      <w:pPr>
        <w:pStyle w:val="Heading2"/>
      </w:pPr>
      <w:r>
        <w:t xml:space="preserve">References</w:t>
      </w:r>
    </w:p>
    <w:bookmarkStart w:id="180" w:name="refs"/>
    <w:bookmarkStart w:id="158"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7">
        <w:r>
          <w:rPr>
            <w:rStyle w:val="Hyperlink"/>
          </w:rPr>
          <w:t xml:space="preserve">10.2307/2061224</w:t>
        </w:r>
      </w:hyperlink>
    </w:p>
    <w:bookmarkEnd w:id="158"/>
    <w:bookmarkStart w:id="160"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9">
        <w:r>
          <w:rPr>
            <w:rStyle w:val="Hyperlink"/>
          </w:rPr>
          <w:t xml:space="preserve">10.2147/CLEP.S468572</w:t>
        </w:r>
      </w:hyperlink>
    </w:p>
    <w:bookmarkEnd w:id="160"/>
    <w:bookmarkStart w:id="162"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1">
        <w:r>
          <w:rPr>
            <w:rStyle w:val="Hyperlink"/>
          </w:rPr>
          <w:t xml:space="preserve">10.7554/eLife.103690</w:t>
        </w:r>
      </w:hyperlink>
    </w:p>
    <w:bookmarkEnd w:id="162"/>
    <w:bookmarkStart w:id="164"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3">
        <w:r>
          <w:rPr>
            <w:rStyle w:val="Hyperlink"/>
          </w:rPr>
          <w:t xml:space="preserve">10.1093/biomet/81.3.515</w:t>
        </w:r>
      </w:hyperlink>
    </w:p>
    <w:bookmarkEnd w:id="164"/>
    <w:bookmarkStart w:id="166"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5">
        <w:r>
          <w:rPr>
            <w:rStyle w:val="Hyperlink"/>
          </w:rPr>
          <w:t xml:space="preserve">10.1214/aos/1176345976</w:t>
        </w:r>
      </w:hyperlink>
    </w:p>
    <w:bookmarkEnd w:id="166"/>
    <w:bookmarkStart w:id="168"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7">
        <w:r>
          <w:rPr>
            <w:rStyle w:val="Hyperlink"/>
          </w:rPr>
          <w:t xml:space="preserve">10.1002/sim.1203</w:t>
        </w:r>
      </w:hyperlink>
    </w:p>
    <w:bookmarkEnd w:id="168"/>
    <w:bookmarkStart w:id="170"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69">
        <w:r>
          <w:rPr>
            <w:rStyle w:val="Hyperlink"/>
          </w:rPr>
          <w:t xml:space="preserve">10.1002/sim.4780080803</w:t>
        </w:r>
      </w:hyperlink>
    </w:p>
    <w:bookmarkEnd w:id="170"/>
    <w:bookmarkStart w:id="172"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1">
        <w:r>
          <w:rPr>
            <w:rStyle w:val="Hyperlink"/>
          </w:rPr>
          <w:t xml:space="preserve">10.1093/biomet/81.1.61</w:t>
        </w:r>
      </w:hyperlink>
    </w:p>
    <w:bookmarkEnd w:id="172"/>
    <w:bookmarkStart w:id="174"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3">
        <w:r>
          <w:rPr>
            <w:rStyle w:val="Hyperlink"/>
          </w:rPr>
          <w:t xml:space="preserve">10.1111/j.1467-9469.2006.00529.x</w:t>
        </w:r>
      </w:hyperlink>
    </w:p>
    <w:bookmarkEnd w:id="174"/>
    <w:bookmarkStart w:id="176"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5">
        <w:r>
          <w:rPr>
            <w:rStyle w:val="Hyperlink"/>
          </w:rPr>
          <w:t xml:space="preserve">10.1097/00001648-200009000-00011</w:t>
        </w:r>
      </w:hyperlink>
    </w:p>
    <w:bookmarkEnd w:id="176"/>
    <w:bookmarkStart w:id="178"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7">
        <w:r>
          <w:rPr>
            <w:rStyle w:val="Hyperlink"/>
          </w:rPr>
          <w:t xml:space="preserve">10.1093/aje/kwn164</w:t>
        </w:r>
      </w:hyperlink>
    </w:p>
    <w:bookmarkEnd w:id="178"/>
    <w:bookmarkStart w:id="179"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79"/>
    <w:bookmarkEnd w:id="180"/>
    <w:bookmarkEnd w:id="181"/>
    <w:bookmarkStart w:id="193" w:name="tables"/>
    <w:p>
      <w:pPr>
        <w:pStyle w:val="Heading2"/>
      </w:pPr>
      <w:r>
        <w:t xml:space="preserve">Tables</w:t>
      </w:r>
    </w:p>
    <w:bookmarkStart w:id="182"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2"/>
    <w:p>
      <w:r>
        <w:br w:type="page"/>
      </w:r>
    </w:p>
    <w:bookmarkStart w:id="18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3"/>
    <w:p>
      <w:r>
        <w:br w:type="page"/>
      </w:r>
    </w:p>
    <w:p>
      <w:pPr>
        <w:pStyle w:val="BodyText"/>
      </w:pPr>
      <w:r>
        <w:t xml:space="preserve">Note: KCOR is reported here as a cumulative hazard ratio for comparability; alternative post-normalization estimands are admissible within the framework.</w:t>
      </w:r>
    </w:p>
    <w:p>
      <w:r>
        <w:br w:type="page"/>
      </w:r>
    </w:p>
    <w:bookmarkStart w:id="18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4"/>
    <w:p>
      <w:r>
        <w:br w:type="page"/>
      </w:r>
    </w:p>
    <w:bookmarkStart w:id="185"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5"/>
    <w:p>
      <w:r>
        <w:br w:type="page"/>
      </w:r>
    </w:p>
    <w:bookmarkStart w:id="18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6"/>
    <w:p>
      <w:r>
        <w:br w:type="page"/>
      </w:r>
    </w:p>
    <w:bookmarkStart w:id="187"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7"/>
    <w:p>
      <w:r>
        <w:br w:type="page"/>
      </w:r>
    </w:p>
    <w:bookmarkStart w:id="188"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8"/>
    <w:p>
      <w:r>
        <w:br w:type="page"/>
      </w:r>
    </w:p>
    <w:bookmarkStart w:id="18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89"/>
    <w:p>
      <w:r>
        <w:br w:type="page"/>
      </w:r>
    </w:p>
    <w:bookmarkStart w:id="190"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90"/>
    <w:p>
      <w:r>
        <w:br w:type="page"/>
      </w:r>
    </w:p>
    <w:bookmarkStart w:id="191"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1"/>
    <w:p>
      <w:r>
        <w:br w:type="page"/>
      </w:r>
    </w:p>
    <w:bookmarkStart w:id="192"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2"/>
    <w:p>
      <w:r>
        <w:br w:type="page"/>
      </w:r>
    </w:p>
    <w:p>
      <w:pPr>
        <w:pStyle w:val="TableCaption"/>
      </w:pPr>
      <w:r>
        <w:t xml:space="preserve">Table C.1.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C.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r>
        <w:br w:type="page"/>
      </w:r>
    </w:p>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C.3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r>
        <w:br w:type="page"/>
      </w:r>
    </w:p>
    <w:p>
      <w:pPr>
        <w:pStyle w:val="TableCaption"/>
      </w:pPr>
      <w:r>
        <w:t xml:space="preserve">Table C.2.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C.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r>
        <w:br w:type="page"/>
      </w:r>
    </w:p>
    <w:p>
      <w:pPr>
        <w:pStyle w:val="TableCaption"/>
      </w:pPr>
      <w:r>
        <w:t xml:space="preserve">Table C.3.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C.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r>
        <w:br w:type="page"/>
      </w:r>
    </w:p>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rPr>
          <w:b/>
          <w:bCs/>
        </w:rPr>
        <w:t xml:space="preserve">Table D.1: KCOR assumptions and corresponding diagnostics.</w:t>
      </w:r>
    </w:p>
    <w:p>
      <w:r>
        <w:br w:type="page"/>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p>
      <w:r>
        <w:br w:type="page"/>
      </w:r>
    </w:p>
    <w:bookmarkEnd w:id="193"/>
    <w:bookmarkStart w:id="199" w:name="appendix-a-mathematical-derivations"/>
    <w:p>
      <w:pPr>
        <w:pStyle w:val="Heading2"/>
      </w:pPr>
      <w:r>
        <w:t xml:space="preserve">Appendix A: Mathematical derivations</w:t>
      </w:r>
    </w:p>
    <w:bookmarkStart w:id="194" w:name="X949c457b8ec3518d2fcc001fd53881dea62bb28"/>
    <w:p>
      <w:pPr>
        <w:pStyle w:val="Heading3"/>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194"/>
    <w:bookmarkStart w:id="195" w:name="a.2-gamma-frailty-identity-derivation"/>
    <w:p>
      <w:pPr>
        <w:pStyle w:val="Heading3"/>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195"/>
    <w:bookmarkStart w:id="196" w:name="a.3-inversion-formula"/>
    <w:p>
      <w:pPr>
        <w:pStyle w:val="Heading3"/>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6"/>
    <w:bookmarkStart w:id="197" w:name="Xe62053e88c74ce3ce1f921b859f3d7be836aade"/>
    <w:p>
      <w:pPr>
        <w:pStyle w:val="Heading3"/>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7"/>
    <w:bookmarkStart w:id="198" w:name="a.4-variance-propagation-sketch"/>
    <w:p>
      <w:pPr>
        <w:pStyle w:val="Heading3"/>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(A.11)</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(A.12)</m:t>
          </m:r>
        </m:oMath>
      </m:oMathPara>
    </w:p>
    <w:p>
      <w:pPr>
        <w:pStyle w:val="FirstParagraph"/>
      </w:pPr>
      <w:r>
        <w:t xml:space="preserve">In practice, Monte Carlo resampling provides a more robust approach that captures uncertainty from both event realization and parameter estimation.</w:t>
      </w:r>
    </w:p>
    <w:bookmarkEnd w:id="198"/>
    <w:bookmarkEnd w:id="199"/>
    <w:bookmarkStart w:id="212" w:name="appendix-b-control-test-specifications"/>
    <w:p>
      <w:pPr>
        <w:pStyle w:val="Heading2"/>
      </w:pPr>
      <w:r>
        <w:t xml:space="preserve">Appendix B: Control-test specifications</w:t>
      </w:r>
    </w:p>
    <w:bookmarkStart w:id="200" w:name="X2180becb792c7366d1a2d9abe674c7e8eb8a3b6"/>
    <w:p>
      <w:pPr>
        <w:pStyle w:val="Heading3"/>
      </w:pPr>
      <w:r>
        <w:t xml:space="preserve">B.1 Negative control: synthetic gamma-frailty null</w:t>
      </w:r>
    </w:p>
    <w:p>
      <w:pPr>
        <w:pStyle w:val="FirstParagraph"/>
      </w:pPr>
      <w:r>
        <w:t xml:space="preserve">The synthetic negative control (Figure 4) is generated using:</w:t>
      </w:r>
    </w:p>
    <w:p>
      <w:pPr>
        <w:pStyle w:val="Compact"/>
        <w:numPr>
          <w:ilvl w:val="0"/>
          <w:numId w:val="103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5"/>
        </w:numPr>
      </w:pPr>
      <w:r>
        <w:rPr>
          <w:b/>
          <w:bCs/>
        </w:rPr>
        <w:t xml:space="preserve">Cohort A weights</w:t>
      </w:r>
      <w:r>
        <w:t xml:space="preserve">: Equal weights across 5 frailty groups (0.2 each)</w:t>
      </w:r>
    </w:p>
    <w:p>
      <w:pPr>
        <w:pStyle w:val="Compact"/>
        <w:numPr>
          <w:ilvl w:val="0"/>
          <w:numId w:val="1035"/>
        </w:numPr>
      </w:pPr>
      <w:r>
        <w:rPr>
          <w:b/>
          <w:bCs/>
        </w:rPr>
        <w:t xml:space="preserve">Cohort B weights</w:t>
      </w:r>
      <w:r>
        <w:t xml:space="preserve">: Shifted weights [0.30, 0.20, 0.20, 0.20, 0.10]</w:t>
      </w:r>
    </w:p>
    <w:p>
      <w:pPr>
        <w:pStyle w:val="Compact"/>
        <w:numPr>
          <w:ilvl w:val="0"/>
          <w:numId w:val="1035"/>
        </w:numPr>
      </w:pPr>
      <w:r>
        <w:rPr>
          <w:b/>
          <w:bCs/>
        </w:rPr>
        <w:t xml:space="preserve">Frailty values</w:t>
      </w:r>
      <w:r>
        <w:t xml:space="preserve">: [1, 2, 4, 6, 10] (relative frailty multipliers)</w:t>
      </w:r>
    </w:p>
    <w:p>
      <w:pPr>
        <w:pStyle w:val="Compact"/>
        <w:numPr>
          <w:ilvl w:val="0"/>
          <w:numId w:val="1035"/>
        </w:numPr>
      </w:pPr>
      <w:r>
        <w:rPr>
          <w:b/>
          <w:bCs/>
        </w:rPr>
        <w:t xml:space="preserve">Base weekly probability</w:t>
      </w:r>
      <w:r>
        <w:t xml:space="preserve">: 0.01</w:t>
      </w:r>
    </w:p>
    <w:p>
      <w:pPr>
        <w:pStyle w:val="Compact"/>
        <w:numPr>
          <w:ilvl w:val="0"/>
          <w:numId w:val="1035"/>
        </w:numPr>
      </w:pPr>
      <w:r>
        <w:rPr>
          <w:b/>
          <w:bCs/>
        </w:rPr>
        <w:t xml:space="preserve">Weekly log-slope</w:t>
      </w:r>
      <w:r>
        <w:t xml:space="preserve">: 0.0 (constant baseline during quiet periods)</w:t>
      </w:r>
    </w:p>
    <w:p>
      <w:pPr>
        <w:pStyle w:val="Compact"/>
        <w:numPr>
          <w:ilvl w:val="0"/>
          <w:numId w:val="1035"/>
        </w:numPr>
      </w:pPr>
      <w:r>
        <w:rPr>
          <w:b/>
          <w:bCs/>
        </w:rPr>
        <w:t xml:space="preserve">Skip weeks</w:t>
      </w:r>
      <w:r>
        <w:t xml:space="preserve">: 2</w:t>
      </w:r>
    </w:p>
    <w:p>
      <w:pPr>
        <w:pStyle w:val="Compact"/>
        <w:numPr>
          <w:ilvl w:val="0"/>
          <w:numId w:val="1035"/>
        </w:numPr>
      </w:pPr>
      <w:r>
        <w:rPr>
          <w:b/>
          <w:bCs/>
        </w:rPr>
        <w:t xml:space="preserve">Normalization weeks</w:t>
      </w:r>
      <w:r>
        <w:t xml:space="preserve">: 4</w:t>
      </w:r>
    </w:p>
    <w:p>
      <w:pPr>
        <w:pStyle w:val="Compact"/>
        <w:numPr>
          <w:ilvl w:val="0"/>
          <w:numId w:val="103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0"/>
    <w:bookmarkStart w:id="201" w:name="X6ca5a97e85e9ee460a15280db933ceb5c1ed112"/>
    <w:p>
      <w:pPr>
        <w:pStyle w:val="Heading3"/>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6"/>
        </w:numPr>
      </w:pPr>
      <w:r>
        <w:rPr>
          <w:b/>
          <w:bCs/>
        </w:rPr>
        <w:t xml:space="preserve">Data source</w:t>
      </w:r>
      <w:r>
        <w:t xml:space="preserve">: Czech Republic administrative mortality and vaccination data, aggregated into KCOR_CMR format</w:t>
      </w:r>
    </w:p>
    <w:p>
      <w:pPr>
        <w:pStyle w:val="Compact"/>
        <w:numPr>
          <w:ilvl w:val="0"/>
          <w:numId w:val="103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6"/>
        </w:numPr>
      </w:pPr>
      <w:r>
        <w:rPr>
          <w:b/>
          <w:bCs/>
        </w:rPr>
        <w:t xml:space="preserve">Construction</w:t>
      </w:r>
      <w:r>
        <w:t xml:space="preserve">: Age strata remapped to pseudo-doses within same vaccination category</w:t>
      </w:r>
    </w:p>
    <w:p>
      <w:pPr>
        <w:pStyle w:val="Compact"/>
        <w:numPr>
          <w:ilvl w:val="0"/>
          <w:numId w:val="1036"/>
        </w:numPr>
      </w:pPr>
      <w:r>
        <w:rPr>
          <w:b/>
          <w:bCs/>
        </w:rPr>
        <w:t xml:space="preserve">Age mapping</w:t>
      </w:r>
      <w:r>
        <w:t xml:space="preserve">:</w:t>
      </w:r>
    </w:p>
    <w:p>
      <w:pPr>
        <w:pStyle w:val="Compact"/>
        <w:numPr>
          <w:ilvl w:val="1"/>
          <w:numId w:val="1037"/>
        </w:numPr>
      </w:pPr>
      <w:r>
        <w:t xml:space="preserve">Dose 0 → YoB {1930, 1935}</w:t>
      </w:r>
    </w:p>
    <w:p>
      <w:pPr>
        <w:pStyle w:val="Compact"/>
        <w:numPr>
          <w:ilvl w:val="1"/>
          <w:numId w:val="1037"/>
        </w:numPr>
      </w:pPr>
      <w:r>
        <w:t xml:space="preserve">Dose 1 → YoB {1940, 1945}</w:t>
      </w:r>
    </w:p>
    <w:p>
      <w:pPr>
        <w:pStyle w:val="Compact"/>
        <w:numPr>
          <w:ilvl w:val="1"/>
          <w:numId w:val="1037"/>
        </w:numPr>
      </w:pPr>
      <w:r>
        <w:t xml:space="preserve">Dose 2 → YoB {1950, 1955}</w:t>
      </w:r>
    </w:p>
    <w:p>
      <w:pPr>
        <w:pStyle w:val="Compact"/>
        <w:numPr>
          <w:ilvl w:val="0"/>
          <w:numId w:val="1036"/>
        </w:numPr>
      </w:pPr>
      <w:r>
        <w:rPr>
          <w:b/>
          <w:bCs/>
        </w:rPr>
        <w:t xml:space="preserve">Output YoB</w:t>
      </w:r>
      <w:r>
        <w:t xml:space="preserve">: Fixed at 1950 (unvax cohort) or 1940 (vax cohort)</w:t>
      </w:r>
    </w:p>
    <w:p>
      <w:pPr>
        <w:pStyle w:val="Compact"/>
        <w:numPr>
          <w:ilvl w:val="0"/>
          <w:numId w:val="103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1"/>
    <w:bookmarkStart w:id="202" w:name="b.3-positive-control-injected-effect"/>
    <w:p>
      <w:pPr>
        <w:pStyle w:val="Heading3"/>
      </w:pPr>
      <w:r>
        <w:t xml:space="preserve">B.3 Positive control: injected effect</w:t>
      </w:r>
    </w:p>
    <w:p>
      <w:pPr>
        <w:pStyle w:val="FirstParagraph"/>
      </w:pPr>
      <w:r>
        <w:t xml:space="preserve">The positive control (Figure 7 and Table 8) is generated using:</w:t>
      </w:r>
    </w:p>
    <w:p>
      <w:pPr>
        <w:pStyle w:val="Compact"/>
        <w:numPr>
          <w:ilvl w:val="0"/>
          <w:numId w:val="103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8"/>
        </w:numPr>
      </w:pPr>
      <w:r>
        <w:rPr>
          <w:b/>
          <w:bCs/>
        </w:rPr>
        <w:t xml:space="preserve">Initial cohort size</w:t>
      </w:r>
      <w:r>
        <w:t xml:space="preserve">: 100,000 per cohort</w:t>
      </w:r>
    </w:p>
    <w:p>
      <w:pPr>
        <w:pStyle w:val="Compact"/>
        <w:numPr>
          <w:ilvl w:val="0"/>
          <w:numId w:val="1038"/>
        </w:numPr>
      </w:pPr>
      <w:r>
        <w:rPr>
          <w:b/>
          <w:bCs/>
        </w:rPr>
        <w:t xml:space="preserve">Baseline hazard</w:t>
      </w:r>
      <w:r>
        <w:t xml:space="preserve">: 0.002 per week</w:t>
      </w:r>
    </w:p>
    <w:p>
      <w:pPr>
        <w:pStyle w:val="Compact"/>
        <w:numPr>
          <w:ilvl w:val="0"/>
          <w:numId w:val="103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8"/>
        </w:numPr>
      </w:pPr>
      <w:r>
        <w:rPr>
          <w:b/>
          <w:bCs/>
        </w:rPr>
        <w:t xml:space="preserve">Effect window</w:t>
      </w:r>
      <w:r>
        <w:t xml:space="preserve">: weeks 20–80</w:t>
      </w:r>
    </w:p>
    <w:p>
      <w:pPr>
        <w:pStyle w:val="Compact"/>
        <w:numPr>
          <w:ilvl w:val="0"/>
          <w:numId w:val="1038"/>
        </w:numPr>
      </w:pPr>
      <w:r>
        <w:rPr>
          <w:b/>
          <w:bCs/>
        </w:rPr>
        <w:t xml:space="preserve">Hazard multipliers</w:t>
      </w:r>
      <w:r>
        <w:t xml:space="preserve">:</w:t>
      </w:r>
    </w:p>
    <w:p>
      <w:pPr>
        <w:pStyle w:val="Compact"/>
        <w:numPr>
          <w:ilvl w:val="1"/>
          <w:numId w:val="1039"/>
        </w:numPr>
      </w:pPr>
      <w:r>
        <w:t xml:space="preserve">Harm scenario:</w:t>
      </w:r>
      <w:r>
        <w:t xml:space="preserve"> </w:t>
      </w:r>
      <m:oMath>
        <m:r>
          <m:t>r</m:t>
        </m:r>
        <m:r>
          <m:rPr>
            <m:sty m:val="p"/>
          </m:rPr>
          <m:t>=</m:t>
        </m:r>
        <m:r>
          <m:t>1.2</m:t>
        </m:r>
      </m:oMath>
    </w:p>
    <w:p>
      <w:pPr>
        <w:pStyle w:val="Compact"/>
        <w:numPr>
          <w:ilvl w:val="1"/>
          <w:numId w:val="1039"/>
        </w:numPr>
      </w:pPr>
      <w:r>
        <w:t xml:space="preserve">Benefit scenario:</w:t>
      </w:r>
      <w:r>
        <w:t xml:space="preserve"> </w:t>
      </w:r>
      <m:oMath>
        <m:r>
          <m:t>r</m:t>
        </m:r>
        <m:r>
          <m:rPr>
            <m:sty m:val="p"/>
          </m:rPr>
          <m:t>=</m:t>
        </m:r>
        <m:r>
          <m:t>0.8</m:t>
        </m:r>
      </m:oMath>
    </w:p>
    <w:p>
      <w:pPr>
        <w:pStyle w:val="Compact"/>
        <w:numPr>
          <w:ilvl w:val="0"/>
          <w:numId w:val="1038"/>
        </w:numPr>
      </w:pPr>
      <w:r>
        <w:rPr>
          <w:b/>
          <w:bCs/>
        </w:rPr>
        <w:t xml:space="preserve">Random seed</w:t>
      </w:r>
      <w:r>
        <w:t xml:space="preserve">: 42</w:t>
      </w:r>
    </w:p>
    <w:p>
      <w:pPr>
        <w:pStyle w:val="Compact"/>
        <w:numPr>
          <w:ilvl w:val="0"/>
          <w:numId w:val="103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2"/>
    <w:bookmarkStart w:id="203" w:name="b.4-sensitivity-analysis-parameters"/>
    <w:p>
      <w:pPr>
        <w:pStyle w:val="Heading3"/>
      </w:pPr>
      <w:r>
        <w:t xml:space="preserve">B.4 Sensitivity analysis parameters</w:t>
      </w:r>
    </w:p>
    <w:p>
      <w:pPr>
        <w:pStyle w:val="FirstParagraph"/>
      </w:pPr>
      <w:r>
        <w:t xml:space="preserve">The sensitivity analysis (Figure 8) varies:</w:t>
      </w:r>
    </w:p>
    <w:p>
      <w:pPr>
        <w:pStyle w:val="Compact"/>
        <w:numPr>
          <w:ilvl w:val="0"/>
          <w:numId w:val="1040"/>
        </w:numPr>
      </w:pPr>
      <w:r>
        <w:rPr>
          <w:b/>
          <w:bCs/>
        </w:rPr>
        <w:t xml:space="preserve">Baseline weeks</w:t>
      </w:r>
      <w:r>
        <w:t xml:space="preserve">: [2, 3, 4, 5, 6, 7, 8]</w:t>
      </w:r>
    </w:p>
    <w:p>
      <w:pPr>
        <w:pStyle w:val="Compact"/>
        <w:numPr>
          <w:ilvl w:val="0"/>
          <w:numId w:val="1040"/>
        </w:numPr>
      </w:pPr>
      <w:r>
        <w:rPr>
          <w:b/>
          <w:bCs/>
        </w:rPr>
        <w:t xml:space="preserve">Quiet-start offsets</w:t>
      </w:r>
      <w:r>
        <w:t xml:space="preserve">: [-12, -8, -4, 0, +4, +8, +12] weeks from 2023-01</w:t>
      </w:r>
    </w:p>
    <w:p>
      <w:pPr>
        <w:pStyle w:val="Compact"/>
        <w:numPr>
          <w:ilvl w:val="0"/>
          <w:numId w:val="1040"/>
        </w:numPr>
      </w:pPr>
      <w:r>
        <w:rPr>
          <w:b/>
          <w:bCs/>
        </w:rPr>
        <w:t xml:space="preserve">Quiet-window end</w:t>
      </w:r>
      <w:r>
        <w:t xml:space="preserve">: Fixed at 2023-52</w:t>
      </w:r>
    </w:p>
    <w:p>
      <w:pPr>
        <w:pStyle w:val="Compact"/>
        <w:numPr>
          <w:ilvl w:val="0"/>
          <w:numId w:val="1040"/>
        </w:numPr>
      </w:pPr>
      <w:r>
        <w:rPr>
          <w:b/>
          <w:bCs/>
        </w:rPr>
        <w:t xml:space="preserve">Dose pairs</w:t>
      </w:r>
      <w:r>
        <w:t xml:space="preserve">: 1 vs 0, 2 vs 0, 2 vs 1</w:t>
      </w:r>
    </w:p>
    <w:p>
      <w:pPr>
        <w:pStyle w:val="Compact"/>
        <w:numPr>
          <w:ilvl w:val="0"/>
          <w:numId w:val="1040"/>
        </w:numPr>
      </w:pPr>
      <w:r>
        <w:rPr>
          <w:b/>
          <w:bCs/>
        </w:rPr>
        <w:t xml:space="preserve">Cohorts</w:t>
      </w:r>
      <w:r>
        <w:t xml:space="preserve">: 2021_24</w:t>
      </w:r>
    </w:p>
    <w:p>
      <w:pPr>
        <w:pStyle w:val="FirstParagraph"/>
      </w:pPr>
      <w:r>
        <w:t xml:space="preserve">Output grids show KCOR(t) values for each parameter combination.</w:t>
      </w:r>
    </w:p>
    <w:bookmarkEnd w:id="203"/>
    <w:bookmarkStart w:id="204" w:name="Xbd1462ff0bc513130e3b940479c9db4fb357ab5"/>
    <w:p>
      <w:pPr>
        <w:pStyle w:val="Heading3"/>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41"/>
        </w:numPr>
      </w:pPr>
      <w:r>
        <w:rPr>
          <w:b/>
          <w:bCs/>
        </w:rPr>
        <w:t xml:space="preserve">Mid-sampled cohort</w:t>
      </w:r>
      <w:r>
        <w:t xml:space="preserve">: frailty restricted to central quantiles (e.g., 25th–75th percentile) and renormalized to mean 1.</w:t>
      </w:r>
    </w:p>
    <w:p>
      <w:pPr>
        <w:pStyle w:val="Compact"/>
        <w:numPr>
          <w:ilvl w:val="0"/>
          <w:numId w:val="104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2"/>
        </w:numPr>
      </w:pPr>
      <w:r>
        <w:rPr>
          <w:b/>
          <w:bCs/>
        </w:rPr>
        <w:t xml:space="preserve">Base frailty distribution</w:t>
      </w:r>
      <w:r>
        <w:t xml:space="preserve">: Log-normal with mean 1, variance 0.5</w:t>
      </w:r>
    </w:p>
    <w:p>
      <w:pPr>
        <w:pStyle w:val="Compact"/>
        <w:numPr>
          <w:ilvl w:val="0"/>
          <w:numId w:val="1042"/>
        </w:numPr>
      </w:pPr>
      <w:r>
        <w:rPr>
          <w:b/>
          <w:bCs/>
        </w:rPr>
        <w:t xml:space="preserve">Mid-quantile cohort</w:t>
      </w:r>
      <w:r>
        <w:t xml:space="preserve">: 25th–75th percentile</w:t>
      </w:r>
    </w:p>
    <w:p>
      <w:pPr>
        <w:pStyle w:val="Compact"/>
        <w:numPr>
          <w:ilvl w:val="0"/>
          <w:numId w:val="1042"/>
        </w:numPr>
      </w:pPr>
      <w:r>
        <w:rPr>
          <w:b/>
          <w:bCs/>
        </w:rPr>
        <w:t xml:space="preserve">Tail-mixture cohort</w:t>
      </w:r>
      <w:r>
        <w:t xml:space="preserve">: [0–15th] + [85th–100th] percentiles, equal weights</w:t>
      </w:r>
    </w:p>
    <w:p>
      <w:pPr>
        <w:pStyle w:val="Compact"/>
        <w:numPr>
          <w:ilvl w:val="0"/>
          <w:numId w:val="1042"/>
        </w:numPr>
      </w:pPr>
      <w:r>
        <w:rPr>
          <w:b/>
          <w:bCs/>
        </w:rPr>
        <w:t xml:space="preserve">Baseline hazard</w:t>
      </w:r>
      <w:r>
        <w:t xml:space="preserve">: 0.002 per week (constant)</w:t>
      </w:r>
    </w:p>
    <w:p>
      <w:pPr>
        <w:pStyle w:val="Compact"/>
        <w:numPr>
          <w:ilvl w:val="0"/>
          <w:numId w:val="104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2"/>
        </w:numPr>
      </w:pPr>
      <w:r>
        <w:rPr>
          <w:b/>
          <w:bCs/>
        </w:rPr>
        <w:t xml:space="preserve">Effect window</w:t>
      </w:r>
      <w:r>
        <w:t xml:space="preserve">: weeks 20–80</w:t>
      </w:r>
    </w:p>
    <w:p>
      <w:pPr>
        <w:pStyle w:val="Compact"/>
        <w:numPr>
          <w:ilvl w:val="0"/>
          <w:numId w:val="1042"/>
        </w:numPr>
      </w:pPr>
      <w:r>
        <w:rPr>
          <w:b/>
          <w:bCs/>
        </w:rPr>
        <w:t xml:space="preserve">Random seed</w:t>
      </w:r>
      <w:r>
        <w:t xml:space="preserve">: 42</w:t>
      </w:r>
    </w:p>
    <w:bookmarkEnd w:id="204"/>
    <w:bookmarkStart w:id="211" w:name="X3015f8ef00f2c60a61b881605023dd43c1dd17f"/>
    <w:p>
      <w:pPr>
        <w:pStyle w:val="Heading3"/>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5" w:name="design"/>
    <w:p>
      <w:pPr>
        <w:pStyle w:val="Heading4"/>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5"/>
    <w:bookmarkStart w:id="206" w:name="frailty-structure"/>
    <w:p>
      <w:pPr>
        <w:pStyle w:val="Heading4"/>
      </w:pPr>
      <w:r>
        <w:t xml:space="preserve">Frailty structure</w:t>
      </w:r>
    </w:p>
    <w:p>
      <w:pPr>
        <w:pStyle w:val="Compact"/>
        <w:numPr>
          <w:ilvl w:val="0"/>
          <w:numId w:val="104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6"/>
    <w:bookmarkStart w:id="207" w:name="treatment-effect"/>
    <w:p>
      <w:pPr>
        <w:pStyle w:val="Heading4"/>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4"/>
        </w:numPr>
      </w:pPr>
      <w:r>
        <w:t xml:space="preserve">Step change (constant multiplicative factor),</w:t>
      </w:r>
    </w:p>
    <w:p>
      <w:pPr>
        <w:pStyle w:val="Compact"/>
        <w:numPr>
          <w:ilvl w:val="0"/>
          <w:numId w:val="1044"/>
        </w:numPr>
      </w:pPr>
      <w:r>
        <w:t xml:space="preserve">Linear ramp,</w:t>
      </w:r>
    </w:p>
    <w:p>
      <w:pPr>
        <w:pStyle w:val="Compact"/>
        <w:numPr>
          <w:ilvl w:val="0"/>
          <w:numId w:val="104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7"/>
    <w:bookmarkStart w:id="208" w:name="quiet-period-and-estimation"/>
    <w:p>
      <w:pPr>
        <w:pStyle w:val="Heading4"/>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8"/>
    <w:bookmarkStart w:id="209" w:name="evaluation-criteria"/>
    <w:p>
      <w:pPr>
        <w:pStyle w:val="Heading4"/>
      </w:pPr>
      <w:r>
        <w:t xml:space="preserve">Evaluation criteria</w:t>
      </w:r>
    </w:p>
    <w:p>
      <w:pPr>
        <w:pStyle w:val="FirstParagraph"/>
      </w:pPr>
      <w:r>
        <w:t xml:space="preserve">The simulation is considered successful if:</w:t>
      </w:r>
    </w:p>
    <w:p>
      <w:pPr>
        <w:pStyle w:val="Compact"/>
        <w:numPr>
          <w:ilvl w:val="0"/>
          <w:numId w:val="1045"/>
        </w:numPr>
      </w:pPr>
      <w:r>
        <w:t xml:space="preserve">KCOR(t) remains approximately flat and near unity during the quiet window,</w:t>
      </w:r>
    </w:p>
    <w:p>
      <w:pPr>
        <w:pStyle w:val="Compact"/>
        <w:numPr>
          <w:ilvl w:val="0"/>
          <w:numId w:val="1045"/>
        </w:numPr>
      </w:pPr>
      <w:r>
        <w:t xml:space="preserve">KCOR(t) deviates in the correct direction and magnitude during the treatment window,</w:t>
      </w:r>
    </w:p>
    <w:p>
      <w:pPr>
        <w:pStyle w:val="Compact"/>
        <w:numPr>
          <w:ilvl w:val="0"/>
          <w:numId w:val="104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9"/>
    <w:bookmarkStart w:id="210" w:name="interpretation"/>
    <w:p>
      <w:pPr>
        <w:pStyle w:val="Heading4"/>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0"/>
    <w:bookmarkEnd w:id="211"/>
    <w:bookmarkEnd w:id="212"/>
    <w:bookmarkStart w:id="234" w:name="Xa23f995a6567bd855fb6db81f1cb494037ce072"/>
    <w:p>
      <w:pPr>
        <w:pStyle w:val="Heading2"/>
      </w:pPr>
      <w:r>
        <w:t xml:space="preserve">Appendix C: Additional figures and diagnostics</w:t>
      </w:r>
    </w:p>
    <w:bookmarkStart w:id="213" w:name="c.1-fit-diagnostics"/>
    <w:p>
      <w:pPr>
        <w:pStyle w:val="Heading3"/>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6"/>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3"/>
    <w:bookmarkStart w:id="214" w:name="c.2-residual-analysis"/>
    <w:p>
      <w:pPr>
        <w:pStyle w:val="Heading3"/>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4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7"/>
        </w:numPr>
      </w:pPr>
      <w:r>
        <w:rPr>
          <w:b/>
          <w:bCs/>
        </w:rPr>
        <w:t xml:space="preserve">Outliers</w:t>
      </w:r>
      <w:r>
        <w:t xml:space="preserve">: Individual weeks with large residuals may indicate data quality issues or external shocks.</w:t>
      </w:r>
    </w:p>
    <w:p>
      <w:pPr>
        <w:pStyle w:val="Compact"/>
        <w:numPr>
          <w:ilvl w:val="0"/>
          <w:numId w:val="1047"/>
        </w:numPr>
      </w:pPr>
      <w:r>
        <w:rPr>
          <w:b/>
          <w:bCs/>
        </w:rPr>
        <w:t xml:space="preserve">Autocorrelation</w:t>
      </w:r>
      <w:r>
        <w:t xml:space="preserve">: Strong autocorrelation in residuals suggests the model is missing time-varying structure.</w:t>
      </w:r>
    </w:p>
    <w:bookmarkEnd w:id="214"/>
    <w:bookmarkStart w:id="215" w:name="c.3-parameter-stability-checks"/>
    <w:p>
      <w:pPr>
        <w:pStyle w:val="Heading3"/>
      </w:pPr>
      <w:r>
        <w:t xml:space="preserve">C.3 Parameter stability checks</w:t>
      </w:r>
    </w:p>
    <w:p>
      <w:pPr>
        <w:pStyle w:val="FirstParagraph"/>
      </w:pPr>
      <w:r>
        <w:t xml:space="preserve">Robustness of fitted parameters should be assessed by:</w:t>
      </w:r>
    </w:p>
    <w:p>
      <w:pPr>
        <w:pStyle w:val="Compact"/>
        <w:numPr>
          <w:ilvl w:val="0"/>
          <w:numId w:val="1048"/>
        </w:numPr>
      </w:pPr>
      <w:r>
        <w:rPr>
          <w:b/>
          <w:bCs/>
        </w:rPr>
        <w:t xml:space="preserve">Quiet-window perturbation</w:t>
      </w:r>
      <w:r>
        <w:t xml:space="preserve">: Shift the quiet-window start/end by ±4 weeks and re-fit. Stable parameters should vary by &lt; 10%.</w:t>
      </w:r>
    </w:p>
    <w:p>
      <w:pPr>
        <w:pStyle w:val="Compact"/>
        <w:numPr>
          <w:ilvl w:val="0"/>
          <w:numId w:val="1048"/>
        </w:numPr>
      </w:pPr>
      <w:r>
        <w:rPr>
          <w:b/>
          <w:bCs/>
        </w:rPr>
        <w:t xml:space="preserve">Skip-weeks sensitivity</w:t>
      </w:r>
      <w:r>
        <w:t xml:space="preserve">: Vary SKIP_WEEKS from 0 to 8 and verify KCOR(t) trajectories remain qualitatively similar.</w:t>
      </w:r>
    </w:p>
    <w:p>
      <w:pPr>
        <w:pStyle w:val="Compact"/>
        <w:numPr>
          <w:ilvl w:val="0"/>
          <w:numId w:val="1048"/>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5"/>
    <w:bookmarkStart w:id="216" w:name="c.4-quiet-window-overlay-plots"/>
    <w:p>
      <w:pPr>
        <w:pStyle w:val="Heading3"/>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9"/>
        </w:numPr>
      </w:pPr>
      <w:r>
        <w:t xml:space="preserve">Avoid major epidemic waves or external mortality shocks</w:t>
      </w:r>
    </w:p>
    <w:p>
      <w:pPr>
        <w:pStyle w:val="Compact"/>
        <w:numPr>
          <w:ilvl w:val="0"/>
          <w:numId w:val="1049"/>
        </w:numPr>
      </w:pPr>
      <w:r>
        <w:t xml:space="preserve">Contain sufficient event counts for stable estimation</w:t>
      </w:r>
    </w:p>
    <w:p>
      <w:pPr>
        <w:pStyle w:val="Compact"/>
        <w:numPr>
          <w:ilvl w:val="0"/>
          <w:numId w:val="104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6"/>
    <w:bookmarkStart w:id="226" w:name="c.5-robustness-to-age-stratification"/>
    <w:p>
      <w:pPr>
        <w:pStyle w:val="Heading3"/>
      </w:pPr>
      <w:r>
        <w:t xml:space="preserve">C.5 Robustness to age stratification</w:t>
      </w:r>
    </w:p>
    <w:p>
      <w:pPr>
        <w:pStyle w:val="CaptionedFigure"/>
      </w:pPr>
      <w:r>
        <w:drawing>
          <wp:inline>
            <wp:extent cx="5334000" cy="3078759"/>
            <wp:effectExtent b="0" l="0" r="0" t="0"/>
            <wp:docPr descr="Figure C.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8" name="Picture"/>
            <a:graphic>
              <a:graphicData uri="http://schemas.openxmlformats.org/drawingml/2006/picture">
                <pic:pic>
                  <pic:nvPicPr>
                    <pic:cNvPr descr="figures/supplement/kcor_realdata_yob1930_enroll2022w26_eval2023.png" id="219" name="Picture"/>
                    <pic:cNvPicPr>
                      <a:picLocks noChangeArrowheads="1" noChangeAspect="1"/>
                    </pic:cNvPicPr>
                  </pic:nvPicPr>
                  <pic:blipFill>
                    <a:blip r:embed="rId21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C.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1" name="Picture"/>
            <a:graphic>
              <a:graphicData uri="http://schemas.openxmlformats.org/drawingml/2006/picture">
                <pic:pic>
                  <pic:nvPicPr>
                    <pic:cNvPr descr="figures/supplement/kcor_realdata_yob1940_enroll2022w26_eval2023.png" id="222" name="Picture"/>
                    <pic:cNvPicPr>
                      <a:picLocks noChangeArrowheads="1" noChangeAspect="1"/>
                    </pic:cNvPicPr>
                  </pic:nvPicPr>
                  <pic:blipFill>
                    <a:blip r:embed="rId22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C.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4" name="Picture"/>
            <a:graphic>
              <a:graphicData uri="http://schemas.openxmlformats.org/drawingml/2006/picture">
                <pic:pic>
                  <pic:nvPicPr>
                    <pic:cNvPr descr="figures/supplement/kcor_realdata_yob1950_enroll2022w26_eval2023.png" id="225" name="Picture"/>
                    <pic:cNvPicPr>
                      <a:picLocks noChangeArrowheads="1" noChangeAspect="1"/>
                    </pic:cNvPicPr>
                  </pic:nvPicPr>
                  <pic:blipFill>
                    <a:blip r:embed="rId22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6"/>
    <w:bookmarkStart w:id="227" w:name="X5005ae36911b56dc3a962ec275b6985cf0735b2"/>
    <w:p>
      <w:pPr>
        <w:pStyle w:val="Heading3"/>
      </w:pPr>
      <w:r>
        <w:t xml:space="preserve">C.6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End w:id="227"/>
    <w:bookmarkStart w:id="228" w:name="X48172d6f72091d7f399c6d94e04aceb15a67599"/>
    <w:p>
      <w:pPr>
        <w:pStyle w:val="Heading3"/>
      </w:pPr>
      <w:r>
        <w:t xml:space="preserve">C.6.1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8"/>
    <w:bookmarkStart w:id="229" w:name="X1195eb45347772bff719ce325b2e222b78eea18"/>
    <w:p>
      <w:pPr>
        <w:pStyle w:val="Heading3"/>
      </w:pPr>
      <w:r>
        <w:t xml:space="preserve">C.6.2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Table C.2 summarizes these diagnostic checks across age strata.</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C.1 demonstrates selection-induced heterogeneity, unadjusted cumulative outcome contrasts are expected to conflate depletion effects with any true treatment differences; see Table C.3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229"/>
    <w:bookmarkStart w:id="233" w:name="Xfd9d0e6e00b0a9fda84efde237c0f212c2526eb"/>
    <w:p>
      <w:pPr>
        <w:pStyle w:val="Heading3"/>
      </w:pPr>
      <w:r>
        <w:t xml:space="preserve">C.6.3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C.4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C.1–C.3.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C.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1" name="Picture"/>
            <a:graphic>
              <a:graphicData uri="http://schemas.openxmlformats.org/drawingml/2006/picture">
                <pic:pic>
                  <pic:nvPicPr>
                    <pic:cNvPr descr="figures/kcor_realdata_allages_enroll2022w26_eval2023.png" id="232" name="Picture"/>
                    <pic:cNvPicPr>
                      <a:picLocks noChangeArrowheads="1" noChangeAspect="1"/>
                    </pic:cNvPicPr>
                  </pic:nvPicPr>
                  <pic:blipFill>
                    <a:blip r:embed="rId23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33"/>
    <w:bookmarkEnd w:id="234"/>
    <w:bookmarkStart w:id="243" w:name="X69b5e35053b6e4d59eb22647dfb47df86b0bc52"/>
    <w:p>
      <w:pPr>
        <w:pStyle w:val="Heading2"/>
      </w:pPr>
      <w:r>
        <w:t xml:space="preserve">Appendix D: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pPr>
        <w:pStyle w:val="BodyText"/>
      </w:pPr>
      <w:r>
        <w:t xml:space="preserve">A compact summary mapping each assumption to its corresponding diagnostic signals and recommended actions is provided in Table D.1.</w:t>
      </w:r>
    </w:p>
    <w:bookmarkStart w:id="235" w:name="Xe3738a2c16164a2ac95ac03928e5c7877b0667e"/>
    <w:p>
      <w:pPr>
        <w:pStyle w:val="Heading3"/>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50"/>
        </w:numPr>
      </w:pPr>
      <w:r>
        <w:t xml:space="preserve">Inconsistencies in cohort risk sets (e.g., unexplained increases in at-risk counts).</w:t>
      </w:r>
    </w:p>
    <w:p>
      <w:pPr>
        <w:pStyle w:val="Compact"/>
        <w:numPr>
          <w:ilvl w:val="0"/>
          <w:numId w:val="1050"/>
        </w:numPr>
      </w:pPr>
      <w:r>
        <w:t xml:space="preserve">Early-time hazard suppression or inflation inconsistent with selection or depletion geometry.</w:t>
      </w:r>
    </w:p>
    <w:p>
      <w:pPr>
        <w:pStyle w:val="Compact"/>
        <w:numPr>
          <w:ilvl w:val="0"/>
          <w:numId w:val="1050"/>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5"/>
    <w:bookmarkStart w:id="236" w:name="X39f360dcd9bb0e6d00df4e123204743a8bdbf2a"/>
    <w:p>
      <w:pPr>
        <w:pStyle w:val="Heading3"/>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51"/>
        </w:numPr>
      </w:pPr>
      <w:r>
        <w:t xml:space="preserve">Calendar-time hazard spikes or drops that appear in only one cohort.</w:t>
      </w:r>
    </w:p>
    <w:p>
      <w:pPr>
        <w:pStyle w:val="Compact"/>
        <w:numPr>
          <w:ilvl w:val="0"/>
          <w:numId w:val="1051"/>
        </w:numPr>
      </w:pPr>
      <w:r>
        <w:t xml:space="preserve">Misalignment of major mortality shocks (e.g., epidemic waves) across cohorts.</w:t>
      </w:r>
    </w:p>
    <w:p>
      <w:pPr>
        <w:pStyle w:val="Compact"/>
        <w:numPr>
          <w:ilvl w:val="0"/>
          <w:numId w:val="1051"/>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36"/>
    <w:bookmarkStart w:id="237" w:name="X681d6c8e66603a33484a5fa5b4d7675a7826b35"/>
    <w:p>
      <w:pPr>
        <w:pStyle w:val="Heading3"/>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2"/>
        </w:numPr>
      </w:pPr>
      <w:r>
        <w:t xml:space="preserve">Strongly structured residuals in cumulative-hazard space inconsistent with depletion.</w:t>
      </w:r>
    </w:p>
    <w:p>
      <w:pPr>
        <w:pStyle w:val="Compact"/>
        <w:numPr>
          <w:ilvl w:val="0"/>
          <w:numId w:val="1052"/>
        </w:numPr>
      </w:pPr>
      <w:r>
        <w:t xml:space="preserve">Instability of fitted frailty parameters not attributable to window placement.</w:t>
      </w:r>
    </w:p>
    <w:p>
      <w:pPr>
        <w:pStyle w:val="Compact"/>
        <w:numPr>
          <w:ilvl w:val="0"/>
          <w:numId w:val="1052"/>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37"/>
    <w:bookmarkStart w:id="238" w:name="X810b9431575fbeab7b91f5a140a669b822d9eaf"/>
    <w:p>
      <w:pPr>
        <w:pStyle w:val="Heading3"/>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3"/>
        </w:numPr>
      </w:pPr>
      <w:r>
        <w:t xml:space="preserve">Poor fit of the gamma-frailty cumulative-hazard model during the quiet window.</w:t>
      </w:r>
    </w:p>
    <w:p>
      <w:pPr>
        <w:pStyle w:val="Compact"/>
        <w:numPr>
          <w:ilvl w:val="0"/>
          <w:numId w:val="1053"/>
        </w:numPr>
      </w:pPr>
      <w:r>
        <w:t xml:space="preserve">Systematic residual curvature after frailty normalization.</w:t>
      </w:r>
    </w:p>
    <w:p>
      <w:pPr>
        <w:pStyle w:val="Compact"/>
        <w:numPr>
          <w:ilvl w:val="0"/>
          <w:numId w:val="1053"/>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can degrade visibly through poor fit and residual curvature. Such behavior indicates model inadequacy rather than supporting alternative interpretation.</w:t>
      </w:r>
    </w:p>
    <w:bookmarkEnd w:id="238"/>
    <w:bookmarkStart w:id="239" w:name="Xcaaaf1aa538be62697c3926e555dd3ad2ffc5b5"/>
    <w:p>
      <w:pPr>
        <w:pStyle w:val="Heading3"/>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4"/>
        </w:numPr>
      </w:pPr>
      <w:r>
        <w:t xml:space="preserve">Failure of KCOR(t) trajectories to stabilize or asymptote following frailty normalization.</w:t>
      </w:r>
    </w:p>
    <w:p>
      <w:pPr>
        <w:pStyle w:val="Compact"/>
        <w:numPr>
          <w:ilvl w:val="0"/>
          <w:numId w:val="1054"/>
        </w:numPr>
      </w:pPr>
      <w:r>
        <w:t xml:space="preserve">Persistent nonzero slope in KCOR(t), indicating residual curvature after normalization.</w:t>
      </w:r>
    </w:p>
    <w:p>
      <w:pPr>
        <w:pStyle w:val="Compact"/>
        <w:numPr>
          <w:ilvl w:val="0"/>
          <w:numId w:val="1054"/>
        </w:numPr>
      </w:pPr>
      <w:r>
        <w:t xml:space="preserve">Instability of fitted frailty parameters (</w:t>
      </w:r>
      <m:oMath>
        <m:r>
          <m:t>θ</m:t>
        </m:r>
      </m:oMath>
      <w:r>
        <w:t xml:space="preserve">) under small perturbations of quiet-window boundaries.</w:t>
      </w:r>
    </w:p>
    <w:p>
      <w:pPr>
        <w:pStyle w:val="Compact"/>
        <w:numPr>
          <w:ilvl w:val="0"/>
          <w:numId w:val="1054"/>
        </w:numPr>
      </w:pPr>
      <w:r>
        <w:t xml:space="preserve">Failure of depletion-neutralized cumulative hazards to become approximately linear during the quiet window.</w:t>
      </w:r>
    </w:p>
    <w:p>
      <w:pPr>
        <w:pStyle w:val="Compact"/>
        <w:numPr>
          <w:ilvl w:val="0"/>
          <w:numId w:val="1054"/>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is violated—e.g., due to overlap with strong treatment effects or external shocks—KCOR does not amplify spurious signals. Instead, normalization becomes unstable and KCOR(t) trajectories attenuate toward unity or may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p>
      <w:pPr>
        <w:pStyle w:val="BodyText"/>
      </w:pPr>
      <w:r>
        <w:t xml:space="preserve">The diagnostics above are designed to detect quiet-window violations that induce residual curvature or parameter instability. They do not, by themselves, exclude the possibility of smooth, approximately stationary cohort-differential hazards within the quiet window that may be absorbed into fitted frailty parameters without producing obvious drift. For this reason, when feasible, we additionally recommend split-window and multi-window stability checks, in which frailty parameters and post-normalization linearity are assessed for consistency across sub-windows. Failure of such stability checks is treated as evidence against Assumption A5.</w:t>
      </w:r>
    </w:p>
    <w:bookmarkEnd w:id="239"/>
    <w:bookmarkStart w:id="240" w:name="X4697312edb91442c28e4c7966c61f59d358df3d"/>
    <w:p>
      <w:pPr>
        <w:pStyle w:val="Heading3"/>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0"/>
    <w:bookmarkStart w:id="241" w:name="d.7-identifiability-under-sparse-data"/>
    <w:p>
      <w:pPr>
        <w:pStyle w:val="Heading3"/>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1"/>
    <w:bookmarkStart w:id="242" w:name="X6c73c4ccb2a4c028b15fd59c9fb7f49770df43b"/>
    <w:p>
      <w:pPr>
        <w:pStyle w:val="Heading3"/>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2"/>
    <w:bookmarkEnd w:id="243"/>
    <w:bookmarkStart w:id="247" w:name="X09a1431dab4bbadfa0973a59d6464090f35e676"/>
    <w:p>
      <w:pPr>
        <w:pStyle w:val="Heading2"/>
      </w:pPr>
      <w:r>
        <w:t xml:space="preserve">Appendix E: Reference Implementation and Default Settings</w:t>
      </w:r>
    </w:p>
    <w:p>
      <w:pPr>
        <w:pStyle w:val="FirstParagraph"/>
      </w:pPr>
      <w:r>
        <w:t xml:space="preserve">This appendix documents the reference implementation and default operational settings used for all analyses in this manuscript. These defaults are not intrinsic to the KCOR framework; they represent one prespecified operationalization chosen to ensure reproducibility and internal consistency. Alternative reasonable choices yield qualitatively similar conclusions when applied to depletion-neutralized hazards.</w:t>
      </w:r>
    </w:p>
    <w:p>
      <w:pPr>
        <w:pStyle w:val="BodyText"/>
      </w:pPr>
      <w:r>
        <w:t xml:space="preserve">The manuscript describes KCOR generically; for reproducibility, this repository’s KCOR defaults are:</w:t>
      </w:r>
    </w:p>
    <w:bookmarkStart w:id="244" w:name="e.1-cohort-construction-defaults"/>
    <w:p>
      <w:pPr>
        <w:pStyle w:val="Heading3"/>
      </w:pPr>
      <w:r>
        <w:t xml:space="preserve">E.1 Cohort construction defaults</w:t>
      </w:r>
    </w:p>
    <w:p>
      <w:pPr>
        <w:pStyle w:val="Compact"/>
        <w:numPr>
          <w:ilvl w:val="0"/>
          <w:numId w:val="105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244"/>
    <w:bookmarkStart w:id="245" w:name="e.2-quiet-period-selection-defaults"/>
    <w:p>
      <w:pPr>
        <w:pStyle w:val="Heading3"/>
      </w:pPr>
      <w:r>
        <w:t xml:space="preserve">E.2 Quiet-period selection defaults</w:t>
      </w:r>
    </w:p>
    <w:p>
      <w:pPr>
        <w:pStyle w:val="Compact"/>
        <w:numPr>
          <w:ilvl w:val="0"/>
          <w:numId w:val="1056"/>
        </w:numPr>
      </w:pPr>
      <w:r>
        <w:rPr>
          <w:b/>
          <w:bCs/>
        </w:rPr>
        <w:t xml:space="preserve">Quiet window</w:t>
      </w:r>
      <w:r>
        <w:t xml:space="preserve">: ISO weeks</w:t>
      </w:r>
      <w:r>
        <w:t xml:space="preserve"> </w:t>
      </w:r>
      <w:r>
        <w:rPr>
          <w:rStyle w:val="VerbatimChar"/>
        </w:rPr>
        <w:t xml:space="preserve">2023-01</w:t>
      </w:r>
      <w:r>
        <w:t xml:space="preserve"> </w:t>
      </w:r>
      <w:r>
        <w:t xml:space="preserve">through</w:t>
      </w:r>
      <w:r>
        <w:t xml:space="preserve"> </w:t>
      </w:r>
      <w:r>
        <w:rPr>
          <w:rStyle w:val="VerbatimChar"/>
        </w:rPr>
        <w:t xml:space="preserve">2023-52</w:t>
      </w:r>
      <w:r>
        <w:t xml:space="preserve"> </w:t>
      </w:r>
      <w:r>
        <w:t xml:space="preserve">(inclusive; calendar year 2023).</w:t>
      </w:r>
    </w:p>
    <w:bookmarkEnd w:id="245"/>
    <w:bookmarkStart w:id="246" w:name="X4fc111a72d5a78ada027a143a4a0e85c07d63f3"/>
    <w:p>
      <w:pPr>
        <w:pStyle w:val="Heading3"/>
      </w:pPr>
      <w:r>
        <w:t xml:space="preserve">E.4 Frailty estimation and inversion defaults</w:t>
      </w:r>
    </w:p>
    <w:p>
      <w:pPr>
        <w:pStyle w:val="Compact"/>
        <w:numPr>
          <w:ilvl w:val="0"/>
          <w:numId w:val="105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5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FirstParagraph"/>
      </w:pPr>
      <w:r>
        <w:t xml:space="preserve">:::</w:t>
      </w:r>
    </w:p>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100" Target="media/rId100.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128" Target="media/rId128.png" /><Relationship Type="http://schemas.openxmlformats.org/officeDocument/2006/relationships/image" Id="rId230" Target="media/rId230.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hyperlink" Id="rId167" Target="https://doi.org/10.1002/sim.1203" TargetMode="External" /><Relationship Type="http://schemas.openxmlformats.org/officeDocument/2006/relationships/hyperlink" Id="rId169" Target="https://doi.org/10.1002/sim.4780080803" TargetMode="External" /><Relationship Type="http://schemas.openxmlformats.org/officeDocument/2006/relationships/hyperlink" Id="rId177" Target="https://doi.org/10.1093/aje/kwn164" TargetMode="External" /><Relationship Type="http://schemas.openxmlformats.org/officeDocument/2006/relationships/hyperlink" Id="rId171" Target="https://doi.org/10.1093/biomet/81.1.61" TargetMode="External" /><Relationship Type="http://schemas.openxmlformats.org/officeDocument/2006/relationships/hyperlink" Id="rId163" Target="https://doi.org/10.1093/biomet/81.3.515" TargetMode="External" /><Relationship Type="http://schemas.openxmlformats.org/officeDocument/2006/relationships/hyperlink" Id="rId175" Target="https://doi.org/10.1097/00001648-200009000-00011" TargetMode="External" /><Relationship Type="http://schemas.openxmlformats.org/officeDocument/2006/relationships/hyperlink" Id="rId173" Target="https://doi.org/10.1111/j.1467-9469.2006.00529.x" TargetMode="External" /><Relationship Type="http://schemas.openxmlformats.org/officeDocument/2006/relationships/hyperlink" Id="rId165" Target="https://doi.org/10.1214/aos/1176345976" TargetMode="External" /><Relationship Type="http://schemas.openxmlformats.org/officeDocument/2006/relationships/hyperlink" Id="rId159" Target="https://doi.org/10.2147/CLEP.S468572" TargetMode="External" /><Relationship Type="http://schemas.openxmlformats.org/officeDocument/2006/relationships/hyperlink" Id="rId157"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1" Target="https://doi.org/10.7554/eLife.103690" TargetMode="External" /><Relationship Type="http://schemas.openxmlformats.org/officeDocument/2006/relationships/hyperlink" Id="rId14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2/sim.1203" TargetMode="External" /><Relationship Type="http://schemas.openxmlformats.org/officeDocument/2006/relationships/hyperlink" Id="rId169" Target="https://doi.org/10.1002/sim.4780080803" TargetMode="External" /><Relationship Type="http://schemas.openxmlformats.org/officeDocument/2006/relationships/hyperlink" Id="rId177" Target="https://doi.org/10.1093/aje/kwn164" TargetMode="External" /><Relationship Type="http://schemas.openxmlformats.org/officeDocument/2006/relationships/hyperlink" Id="rId171" Target="https://doi.org/10.1093/biomet/81.1.61" TargetMode="External" /><Relationship Type="http://schemas.openxmlformats.org/officeDocument/2006/relationships/hyperlink" Id="rId163" Target="https://doi.org/10.1093/biomet/81.3.515" TargetMode="External" /><Relationship Type="http://schemas.openxmlformats.org/officeDocument/2006/relationships/hyperlink" Id="rId175" Target="https://doi.org/10.1097/00001648-200009000-00011" TargetMode="External" /><Relationship Type="http://schemas.openxmlformats.org/officeDocument/2006/relationships/hyperlink" Id="rId173" Target="https://doi.org/10.1111/j.1467-9469.2006.00529.x" TargetMode="External" /><Relationship Type="http://schemas.openxmlformats.org/officeDocument/2006/relationships/hyperlink" Id="rId165" Target="https://doi.org/10.1214/aos/1176345976" TargetMode="External" /><Relationship Type="http://schemas.openxmlformats.org/officeDocument/2006/relationships/hyperlink" Id="rId159" Target="https://doi.org/10.2147/CLEP.S468572" TargetMode="External" /><Relationship Type="http://schemas.openxmlformats.org/officeDocument/2006/relationships/hyperlink" Id="rId157"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1" Target="https://doi.org/10.7554/eLife.103690" TargetMode="External" /><Relationship Type="http://schemas.openxmlformats.org/officeDocument/2006/relationships/hyperlink" Id="rId14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2026-01-10T00:34:40Z</dcterms:created>
  <dcterms:modified xsi:type="dcterms:W3CDTF">2026-01-10T00:34:40Z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