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1504" w14:textId="0F8D8DD9" w:rsidR="004436AB" w:rsidRPr="004436AB" w:rsidRDefault="004436AB" w:rsidP="004436AB">
      <w:r w:rsidRPr="004436AB">
        <w:t xml:space="preserve">Use a single, stable symbol set for cumulative hazards and do not reuse </w:t>
      </w:r>
      <m:oMath>
        <m:r>
          <w:rPr>
            <w:rFonts w:ascii="Cambria Math" w:hAnsi="Cambria Math"/>
          </w:rPr>
          <m:t>H(t)</m:t>
        </m:r>
      </m:oMath>
      <w:r w:rsidRPr="004436AB">
        <w:t xml:space="preserve">without qualification. Treat the observed cumulative hazard, the baseline (depletion-free) cumulative hazard, and the depletion-neutralized cumulative hazard as three distinct objects with three distinct </w:t>
      </w:r>
      <w:proofErr w:type="gramStart"/>
      <w:r w:rsidRPr="004436AB">
        <w:t>notations, and</w:t>
      </w:r>
      <w:proofErr w:type="gramEnd"/>
      <w:r w:rsidRPr="004436AB">
        <w:t xml:space="preserve"> keep the cohort index </w:t>
      </w:r>
      <m:oMath>
        <m:r>
          <w:rPr>
            <w:rFonts w:ascii="Cambria Math" w:hAnsi="Cambria Math"/>
          </w:rPr>
          <m:t>d</m:t>
        </m:r>
      </m:oMath>
      <w:r w:rsidRPr="004436AB">
        <w:t xml:space="preserve">explicit everywhere. Use roman subscripts for descriptors (for example, </w:t>
      </w:r>
      <m:oMath>
        <m:r>
          <m:rPr>
            <m:sty m:val="p"/>
          </m:rPr>
          <w:rPr>
            <w:rFonts w:ascii="Cambria Math" w:hAnsi="Cambria Math"/>
          </w:rPr>
          <m:t>obs</m:t>
        </m:r>
      </m:oMath>
      <w:r w:rsidRPr="004436AB">
        <w:t xml:space="preserve">) and reserve numeric subscripts (for example, </w:t>
      </w:r>
      <m:oMath>
        <m:r>
          <w:rPr>
            <w:rFonts w:ascii="Cambria Math" w:hAnsi="Cambria Math"/>
          </w:rPr>
          <m:t>0</m:t>
        </m:r>
      </m:oMath>
      <w:r w:rsidRPr="004436AB">
        <w:t>) for the baseline index.</w:t>
      </w:r>
    </w:p>
    <w:p w14:paraId="25BE0622" w14:textId="1F81C212" w:rsidR="004436AB" w:rsidRPr="004436AB" w:rsidRDefault="004436AB" w:rsidP="004436AB">
      <m:oMathPara>
        <m:oMath>
          <m:sSub>
            <m:sSubPr>
              <m:ctrlPr>
                <w:rPr>
                  <w:rFonts w:ascii="Cambria Math" w:hAnsi="Cambria Math"/>
                </w:rPr>
              </m:ctrlPr>
            </m:sSubPr>
            <m:e>
              <m:r>
                <w:rPr>
                  <w:rFonts w:ascii="Cambria Math" w:hAnsi="Cambria Math"/>
                </w:rPr>
                <m:t>H</m:t>
              </m:r>
            </m:e>
            <m:sub>
              <m:r>
                <m:rPr>
                  <m:sty m:val="p"/>
                </m:rPr>
                <w:rPr>
                  <w:rFonts w:ascii="Cambria Math" w:hAnsi="Cambria Math"/>
                </w:rPr>
                <m:t>obs</m:t>
              </m:r>
              <m:r>
                <w:rPr>
                  <w:rFonts w:ascii="Cambria Math" w:hAnsi="Cambria Math"/>
                </w:rPr>
                <m:t>,d</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0,d</m:t>
              </m:r>
            </m:sub>
          </m:sSub>
          <m:r>
            <w:rPr>
              <w:rFonts w:ascii="Cambria Math" w:hAnsi="Cambria Math"/>
            </w:rPr>
            <m:t>(t),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0,d</m:t>
              </m:r>
            </m:sub>
          </m:sSub>
          <m:r>
            <w:rPr>
              <w:rFonts w:ascii="Cambria Math" w:hAnsi="Cambria Math"/>
            </w:rPr>
            <m:t>(t)</m:t>
          </m:r>
          <m:r>
            <w:rPr>
              <w:i/>
            </w:rPr>
            <w:br/>
          </m:r>
        </m:oMath>
      </m:oMathPara>
    </w:p>
    <w:p w14:paraId="05FE0B5D" w14:textId="16389247" w:rsidR="004436AB" w:rsidRPr="004436AB" w:rsidRDefault="004436AB" w:rsidP="004436AB">
      <w:r w:rsidRPr="004436AB">
        <w:t xml:space="preserve">Avoid superscripts for observational status (do not write </w:t>
      </w:r>
      <m:oMath>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obs</m:t>
            </m:r>
          </m:sup>
        </m:sSubSup>
        <m:r>
          <w:rPr>
            <w:rFonts w:ascii="Cambria Math" w:hAnsi="Cambria Math"/>
          </w:rPr>
          <m:t>(t)</m:t>
        </m:r>
      </m:oMath>
      <w:r w:rsidRPr="004436AB">
        <w:t>or variants) and avoid switching between subscript placements. Always keep the cohort index attached to the same symbol in the same position, and do not let “context” carry the meaning of an index.</w:t>
      </w:r>
    </w:p>
    <w:p w14:paraId="7E06AD6C" w14:textId="4E1E24CE" w:rsidR="004436AB" w:rsidRPr="004436AB" w:rsidRDefault="004436AB" w:rsidP="004436AB">
      <w:r w:rsidRPr="004436AB">
        <w:t xml:space="preserve">Distinguish sharply between parameters and estimates. Use </w:t>
      </w:r>
      <m:oMath>
        <m:sSub>
          <m:sSubPr>
            <m:ctrlPr>
              <w:rPr>
                <w:rFonts w:ascii="Cambria Math" w:hAnsi="Cambria Math"/>
              </w:rPr>
            </m:ctrlPr>
          </m:sSubPr>
          <m:e>
            <m:r>
              <w:rPr>
                <w:rFonts w:ascii="Cambria Math" w:hAnsi="Cambria Math"/>
              </w:rPr>
              <m:t>θ</m:t>
            </m:r>
          </m:e>
          <m:sub>
            <m:r>
              <w:rPr>
                <w:rFonts w:ascii="Cambria Math" w:hAnsi="Cambria Math"/>
              </w:rPr>
              <m:t>d</m:t>
            </m:r>
          </m:sub>
        </m:sSub>
      </m:oMath>
      <w:r w:rsidRPr="004436AB">
        <w:t xml:space="preserve">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4436AB">
        <w:t xml:space="preserve">for conceptual or population-level </w:t>
      </w:r>
      <w:proofErr w:type="gramStart"/>
      <w:r w:rsidRPr="004436AB">
        <w:t>quantities, and</w:t>
      </w:r>
      <w:proofErr w:type="gramEnd"/>
      <w:r w:rsidRPr="004436AB">
        <w:t xml:space="preserve"> use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sub>
        </m:sSub>
      </m:oMath>
      <w:r w:rsidRPr="004436AB">
        <w:t xml:space="preserve">and </w:t>
      </w:r>
      <m:oMath>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d</m:t>
            </m:r>
          </m:sub>
        </m:sSub>
      </m:oMath>
      <w:r w:rsidRPr="004436AB">
        <w:t xml:space="preserve">only for fitted values returned by the quiet-window fit. Do not alternate between hatted and unhatted forms when referring to the same fitted quantity, and do not drop the cohort subscript on </w:t>
      </w:r>
      <m:oMath>
        <m:r>
          <w:rPr>
            <w:rFonts w:ascii="Cambria Math" w:hAnsi="Cambria Math"/>
          </w:rPr>
          <m:t>θ</m:t>
        </m:r>
      </m:oMath>
      <w:r w:rsidRPr="004436AB">
        <w:t xml:space="preserve">or </w:t>
      </w:r>
      <m:oMath>
        <m:r>
          <w:rPr>
            <w:rFonts w:ascii="Cambria Math" w:hAnsi="Cambria Math"/>
          </w:rPr>
          <m:t>k</m:t>
        </m:r>
      </m:oMath>
      <w:r w:rsidRPr="004436AB">
        <w:t>.</w:t>
      </w:r>
    </w:p>
    <w:p w14:paraId="613802BE" w14:textId="7E463143" w:rsidR="004436AB" w:rsidRPr="004436AB" w:rsidRDefault="004436AB" w:rsidP="004436AB">
      <m:oMathPara>
        <m:oMath>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d</m:t>
              </m:r>
            </m:sub>
          </m:sSub>
          <m:r>
            <w:br/>
          </m:r>
        </m:oMath>
      </m:oMathPara>
    </w:p>
    <w:p w14:paraId="3CCE0C43" w14:textId="77777777" w:rsidR="004436AB" w:rsidRPr="004436AB" w:rsidRDefault="004436AB" w:rsidP="004436AB">
      <w:r w:rsidRPr="004436AB">
        <w:t>Use one canonical form for the gamma-frailty identity and one canonical form for its inversion throughout the manuscript, including appendices and figure captions. Do not introduce algebraically equivalent but visually different variants, because variant typography causes readers to infer a change in meaning even when none exists.</w:t>
      </w:r>
    </w:p>
    <w:p w14:paraId="47B94CFE" w14:textId="30992DE9" w:rsidR="004436AB" w:rsidRPr="004436AB" w:rsidRDefault="004436AB" w:rsidP="004436AB">
      <m:oMathPara>
        <m:oMath>
          <m:sSub>
            <m:sSubPr>
              <m:ctrlPr>
                <w:rPr>
                  <w:rFonts w:ascii="Cambria Math" w:hAnsi="Cambria Math"/>
                </w:rPr>
              </m:ctrlPr>
            </m:sSubPr>
            <m:e>
              <m:r>
                <w:rPr>
                  <w:rFonts w:ascii="Cambria Math" w:hAnsi="Cambria Math"/>
                </w:rPr>
                <m:t>H</m:t>
              </m:r>
            </m:e>
            <m:sub>
              <m:r>
                <m:rPr>
                  <m:sty m:val="p"/>
                </m:rPr>
                <w:rPr>
                  <w:rFonts w:ascii="Cambria Math" w:hAnsi="Cambria Math"/>
                </w:rPr>
                <m:t>obs</m:t>
              </m:r>
              <m:r>
                <w:rPr>
                  <w:rFonts w:ascii="Cambria Math" w:hAnsi="Cambria Math"/>
                </w:rPr>
                <m:t>,d</m:t>
              </m:r>
            </m:sub>
          </m:sSub>
          <m:r>
            <w:rPr>
              <w:rFonts w:ascii="Cambria Math" w:hAnsi="Cambria Math"/>
            </w:rPr>
            <m:t>(t)=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θ</m:t>
                  </m:r>
                </m:e>
                <m:sub>
                  <m:r>
                    <w:rPr>
                      <w:rFonts w:ascii="Cambria Math" w:hAnsi="Cambria Math"/>
                    </w:rPr>
                    <m:t>d</m:t>
                  </m:r>
                </m:sub>
              </m:sSub>
            </m:den>
          </m:f>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θ</m:t>
                  </m:r>
                </m:e>
                <m:sub>
                  <m:r>
                    <w:rPr>
                      <w:rFonts w:ascii="Cambria Math" w:hAnsi="Cambria Math"/>
                    </w:rPr>
                    <m:t>d</m:t>
                  </m:r>
                </m:sub>
              </m:sSub>
              <m:sSub>
                <m:sSubPr>
                  <m:ctrlPr>
                    <w:rPr>
                      <w:rFonts w:ascii="Cambria Math" w:hAnsi="Cambria Math"/>
                    </w:rPr>
                  </m:ctrlPr>
                </m:sSubPr>
                <m:e>
                  <m:r>
                    <w:rPr>
                      <w:rFonts w:ascii="Cambria Math" w:hAnsi="Cambria Math"/>
                    </w:rPr>
                    <m:t>H</m:t>
                  </m:r>
                </m:e>
                <m:sub>
                  <m:r>
                    <w:rPr>
                      <w:rFonts w:ascii="Cambria Math" w:hAnsi="Cambria Math"/>
                    </w:rPr>
                    <m:t>0,d</m:t>
                  </m:r>
                </m:sub>
              </m:sSub>
              <m:r>
                <w:rPr>
                  <w:rFonts w:ascii="Cambria Math" w:hAnsi="Cambria Math"/>
                </w:rPr>
                <m:t>(t)</m:t>
              </m:r>
            </m:e>
          </m:d>
          <m:r>
            <w:br/>
          </m:r>
        </m:oMath>
        <m:oMath>
          <m:sSub>
            <m:sSubPr>
              <m:ctrlPr>
                <w:rPr>
                  <w:rFonts w:ascii="Cambria Math" w:hAnsi="Cambria Math"/>
                </w:rPr>
              </m:ctrlPr>
            </m:sSubPr>
            <m:e>
              <m:r>
                <w:rPr>
                  <w:rFonts w:ascii="Cambria Math" w:hAnsi="Cambria Math"/>
                </w:rPr>
                <m:t>H</m:t>
              </m:r>
            </m:e>
            <m:sub>
              <m:r>
                <w:rPr>
                  <w:rFonts w:ascii="Cambria Math" w:hAnsi="Cambria Math"/>
                </w:rPr>
                <m:t>0,d</m:t>
              </m:r>
            </m:sub>
          </m:sSub>
          <m:r>
            <w:rPr>
              <w:rFonts w:ascii="Cambria Math" w:hAnsi="Cambria Math"/>
            </w:rPr>
            <m:t>(t)=</m:t>
          </m:r>
          <m:f>
            <m:fPr>
              <m:ctrlPr>
                <w:rPr>
                  <w:rFonts w:ascii="Cambria Math" w:hAnsi="Cambria Math"/>
                </w:rPr>
              </m:ctrlPr>
            </m:fPr>
            <m:num>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d</m:t>
                      </m:r>
                    </m:sub>
                  </m:sSub>
                  <m:sSub>
                    <m:sSubPr>
                      <m:ctrlPr>
                        <w:rPr>
                          <w:rFonts w:ascii="Cambria Math" w:hAnsi="Cambria Math"/>
                        </w:rPr>
                      </m:ctrlPr>
                    </m:sSubPr>
                    <m:e>
                      <m:r>
                        <w:rPr>
                          <w:rFonts w:ascii="Cambria Math" w:hAnsi="Cambria Math"/>
                        </w:rPr>
                        <m:t>H</m:t>
                      </m:r>
                    </m:e>
                    <m:sub>
                      <m:r>
                        <m:rPr>
                          <m:sty m:val="p"/>
                        </m:rPr>
                        <w:rPr>
                          <w:rFonts w:ascii="Cambria Math" w:hAnsi="Cambria Math"/>
                        </w:rPr>
                        <m:t>obs</m:t>
                      </m:r>
                      <m:r>
                        <w:rPr>
                          <w:rFonts w:ascii="Cambria Math" w:hAnsi="Cambria Math"/>
                        </w:rPr>
                        <m:t>,d</m:t>
                      </m:r>
                    </m:sub>
                  </m:sSub>
                  <m:r>
                    <w:rPr>
                      <w:rFonts w:ascii="Cambria Math" w:hAnsi="Cambria Math"/>
                    </w:rPr>
                    <m:t>(t)</m:t>
                  </m:r>
                </m:e>
              </m:d>
              <m:r>
                <w:rPr>
                  <w:rFonts w:ascii="Cambria Math" w:hAnsi="Cambria Math"/>
                </w:rPr>
                <m:t>-1</m:t>
              </m:r>
            </m:num>
            <m:den>
              <m:sSub>
                <m:sSubPr>
                  <m:ctrlPr>
                    <w:rPr>
                      <w:rFonts w:ascii="Cambria Math" w:hAnsi="Cambria Math"/>
                    </w:rPr>
                  </m:ctrlPr>
                </m:sSubPr>
                <m:e>
                  <m:r>
                    <w:rPr>
                      <w:rFonts w:ascii="Cambria Math" w:hAnsi="Cambria Math"/>
                    </w:rPr>
                    <m:t>θ</m:t>
                  </m:r>
                </m:e>
                <m:sub>
                  <m:r>
                    <w:rPr>
                      <w:rFonts w:ascii="Cambria Math" w:hAnsi="Cambria Math"/>
                    </w:rPr>
                    <m:t>d</m:t>
                  </m:r>
                </m:sub>
              </m:sSub>
            </m:den>
          </m:f>
          <m:r>
            <w:br/>
          </m:r>
        </m:oMath>
      </m:oMathPara>
    </w:p>
    <w:p w14:paraId="2ACB8045" w14:textId="64426833" w:rsidR="004436AB" w:rsidRPr="004436AB" w:rsidRDefault="004436AB" w:rsidP="004436AB">
      <w:r w:rsidRPr="004436AB">
        <w:t xml:space="preserve">If the quiet-window baseline is assumed constant, state the assumption directly in the baseline cumulative hazard, and do not introduce auxiliary baseline-shape symbols unless they are </w:t>
      </w:r>
      <w:proofErr w:type="gramStart"/>
      <w:r w:rsidRPr="004436AB">
        <w:t>actually used</w:t>
      </w:r>
      <w:proofErr w:type="gramEnd"/>
      <w:r w:rsidRPr="004436AB">
        <w:t xml:space="preserve"> later. When the baseline is constant over the fit window, keep the baseline cumulative hazard in the simplest canonical form and keep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4436AB">
        <w:t>attached to the cohort index.</w:t>
      </w:r>
    </w:p>
    <w:p w14:paraId="5C04A24B" w14:textId="5DBA6C32" w:rsidR="004436AB" w:rsidRPr="004436AB" w:rsidRDefault="004436AB" w:rsidP="004436AB">
      <m:oMathPara>
        <m:oMath>
          <m:sSub>
            <m:sSubPr>
              <m:ctrlPr>
                <w:rPr>
                  <w:rFonts w:ascii="Cambria Math" w:hAnsi="Cambria Math"/>
                </w:rPr>
              </m:ctrlPr>
            </m:sSubPr>
            <m:e>
              <m:r>
                <w:rPr>
                  <w:rFonts w:ascii="Cambria Math" w:hAnsi="Cambria Math"/>
                </w:rPr>
                <m:t>H</m:t>
              </m:r>
            </m:e>
            <m:sub>
              <m:r>
                <w:rPr>
                  <w:rFonts w:ascii="Cambria Math" w:hAnsi="Cambria Math"/>
                </w:rPr>
                <m:t>0,d</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t</m:t>
          </m:r>
          <m:r>
            <w:rPr>
              <w:i/>
            </w:rPr>
            <w:br/>
          </m:r>
        </m:oMath>
      </m:oMathPara>
    </w:p>
    <w:p w14:paraId="38D2FF2C" w14:textId="08384B20" w:rsidR="004436AB" w:rsidRPr="004436AB" w:rsidRDefault="004436AB" w:rsidP="004436AB">
      <w:r w:rsidRPr="004436AB">
        <w:lastRenderedPageBreak/>
        <w:t xml:space="preserve">Treat the </w:t>
      </w:r>
      <w:proofErr w:type="spellStart"/>
      <w:r w:rsidRPr="004436AB">
        <w:t>estimand</w:t>
      </w:r>
      <w:proofErr w:type="spellEnd"/>
      <w:r w:rsidRPr="004436AB">
        <w:t xml:space="preserve"> as an explicit time-indexed function and reserve the unqualified method name for the framework. Use </w:t>
      </w:r>
      <m:oMath>
        <m:r>
          <m:rPr>
            <m:sty m:val="p"/>
          </m:rPr>
          <w:rPr>
            <w:rFonts w:ascii="Cambria Math" w:hAnsi="Cambria Math"/>
          </w:rPr>
          <m:t>KCOR</m:t>
        </m:r>
        <m:r>
          <w:rPr>
            <w:rFonts w:ascii="Cambria Math" w:hAnsi="Cambria Math"/>
          </w:rPr>
          <m:t>(t)</m:t>
        </m:r>
      </m:oMath>
      <w:r w:rsidRPr="004436AB">
        <w:t xml:space="preserve">when referring to the curve, a plotted quantity, or a reported value at any time </w:t>
      </w:r>
      <m:oMath>
        <m:r>
          <w:rPr>
            <w:rFonts w:ascii="Cambria Math" w:hAnsi="Cambria Math"/>
          </w:rPr>
          <m:t>t</m:t>
        </m:r>
      </m:oMath>
      <w:r w:rsidRPr="004436AB">
        <w:t>, and do not use “KCOR” interchangeably to mean both the method and the time-indexed estimand.</w:t>
      </w:r>
    </w:p>
    <w:p w14:paraId="1194125B" w14:textId="6954B3D8" w:rsidR="004436AB" w:rsidRPr="004436AB" w:rsidRDefault="004436AB" w:rsidP="004436AB">
      <m:oMathPara>
        <m:oMath>
          <m:r>
            <m:rPr>
              <m:sty m:val="p"/>
            </m:rPr>
            <w:rPr>
              <w:rFonts w:ascii="Cambria Math" w:hAnsi="Cambria Math"/>
            </w:rPr>
            <m:t>KCOR</m:t>
          </m:r>
          <m:r>
            <w:rPr>
              <w:rFonts w:ascii="Cambria Math" w:hAnsi="Cambria Math"/>
            </w:rPr>
            <m:t>(t)=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0,A</m:t>
                  </m:r>
                </m:sub>
              </m:sSub>
              <m:r>
                <w:rPr>
                  <w:rFonts w:ascii="Cambria Math" w:hAnsi="Cambria Math"/>
                </w:rPr>
                <m:t>(t)</m:t>
              </m:r>
            </m:num>
            <m:den>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0,B</m:t>
                  </m:r>
                </m:sub>
              </m:sSub>
              <m:r>
                <w:rPr>
                  <w:rFonts w:ascii="Cambria Math" w:hAnsi="Cambria Math"/>
                </w:rPr>
                <m:t>(t)</m:t>
              </m:r>
            </m:den>
          </m:f>
          <m:r>
            <w:br/>
          </m:r>
        </m:oMath>
      </m:oMathPara>
    </w:p>
    <w:p w14:paraId="7890D897" w14:textId="7555DDCF" w:rsidR="004436AB" w:rsidRPr="004436AB" w:rsidRDefault="004436AB" w:rsidP="004436AB">
      <w:r w:rsidRPr="004436AB">
        <w:t xml:space="preserve">Make figures, appendices, and the Methods section </w:t>
      </w:r>
      <w:proofErr w:type="spellStart"/>
      <w:r w:rsidRPr="004436AB">
        <w:t>notationally</w:t>
      </w:r>
      <w:proofErr w:type="spellEnd"/>
      <w:r w:rsidRPr="004436AB">
        <w:t xml:space="preserve"> isomorphic. If a </w:t>
      </w:r>
      <w:proofErr w:type="gramStart"/>
      <w:r w:rsidRPr="004436AB">
        <w:t>plot shows</w:t>
      </w:r>
      <w:proofErr w:type="gramEnd"/>
      <w:r w:rsidRPr="004436AB">
        <w:t xml:space="preserve"> observed cumulative hazards, label axes and legends with </w:t>
      </w:r>
      <m:oMath>
        <m:sSub>
          <m:sSubPr>
            <m:ctrlPr>
              <w:rPr>
                <w:rFonts w:ascii="Cambria Math" w:hAnsi="Cambria Math"/>
              </w:rPr>
            </m:ctrlPr>
          </m:sSubPr>
          <m:e>
            <m:r>
              <w:rPr>
                <w:rFonts w:ascii="Cambria Math" w:hAnsi="Cambria Math"/>
              </w:rPr>
              <m:t>H</m:t>
            </m:r>
          </m:e>
          <m:sub>
            <m:r>
              <m:rPr>
                <m:sty m:val="p"/>
              </m:rPr>
              <w:rPr>
                <w:rFonts w:ascii="Cambria Math" w:hAnsi="Cambria Math"/>
              </w:rPr>
              <m:t>obs</m:t>
            </m:r>
            <m:r>
              <w:rPr>
                <w:rFonts w:ascii="Cambria Math" w:hAnsi="Cambria Math"/>
              </w:rPr>
              <m:t>,d</m:t>
            </m:r>
          </m:sub>
        </m:sSub>
        <m:r>
          <w:rPr>
            <w:rFonts w:ascii="Cambria Math" w:hAnsi="Cambria Math"/>
          </w:rPr>
          <m:t>(t)</m:t>
        </m:r>
      </m:oMath>
      <w:r w:rsidRPr="004436AB">
        <w:t xml:space="preserve">. If a plot shows depletion-neutralized quantities, label axes and legends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0,d</m:t>
            </m:r>
          </m:sub>
        </m:sSub>
        <m:r>
          <w:rPr>
            <w:rFonts w:ascii="Cambria Math" w:hAnsi="Cambria Math"/>
          </w:rPr>
          <m:t>(t)</m:t>
        </m:r>
      </m:oMath>
      <w:r w:rsidRPr="004436AB">
        <w:t xml:space="preserve">. Do not label axes with </w:t>
      </w:r>
      <m:oMath>
        <m:r>
          <w:rPr>
            <w:rFonts w:ascii="Cambria Math" w:hAnsi="Cambria Math"/>
          </w:rPr>
          <m:t>H(t)</m:t>
        </m:r>
      </m:oMath>
      <w:r w:rsidRPr="004436AB">
        <w:t xml:space="preserve">unless the plotted object is explicitly defined as </w:t>
      </w:r>
      <m:oMath>
        <m:r>
          <w:rPr>
            <w:rFonts w:ascii="Cambria Math" w:hAnsi="Cambria Math"/>
          </w:rPr>
          <m:t>H(t)</m:t>
        </m:r>
      </m:oMath>
      <w:r w:rsidRPr="004436AB">
        <w:t>in the main text and remains identical across the manuscript. Do not introduce alternate indexing conventions or shorthand in appendices; every symbol used outside the Methods section must match the canonical definitions exactly.</w:t>
      </w:r>
    </w:p>
    <w:p w14:paraId="0E8389DF" w14:textId="77777777" w:rsidR="004436AB" w:rsidRDefault="004436AB"/>
    <w:sectPr w:rsidR="00443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AB"/>
    <w:rsid w:val="004436AB"/>
    <w:rsid w:val="00652732"/>
    <w:rsid w:val="00FB0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D501"/>
  <w15:chartTrackingRefBased/>
  <w15:docId w15:val="{0E17EC2B-CAC8-47AF-BF0E-BCAED6DC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AB"/>
    <w:rPr>
      <w:rFonts w:eastAsiaTheme="majorEastAsia" w:cstheme="majorBidi"/>
      <w:color w:val="272727" w:themeColor="text1" w:themeTint="D8"/>
    </w:rPr>
  </w:style>
  <w:style w:type="paragraph" w:styleId="Title">
    <w:name w:val="Title"/>
    <w:basedOn w:val="Normal"/>
    <w:next w:val="Normal"/>
    <w:link w:val="TitleChar"/>
    <w:uiPriority w:val="10"/>
    <w:qFormat/>
    <w:rsid w:val="00443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AB"/>
    <w:pPr>
      <w:spacing w:before="160"/>
      <w:jc w:val="center"/>
    </w:pPr>
    <w:rPr>
      <w:i/>
      <w:iCs/>
      <w:color w:val="404040" w:themeColor="text1" w:themeTint="BF"/>
    </w:rPr>
  </w:style>
  <w:style w:type="character" w:customStyle="1" w:styleId="QuoteChar">
    <w:name w:val="Quote Char"/>
    <w:basedOn w:val="DefaultParagraphFont"/>
    <w:link w:val="Quote"/>
    <w:uiPriority w:val="29"/>
    <w:rsid w:val="004436AB"/>
    <w:rPr>
      <w:i/>
      <w:iCs/>
      <w:color w:val="404040" w:themeColor="text1" w:themeTint="BF"/>
    </w:rPr>
  </w:style>
  <w:style w:type="paragraph" w:styleId="ListParagraph">
    <w:name w:val="List Paragraph"/>
    <w:basedOn w:val="Normal"/>
    <w:uiPriority w:val="34"/>
    <w:qFormat/>
    <w:rsid w:val="004436AB"/>
    <w:pPr>
      <w:ind w:left="720"/>
      <w:contextualSpacing/>
    </w:pPr>
  </w:style>
  <w:style w:type="character" w:styleId="IntenseEmphasis">
    <w:name w:val="Intense Emphasis"/>
    <w:basedOn w:val="DefaultParagraphFont"/>
    <w:uiPriority w:val="21"/>
    <w:qFormat/>
    <w:rsid w:val="004436AB"/>
    <w:rPr>
      <w:i/>
      <w:iCs/>
      <w:color w:val="0F4761" w:themeColor="accent1" w:themeShade="BF"/>
    </w:rPr>
  </w:style>
  <w:style w:type="paragraph" w:styleId="IntenseQuote">
    <w:name w:val="Intense Quote"/>
    <w:basedOn w:val="Normal"/>
    <w:next w:val="Normal"/>
    <w:link w:val="IntenseQuoteChar"/>
    <w:uiPriority w:val="30"/>
    <w:qFormat/>
    <w:rsid w:val="00443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6AB"/>
    <w:rPr>
      <w:i/>
      <w:iCs/>
      <w:color w:val="0F4761" w:themeColor="accent1" w:themeShade="BF"/>
    </w:rPr>
  </w:style>
  <w:style w:type="character" w:styleId="IntenseReference">
    <w:name w:val="Intense Reference"/>
    <w:basedOn w:val="DefaultParagraphFont"/>
    <w:uiPriority w:val="32"/>
    <w:qFormat/>
    <w:rsid w:val="00443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LW</dc:creator>
  <cp:keywords/>
  <dc:description/>
  <cp:lastModifiedBy>James LW</cp:lastModifiedBy>
  <cp:revision>1</cp:revision>
  <dcterms:created xsi:type="dcterms:W3CDTF">2026-01-01T20:16:00Z</dcterms:created>
  <dcterms:modified xsi:type="dcterms:W3CDTF">2026-01-01T20:17:00Z</dcterms:modified>
</cp:coreProperties>
</file>