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95.png" ContentType="image/png"/>
  <Override PartName="/word/media/rId99.png" ContentType="image/png"/>
  <Override PartName="/word/media/rId73.png" ContentType="image/png"/>
  <Override PartName="/word/media/rId77.png" ContentType="image/png"/>
  <Override PartName="/word/media/rId67.png" ContentType="image/png"/>
  <Override PartName="/word/media/rId89.png" ContentType="image/png"/>
  <Override PartName="/word/media/rId107.png" ContentType="image/png"/>
  <Override PartName="/word/media/rId130.png" ContentType="image/png"/>
  <Override PartName="/word/media/rId126.png" ContentType="image/png"/>
  <Override PartName="/word/media/rId113.png" ContentType="image/png"/>
  <Override PartName="/word/media/rId122.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2" w:name="X7e352faca4f4abc41f11b7392747c843df7c7d0"/>
    <w:p>
      <w:pPr>
        <w:pStyle w:val="Heading1"/>
      </w:pPr>
      <w:r>
        <w:t xml:space="preserve">KCOR: Depletion-Neutralized Cohort Comparison via Gamma-Frailty Normalization Under Selection-Induced Hazard Curvature</w:t>
      </w:r>
    </w:p>
    <w:bookmarkStart w:id="9" w:name="manuscript-metadata"/>
    <w:p>
      <w:pPr>
        <w:pStyle w:val="Heading2"/>
      </w:pPr>
      <w:r>
        <w:t xml:space="preserve">Manuscript metadata</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12,100 (excluding Abstract, References, and Supplementary material)</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 observational studies; mortality curvature</w: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Selective uptake can induce systematic differences in mortality curvature—differences in the time-evolution of cohort hazards driven by frailty heterogeneity and depletion of susceptibles—violating the assumptions of Cox proportional hazards models, age-standardized mortality rates, and inverse-probability weighting. We introduce</w:t>
      </w:r>
      <w:r>
        <w:t xml:space="preserve"> </w:t>
      </w:r>
      <w:r>
        <w:rPr>
          <w:b/>
          <w:bCs/>
        </w:rPr>
        <w:t xml:space="preserve">KCOR (Kirsch Cumulative Outcomes Ratio)</w:t>
      </w:r>
      <w:r>
        <w:t xml:space="preserve">, a method that normalizes selection-induced curvature before cohort comparison by estimating and inverting a gamma-frailty mixture model in</w:t>
      </w:r>
      <w:r>
        <w:t xml:space="preserve"> </w:t>
      </w:r>
      <w:r>
        <w:rPr>
          <w:b/>
          <w:bCs/>
        </w:rPr>
        <w:t xml:space="preserve">cumulative-hazard space</w:t>
      </w:r>
      <w:r>
        <w:t xml:space="preserve">. This paper contributes a generalizable estimator for retrospective cohort comparisons under non-proportional hazards induced by selection-driven depletion of susceptibles. KCOR fits cohort-specific selection parameters during epidemiologically quiet periods. Observed cumulative hazards are then transformed to depletion-neutralized baseline cumulative hazards and compared cumulatively via ratios. Because selection and treatment can be confounded in observational data, KCOR is presented as an integrated normalization-and-comparison framework; causal interpretation requires additional assumptions and is evaluated via prespecified control tests and simulations. We describe the KCOR framework, its mathematical foundation, and its validation using prespecified negative and positive control tests designed to stress curvature. KCOR requires only event timing—dates of intervention (enrollment) and dates of death, with birth date or year for age stratification. This makes it applicable to minimal record-level mortality datasets. Empirically, KCOR frequently estimates negligible frailty variance for some cohorts while estimating substantial frailty-driven depletion for others, reflecting asymmetric selection at cohort entry. After frailty neutralization, the depletion-neutralized cumulative hazards are expected to be approximately linear during epidemiologically quiet periods; departures from linearity serve as a built-in diagnostic of assumption violation or quiet-window contamination. KCOR defines a unified cumulative comparison whose output is the cumulative hazard ratio. KCOR therefore enables interpretable cumulative cohort comparisons in settings where treated and untreated hazards are non-proportional because selection induces different depletion dynamics, while also providing explicit failure-mode signals when curvature cannot be explained by the depletion model. Simulation studies confirm that KCOR remains stable under selection-only regimes and reliably detects injected cumulative effects when present.</w:t>
      </w:r>
    </w:p>
    <w:bookmarkEnd w:id="10"/>
    <w:bookmarkStart w:id="11" w:name="key-messages"/>
    <w:p>
      <w:pPr>
        <w:pStyle w:val="Heading2"/>
      </w:pPr>
      <w:r>
        <w:t xml:space="preserve">Key messages</w:t>
      </w:r>
    </w:p>
    <w:p>
      <w:pPr>
        <w:pStyle w:val="FirstParagraph"/>
      </w:pPr>
      <w:r>
        <w:t xml:space="preserve">• Selection-induced depletion under latent frailty heterogeneity precludes reliable use of proportional hazards–based methods in many retrospective cohort studies.</w:t>
      </w:r>
    </w:p>
    <w:p>
      <w:pPr>
        <w:pStyle w:val="BodyText"/>
      </w:pPr>
      <w:r>
        <w:t xml:space="preserve">• KCOR enables depletion-neutralized cumulative outcome comparisons using only minimal event-time information (e.g., dates of birth, intervention, and death), without requiring covariate completeness or proportional hazards assumptions.</w:t>
      </w:r>
    </w:p>
    <w:p>
      <w:pPr>
        <w:pStyle w:val="BodyText"/>
      </w:pPr>
      <w:r>
        <w:t xml:space="preserve">• Simulation studies show that KCOR remains stable under selection-only regimes, while standard Cox regression can yield strongly non-null hazard ratios despite a true null effect.</w:t>
      </w:r>
    </w:p>
    <w:bookmarkEnd w:id="11"/>
    <w:bookmarkStart w:id="23" w:name="introduction"/>
    <w:p>
      <w:pPr>
        <w:pStyle w:val="Heading2"/>
      </w:pPr>
      <w:r>
        <w:t xml:space="preserve">1. Introduction</w:t>
      </w:r>
    </w:p>
    <w:bookmarkStart w:id="12"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2"/>
    <w:bookmarkStart w:id="13"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The methodological problem addressed here is general. The COVID-19 period provides a natural empirical regime characterized by strong selection heterogeneity and non-proportional hazards, serving as a useful illustration for the proposed framework. However, KCOR is not specific to COVID, vaccination, or infectious disease. The estimator applies to any retrospective cohort comparison in which selection induces differential depletion dynamics that violate proportional hazards assumptions.</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3"/>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3"/>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3"/>
    <w:bookmarkStart w:id="14" w:name="X974696bf5bcaf66698b40c6142794e9a43502cb"/>
    <w:p>
      <w:pPr>
        <w:pStyle w:val="Heading3"/>
      </w:pPr>
      <w:r>
        <w:t xml:space="preserve">1.3 Related work: frailty, depletion of susceptibles, and selection-induced non-proportional hazards</w:t>
      </w:r>
    </w:p>
    <w:p>
      <w:pPr>
        <w:pStyle w:val="FirstParagraph"/>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p>
    <w:p>
      <w:pPr>
        <w:pStyle w:val="BodyText"/>
      </w:pPr>
      <w:r>
        <w:t xml:space="preserve">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w:t>
      </w:r>
      <w:r>
        <w:t xml:space="preserve">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End w:id="14"/>
    <w:bookmarkStart w:id="18" w:name="X3f76dee37168b4797631ddc9e3d31862803de93"/>
    <w:p>
      <w:pPr>
        <w:pStyle w:val="Heading3"/>
      </w:pPr>
      <w:r>
        <w:t xml:space="preserve">1.4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5"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5"/>
    <w:bookmarkStart w:id="17"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1 summarizes these findings.</w:t>
      </w:r>
    </w:p>
    <w:bookmarkStart w:id="16"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6"/>
    <w:bookmarkEnd w:id="17"/>
    <w:bookmarkEnd w:id="18"/>
    <w:bookmarkStart w:id="21"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bookmarkStart w:id="19"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19"/>
    <w:p/>
    <w:bookmarkStart w:id="20" w:name="tbl:positioning"/>
    <w:p>
      <w:pPr>
        <w:pStyle w:val="TableCaption"/>
      </w:pPr>
      <w:r>
        <w:t xml:space="preserve">Table 3. Positioning KCOR among retrospective methods.</w:t>
      </w:r>
    </w:p>
    <w:tbl>
      <w:tblPr>
        <w:tblStyle w:val="Table"/>
        <w:tblW w:type="pct" w:w="5000"/>
        <w:tblLayout w:type="fixed"/>
        <w:tblLook w:firstRow="1" w:lastRow="0" w:firstColumn="0" w:lastColumn="0" w:noHBand="0" w:noVBand="0" w:val="0020"/>
        <w:tblCaption w:val="Table 3. Positioning KCOR among retrospective methods."/>
      </w:tblPr>
      <w:tblGrid>
        <w:gridCol w:w="1485"/>
        <w:gridCol w:w="1485"/>
        <w:gridCol w:w="1980"/>
        <w:gridCol w:w="1485"/>
        <w:gridCol w:w="1485"/>
      </w:tblGrid>
      <w:tr>
        <w:trPr>
          <w:tblHeader w:val="on"/>
        </w:trPr>
        <w:tc>
          <w:tcPr/>
          <w:p>
            <w:pPr>
              <w:pStyle w:val="Compact"/>
            </w:pPr>
            <w:r>
              <w:t xml:space="preserve">Method family</w:t>
            </w:r>
          </w:p>
        </w:tc>
        <w:tc>
          <w:tcPr/>
          <w:p>
            <w:pPr>
              <w:pStyle w:val="Compact"/>
            </w:pPr>
            <w:r>
              <w:t xml:space="preserve">Primary estimand (typical output)</w:t>
            </w:r>
          </w:p>
        </w:tc>
        <w:tc>
          <w:tcPr/>
          <w:p>
            <w:pPr>
              <w:pStyle w:val="Compact"/>
              <w:jc w:val="right"/>
            </w:pPr>
            <w:r>
              <w:t xml:space="preserve">Handles selection-induced depletion curvature?</w:t>
            </w:r>
          </w:p>
        </w:tc>
        <w:tc>
          <w:tcPr/>
          <w:p>
            <w:pPr>
              <w:pStyle w:val="Compact"/>
            </w:pPr>
            <w:r>
              <w:t xml:space="preserve">What it requires</w:t>
            </w:r>
          </w:p>
        </w:tc>
        <w:tc>
          <w:tcPr/>
          <w:p>
            <w:pPr>
              <w:pStyle w:val="Compact"/>
            </w:pPr>
            <w:r>
              <w:t xml:space="preserve">Primary failure mode</w:t>
            </w:r>
          </w:p>
        </w:tc>
      </w:tr>
      <w:tr>
        <w:tc>
          <w:tcPr/>
          <w:p>
            <w:pPr>
              <w:pStyle w:val="Compact"/>
            </w:pPr>
            <w:r>
              <w:t xml:space="preserve">Kaplan–Meier / Cox PH</w:t>
            </w:r>
          </w:p>
        </w:tc>
        <w:tc>
          <w:tcPr/>
          <w:p>
            <w:pPr>
              <w:pStyle w:val="Compact"/>
            </w:pPr>
            <w:r>
              <w:t xml:space="preserve">Instantaneous HR; survival differences under PH</w:t>
            </w:r>
          </w:p>
        </w:tc>
        <w:tc>
          <w:tcPr/>
          <w:p>
            <w:pPr>
              <w:pStyle w:val="Compact"/>
              <w:jc w:val="right"/>
            </w:pPr>
            <w:r>
              <w:t xml:space="preserve">No</w:t>
            </w:r>
          </w:p>
        </w:tc>
        <w:tc>
          <w:tcPr/>
          <w:p>
            <w:pPr>
              <w:pStyle w:val="Compact"/>
            </w:pPr>
            <w:r>
              <w:t xml:space="preserve">Exchangeability; proportional hazards; adequate covariates</w:t>
            </w:r>
          </w:p>
        </w:tc>
        <w:tc>
          <w:tcPr/>
          <w:p>
            <w:pPr>
              <w:pStyle w:val="Compact"/>
            </w:pPr>
            <w:r>
              <w:t xml:space="preserve">Non-PH from latent selection yields misleading HRs</w:t>
            </w:r>
          </w:p>
        </w:tc>
      </w:tr>
      <w:tr>
        <w:tc>
          <w:tcPr/>
          <w:p>
            <w:pPr>
              <w:pStyle w:val="Compact"/>
            </w:pPr>
            <w:r>
              <w:t xml:space="preserve">Cox with frailty term</w:t>
            </w:r>
          </w:p>
        </w:tc>
        <w:tc>
          <w:tcPr/>
          <w:p>
            <w:pPr>
              <w:pStyle w:val="Compact"/>
            </w:pPr>
            <w:r>
              <w:t xml:space="preserve">HR with random-effect heterogeneity</w:t>
            </w:r>
          </w:p>
        </w:tc>
        <w:tc>
          <w:tcPr/>
          <w:p>
            <w:pPr>
              <w:pStyle w:val="Compact"/>
              <w:jc w:val="right"/>
            </w:pPr>
            <w:r>
              <w:t xml:space="preserve">Partial</w:t>
            </w:r>
          </w:p>
        </w:tc>
        <w:tc>
          <w:tcPr/>
          <w:p>
            <w:pPr>
              <w:pStyle w:val="Compact"/>
            </w:pPr>
            <w:r>
              <w:t xml:space="preserve">Correct frailty form; PH-centric interpretation</w:t>
            </w:r>
          </w:p>
        </w:tc>
        <w:tc>
          <w:tcPr/>
          <w:p>
            <w:pPr>
              <w:pStyle w:val="Compact"/>
            </w:pPr>
            <w:r>
              <w:t xml:space="preserve">Depletion geometry can remain; HR interpretation unstable</w:t>
            </w:r>
          </w:p>
        </w:tc>
      </w:tr>
      <w:tr>
        <w:tc>
          <w:tcPr/>
          <w:p>
            <w:pPr>
              <w:pStyle w:val="Compact"/>
            </w:pPr>
            <w:r>
              <w:t xml:space="preserve">Matching / IPTW / MSM</w:t>
            </w:r>
          </w:p>
        </w:tc>
        <w:tc>
          <w:tcPr/>
          <w:p>
            <w:pPr>
              <w:pStyle w:val="Compact"/>
            </w:pPr>
            <w:r>
              <w:t xml:space="preserve">Model-based contrasts (ATE/ATT)</w:t>
            </w:r>
          </w:p>
        </w:tc>
        <w:tc>
          <w:tcPr/>
          <w:p>
            <w:pPr>
              <w:pStyle w:val="Compact"/>
              <w:jc w:val="right"/>
            </w:pPr>
            <w:r>
              <w:t xml:space="preserve">Indirect (via measured proxies only)</w:t>
            </w:r>
          </w:p>
        </w:tc>
        <w:tc>
          <w:tcPr/>
          <w:p>
            <w:pPr>
              <w:pStyle w:val="Compact"/>
            </w:pPr>
            <w:r>
              <w:t xml:space="preserve">Correct models; rich covariates; positivity</w:t>
            </w:r>
          </w:p>
        </w:tc>
        <w:tc>
          <w:tcPr/>
          <w:p>
            <w:pPr>
              <w:pStyle w:val="Compact"/>
            </w:pPr>
            <w:r>
              <w:t xml:space="preserve">Latent frailty and depletion persist unaddressed</w:t>
            </w:r>
          </w:p>
        </w:tc>
      </w:tr>
      <w:tr>
        <w:tc>
          <w:tcPr/>
          <w:p>
            <w:pPr>
              <w:pStyle w:val="Compact"/>
            </w:pPr>
            <w:r>
              <w:t xml:space="preserve">Negative control methods</w:t>
            </w:r>
          </w:p>
        </w:tc>
        <w:tc>
          <w:tcPr/>
          <w:p>
            <w:pPr>
              <w:pStyle w:val="Compact"/>
            </w:pPr>
            <w:r>
              <w:t xml:space="preserve">Bias detection (diagnostic)</w:t>
            </w:r>
          </w:p>
        </w:tc>
        <w:tc>
          <w:tcPr/>
          <w:p>
            <w:pPr>
              <w:pStyle w:val="Compact"/>
              <w:jc w:val="right"/>
            </w:pPr>
            <w:r>
              <w:t xml:space="preserve">No</w:t>
            </w:r>
          </w:p>
        </w:tc>
        <w:tc>
          <w:tcPr/>
          <w:p>
            <w:pPr>
              <w:pStyle w:val="Compact"/>
            </w:pPr>
            <w:r>
              <w:t xml:space="preserve">Valid negative controls</w:t>
            </w:r>
          </w:p>
        </w:tc>
        <w:tc>
          <w:tcPr/>
          <w:p>
            <w:pPr>
              <w:pStyle w:val="Compact"/>
            </w:pPr>
            <w:r>
              <w:t xml:space="preserve">Detects bias but does not remove it</w:t>
            </w:r>
          </w:p>
        </w:tc>
      </w:tr>
      <w:tr>
        <w:tc>
          <w:tcPr/>
          <w:p>
            <w:pPr>
              <w:pStyle w:val="Compact"/>
            </w:pPr>
            <w:r>
              <w:rPr>
                <w:b/>
                <w:bCs/>
              </w:rPr>
              <w:t xml:space="preserve">KCOR (this work)</w:t>
            </w:r>
          </w:p>
        </w:tc>
        <w:tc>
          <w:tcPr/>
          <w:p>
            <w:pPr>
              <w:pStyle w:val="Compact"/>
            </w:pPr>
            <w:r>
              <w:rPr>
                <w:b/>
                <w:bCs/>
              </w:rPr>
              <w:t xml:space="preserve">KCOR(t): ratio of depletion-neutralized cumulative hazards</w:t>
            </w:r>
          </w:p>
        </w:tc>
        <w:tc>
          <w:tcPr/>
          <w:p>
            <w:pPr>
              <w:pStyle w:val="Compact"/>
              <w:jc w:val="right"/>
            </w:pPr>
            <w:r>
              <w:rPr>
                <w:b/>
                <w:bCs/>
              </w:rPr>
              <w:t xml:space="preserve">Yes (targeted)</w:t>
            </w:r>
          </w:p>
        </w:tc>
        <w:tc>
          <w:tcPr/>
          <w:p>
            <w:pPr>
              <w:pStyle w:val="Compact"/>
            </w:pPr>
            <w:r>
              <w:rPr>
                <w:b/>
                <w:bCs/>
              </w:rPr>
              <w:t xml:space="preserve">DOB/DOD/DOI; valid quiet window; identifiable curvature; prespecified diagnostics and controls</w:t>
            </w:r>
          </w:p>
        </w:tc>
        <w:tc>
          <w:tcPr/>
          <w:p>
            <w:pPr>
              <w:pStyle w:val="Compact"/>
            </w:pPr>
            <w:r>
              <w:rPr>
                <w:b/>
                <w:bCs/>
              </w:rPr>
              <w:t xml:space="preserve">If depletion model or quiet window fails, diagnostics flag nonlinearity or instability and comparison is not interpretable</w:t>
            </w:r>
          </w:p>
        </w:tc>
      </w:tr>
    </w:tbl>
    <w:bookmarkEnd w:id="20"/>
    <w:p>
      <w:pPr>
        <w:pStyle w:val="BodyText"/>
      </w:pPr>
      <w:r>
        <w:t xml:space="preserve">Most retrospective approaches either compare cohorts under proportional-hazards assumptions, balance measured confounding, or diagnose bias without removing it. KCOR occupies a distinct role: it</w:t>
      </w:r>
      <w:r>
        <w:t xml:space="preserve"> </w:t>
      </w:r>
      <w:r>
        <w:rPr>
          <w:b/>
          <w:bCs/>
        </w:rPr>
        <w:t xml:space="preserve">neutralizes selection-induced depletion dynamics</w:t>
      </w:r>
      <w:r>
        <w:t xml:space="preserve"> </w:t>
      </w:r>
      <w:r>
        <w:t xml:space="preserve">via gamma-frailty inversion and then</w:t>
      </w:r>
      <w:r>
        <w:t xml:space="preserve"> </w:t>
      </w:r>
      <w:r>
        <w:rPr>
          <w:b/>
          <w:bCs/>
        </w:rPr>
        <w:t xml:space="preserve">extracts the cohort contrast using a cumulative hazard ratio (KCOR), which is the estimand reported</w:t>
      </w:r>
      <w:r>
        <w:t xml:space="preserve">. Normalization alone does not yield an interpretable signal; the KCOR ratio is the estimand that answers whether one cohort experienced higher or lower cumulative event risk than another under the stated assumptions. KCOR’s estimand is cumulative by construction; instantaneous hazard ratios are not recovered even after normalization.</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2.</w:t>
      </w:r>
    </w:p>
    <w:p>
      <w:pPr>
        <w:pStyle w:val="BodyText"/>
      </w:pPr>
      <w:r>
        <w:t xml:space="preserve">This manuscript is</w:t>
      </w:r>
      <w:r>
        <w:t xml:space="preserve"> </w:t>
      </w:r>
      <w:r>
        <w:rPr>
          <w:b/>
          <w:bCs/>
        </w:rPr>
        <w:t xml:space="preserve">methods-only</w:t>
      </w:r>
      <w:r>
        <w:t xml:space="preserve">:</w:t>
      </w:r>
    </w:p>
    <w:p>
      <w:pPr>
        <w:pStyle w:val="Compact"/>
        <w:numPr>
          <w:ilvl w:val="0"/>
          <w:numId w:val="1004"/>
        </w:numPr>
      </w:pPr>
      <w:r>
        <w:t xml:space="preserve">We present the estimator, model assumptions, and uncertainty quantification.</w:t>
      </w:r>
    </w:p>
    <w:p>
      <w:pPr>
        <w:pStyle w:val="Compact"/>
        <w:numPr>
          <w:ilvl w:val="0"/>
          <w:numId w:val="1004"/>
        </w:numPr>
      </w:pPr>
      <w:r>
        <w:t xml:space="preserve">We validate the method using prespecified negative and positive controls designed to stress selection-induced curvature.</w:t>
      </w:r>
    </w:p>
    <w:p>
      <w:pPr>
        <w:pStyle w:val="Compact"/>
        <w:numPr>
          <w:ilvl w:val="0"/>
          <w:numId w:val="1004"/>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bookmarkEnd w:id="21"/>
    <w:bookmarkStart w:id="22" w:name="relation-to-causal-inference-frameworks"/>
    <w:p>
      <w:pPr>
        <w:pStyle w:val="Heading3"/>
      </w:pPr>
      <w:r>
        <w:t xml:space="preserve">1.6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pPr>
        <w:pStyle w:val="BodyText"/>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5"/>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5"/>
        </w:numPr>
      </w:pPr>
      <w:r>
        <w:rPr>
          <w:b/>
          <w:bCs/>
        </w:rPr>
        <w:t xml:space="preserve">Cumulative hazard estimation</w:t>
      </w:r>
      <w:r>
        <w:t xml:space="preserve">: Discrete-time hazards are computed from event counts and risk sets, then accumulated into observed cumulative hazards after an optional stabilization skip period:</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p>
      <w:pPr>
        <w:pStyle w:val="Compact"/>
        <w:numPr>
          <w:ilvl w:val="0"/>
          <w:numId w:val="1006"/>
        </w:numPr>
      </w:pPr>
      <w:r>
        <w:rPr>
          <w:b/>
          <w:bCs/>
        </w:rPr>
        <w:t xml:space="preserve">Quiet-window frailty fit</w:t>
      </w:r>
      <w:r>
        <w:t xml:space="preserve">: During epidemiologically quiet periods (free of external shocks), cohort-specific frailty variance parameters</w:t>
      </w:r>
      <w:r>
        <w:t xml:space="preserve"> </w:t>
      </w:r>
      <m:oMath>
        <m:sSub>
          <m:e>
            <m:r>
              <m:t>θ</m:t>
            </m:r>
          </m:e>
          <m:sub>
            <m:r>
              <m:t>d</m:t>
            </m:r>
          </m:sub>
        </m:sSub>
      </m:oMath>
      <w:r>
        <w:t xml:space="preserve"> </w:t>
      </w:r>
      <w:r>
        <w:t xml:space="preserve">and baseline hazard levels</w:t>
      </w:r>
      <w:r>
        <w:t xml:space="preserve"> </w:t>
      </w:r>
      <m:oMath>
        <m:sSub>
          <m:e>
            <m:r>
              <m:t>k</m:t>
            </m:r>
          </m:e>
          <m:sub>
            <m:r>
              <m:t>d</m:t>
            </m:r>
          </m:sub>
        </m:sSub>
      </m:oMath>
      <w:r>
        <w:t xml:space="preserve"> </w:t>
      </w:r>
      <w:r>
        <w:t xml:space="preserve">are estimated via nonlinear least squares by fitting the gamma-frailty identity:</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Under the reference constant-baseline specification over the quiet window:</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m:oMathPara>
    </w:p>
    <w:p>
      <w:pPr>
        <w:pStyle w:val="Compact"/>
        <w:numPr>
          <w:ilvl w:val="0"/>
          <w:numId w:val="1007"/>
        </w:numPr>
      </w:pPr>
      <w:r>
        <w:rPr>
          <w:b/>
          <w:bCs/>
        </w:rPr>
        <w:t xml:space="preserve">Gamma inversion</w:t>
      </w:r>
      <w:r>
        <w:t xml:space="preserve">: The fitted frailty parameters are used to invert the gamma-frailty identity, transforming observed cumulative hazards into depletion-neutralized baseline cumulative hazards:</w:t>
      </w:r>
    </w:p>
    <w:p>
      <w:pPr>
        <w:pStyle w:val="FirstParagraph"/>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m:oMathPara>
    </w:p>
    <w:p>
      <w:pPr>
        <w:pStyle w:val="Compact"/>
        <w:numPr>
          <w:ilvl w:val="0"/>
          <w:numId w:val="1008"/>
        </w:numPr>
      </w:pPr>
      <w:r>
        <w:rPr>
          <w:b/>
          <w:bCs/>
        </w:rPr>
        <w:t xml:space="preserve">KCOR ratio</w:t>
      </w:r>
      <w:r>
        <w:t xml:space="preserve">: Cohorts are compared via the ratio of depletion-neutralized cumulative hazards:</w:t>
      </w:r>
    </w:p>
    <w:p>
      <w:pPr>
        <w:pStyle w:val="FirstParagraph"/>
      </w:pPr>
      <m:oMathPara>
        <m:oMathParaPr>
          <m:jc m:val="center"/>
        </m:oMathParaP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Compact"/>
        <w:numPr>
          <w:ilvl w:val="0"/>
          <w:numId w:val="1009"/>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bookmarkEnd w:id="22"/>
    <w:bookmarkEnd w:id="23"/>
    <w:bookmarkStart w:id="84" w:name="methods"/>
    <w:p>
      <w:pPr>
        <w:pStyle w:val="Heading2"/>
      </w:pPr>
      <w:r>
        <w:t xml:space="preserve">2. Methods</w:t>
      </w:r>
    </w:p>
    <w:p>
      <w:pPr>
        <w:pStyle w:val="FirstParagraph"/>
      </w:pPr>
      <w:r>
        <w:t xml:space="preserve">Table 4 defines the notation used throughout the Methods section.</w:t>
      </w:r>
    </w:p>
    <w:bookmarkStart w:id="24" w:name="tbl:notation"/>
    <w:p>
      <w:pPr>
        <w:pStyle w:val="TableCaption"/>
      </w:pPr>
      <w:r>
        <w:t xml:space="preserve">Table 4. Notation used throughout the Methods section.</w:t>
      </w:r>
    </w:p>
    <w:tbl>
      <w:tblPr>
        <w:tblStyle w:val="Table"/>
        <w:tblW w:type="pct" w:w="5000"/>
        <w:tblLayout w:type="fixed"/>
        <w:tblLook w:firstRow="1" w:lastRow="0" w:firstColumn="0" w:lastColumn="0" w:noHBand="0" w:noVBand="0" w:val="0020"/>
        <w:tblCaption w:val="Table 4. Notation used throughout the Methods section."/>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m:oMathPara>
              <m:oMathParaPr>
                <m:jc m:val="center"/>
              </m:oMathParaPr>
              <m:oMath>
                <m:r>
                  <m:t>d</m:t>
                </m:r>
              </m:oMath>
            </m:oMathPara>
          </w:p>
        </w:tc>
        <w:tc>
          <w:tcPr/>
          <w:p>
            <w:pPr>
              <w:pStyle w:val="Compact"/>
            </w:pPr>
            <w:r>
              <w:t xml:space="preserve">Cohort index</w:t>
            </w:r>
          </w:p>
        </w:tc>
      </w:tr>
      <w:tr>
        <w:tc>
          <w:tcPr/>
          <w:p>
            <w:pPr>
              <w:pStyle w:val="Compact"/>
            </w:pPr>
            <m:oMathPara>
              <m:oMathParaPr>
                <m:jc m:val="center"/>
              </m:oMathParaPr>
              <m:oMath>
                <m:r>
                  <m:t>t</m:t>
                </m:r>
              </m:oMath>
            </m:oMathPara>
          </w:p>
        </w:tc>
        <w:tc>
          <w:tcPr/>
          <w:p>
            <w:pPr>
              <w:pStyle w:val="Compact"/>
            </w:pPr>
            <w:r>
              <w:t xml:space="preserve">Event time since enrollment (discrete bins, e.g., weeks)</w:t>
            </w:r>
          </w:p>
        </w:tc>
      </w:tr>
      <w:tr>
        <w:tc>
          <w:tcPr/>
          <w:p>
            <w:pPr>
              <w:pStyle w:val="Compac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tc>
        <w:tc>
          <w:tcPr/>
          <w:p>
            <w:pPr>
              <w:pStyle w:val="Compact"/>
            </w:pPr>
            <w:r>
              <w:t xml:space="preserve">Observed cohort hazard</w:t>
            </w:r>
          </w:p>
        </w:tc>
      </w:tr>
      <w:tr>
        <w:tc>
          <w:tcPr/>
          <w:p>
            <w:pPr>
              <w:pStyle w:val="Compac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tc>
        <w:tc>
          <w:tcPr/>
          <w:p>
            <w:pPr>
              <w:pStyle w:val="Compact"/>
            </w:pPr>
            <w:r>
              <w:t xml:space="preserve">Observed cumulative hazard (after skip/stabilization)</w:t>
            </w:r>
          </w:p>
        </w:tc>
      </w:tr>
      <w:tr>
        <w:tc>
          <w:tcPr/>
          <w:p>
            <w:pPr>
              <w:pStyle w:val="Compact"/>
            </w:pPr>
            <m:oMathPara>
              <m:oMathParaPr>
                <m:jc m:val="center"/>
              </m:oMathParaPr>
              <m:oMath>
                <m:sSub>
                  <m:e>
                    <m:r>
                      <m:t>h</m:t>
                    </m:r>
                  </m:e>
                  <m:sub>
                    <m:r>
                      <m:t>0</m:t>
                    </m:r>
                    <m:r>
                      <m:rPr>
                        <m:sty m:val="p"/>
                      </m:rPr>
                      <m:t>,</m:t>
                    </m:r>
                    <m:r>
                      <m:t>d</m:t>
                    </m:r>
                  </m:sub>
                </m:sSub>
                <m:r>
                  <m:rPr>
                    <m:sty m:val="p"/>
                  </m:rPr>
                  <m:t>(</m:t>
                </m:r>
                <m:r>
                  <m:t>t</m:t>
                </m:r>
                <m:r>
                  <m:rPr>
                    <m:sty m:val="p"/>
                  </m:rPr>
                  <m:t>)</m:t>
                </m:r>
              </m:oMath>
            </m:oMathPara>
          </w:p>
        </w:tc>
        <w:tc>
          <w:tcPr/>
          <w:p>
            <w:pPr>
              <w:pStyle w:val="Compact"/>
            </w:pPr>
            <w:r>
              <w:t xml:space="preserve">Baseline hazard for cohort</w:t>
            </w:r>
            <w:r>
              <w:t xml:space="preserve"> </w:t>
            </w:r>
            <m:oMath>
              <m:r>
                <m:t>d</m:t>
              </m:r>
            </m:oMath>
            <w:r>
              <w:t xml:space="preserve"> </w:t>
            </w:r>
            <w:r>
              <w:t xml:space="preserve">under the depletion-neutralized model</w:t>
            </w:r>
          </w:p>
        </w:tc>
      </w:tr>
      <w:tr>
        <w:tc>
          <w:tcPr/>
          <w:p>
            <w:pPr>
              <w:pStyle w:val="Compact"/>
            </w:pPr>
            <m:oMathPara>
              <m:oMathParaPr>
                <m:jc m:val="center"/>
              </m:oMathParaPr>
              <m:oMath>
                <m:sSub>
                  <m:e>
                    <m:r>
                      <m:t>H</m:t>
                    </m:r>
                  </m:e>
                  <m:sub>
                    <m:r>
                      <m:t>0</m:t>
                    </m:r>
                    <m:r>
                      <m:rPr>
                        <m:sty m:val="p"/>
                      </m:rPr>
                      <m:t>,</m:t>
                    </m:r>
                    <m:r>
                      <m:t>d</m:t>
                    </m:r>
                  </m:sub>
                </m:sSub>
                <m:r>
                  <m:rPr>
                    <m:sty m:val="p"/>
                  </m:rPr>
                  <m:t>(</m:t>
                </m:r>
                <m:r>
                  <m:t>t</m:t>
                </m:r>
                <m:r>
                  <m:rPr>
                    <m:sty m:val="p"/>
                  </m:rPr>
                  <m:t>)</m:t>
                </m:r>
              </m:oMath>
            </m:oMathPara>
          </w:p>
        </w:tc>
        <w:tc>
          <w:tcPr/>
          <w:p>
            <w:pPr>
              <w:pStyle w:val="Compact"/>
            </w:pPr>
            <w:r>
              <w:t xml:space="preserve">Baseline cumulative hazard for cohort</w:t>
            </w:r>
            <w:r>
              <w:t xml:space="preserve"> </w:t>
            </w:r>
            <m:oMath>
              <m:r>
                <m:t>d</m:t>
              </m:r>
            </m:oMath>
            <w:r>
              <w:t xml:space="preserve"> </w:t>
            </w:r>
            <w:r>
              <w:t xml:space="preserve">under the depletion-neutralized model</w:t>
            </w:r>
          </w:p>
        </w:tc>
      </w:tr>
      <w:tr>
        <w:tc>
          <w:tcPr/>
          <w:p>
            <w:pPr>
              <w:pStyle w:val="Compact"/>
            </w:pPr>
            <m:oMathPara>
              <m:oMathParaPr>
                <m:jc m:val="center"/>
              </m:oMathParaPr>
              <m:oMath>
                <m:sSub>
                  <m:e>
                    <m:acc>
                      <m:accPr>
                        <m:chr m:val="̃"/>
                      </m:accPr>
                      <m:e>
                        <m:r>
                          <m:t>H</m:t>
                        </m:r>
                      </m:e>
                    </m:acc>
                  </m:e>
                  <m:sub>
                    <m:r>
                      <m:t>0</m:t>
                    </m:r>
                    <m:r>
                      <m:rPr>
                        <m:sty m:val="p"/>
                      </m:rPr>
                      <m:t>,</m:t>
                    </m:r>
                    <m:r>
                      <m:t>d</m:t>
                    </m:r>
                  </m:sub>
                </m:sSub>
                <m:r>
                  <m:rPr>
                    <m:sty m:val="p"/>
                  </m:rPr>
                  <m:t>(</m:t>
                </m:r>
                <m:r>
                  <m:t>t</m:t>
                </m:r>
                <m:r>
                  <m:rPr>
                    <m:sty m:val="p"/>
                  </m:rPr>
                  <m:t>)</m:t>
                </m:r>
              </m:oMath>
            </m:oMathPara>
          </w:p>
        </w:tc>
        <w:tc>
          <w:tcPr/>
          <w:p>
            <w:pPr>
              <w:pStyle w:val="Compact"/>
            </w:pPr>
            <w:r>
              <w:t xml:space="preserve">Depletion-neutralized baseline cumulative hazard</w:t>
            </w:r>
          </w:p>
        </w:tc>
      </w:tr>
      <w:tr>
        <w:tc>
          <w:tcPr/>
          <w:p>
            <w:pPr>
              <w:pStyle w:val="Compact"/>
            </w:pPr>
            <m:oMathPara>
              <m:oMathParaPr>
                <m:jc m:val="center"/>
              </m:oMathParaPr>
              <m:oMath>
                <m:sSub>
                  <m:e>
                    <m:r>
                      <m:t>θ</m:t>
                    </m:r>
                  </m:e>
                  <m:sub>
                    <m:r>
                      <m:t>d</m:t>
                    </m:r>
                  </m:sub>
                </m:sSub>
              </m:oMath>
            </m:oMathPara>
          </w:p>
        </w:tc>
        <w:tc>
          <w:tcPr/>
          <w:p>
            <w:pPr>
              <w:pStyle w:val="Compact"/>
            </w:pPr>
            <w:r>
              <w:t xml:space="preserve">Frailty variance (selection strength) for cohort</w:t>
            </w:r>
            <w:r>
              <w:t xml:space="preserve"> </w:t>
            </w:r>
            <m:oMath>
              <m:r>
                <m:t>d</m:t>
              </m:r>
            </m:oMath>
            <w:r>
              <w:t xml:space="preserve">; governs curvature in the observed cumulative hazard</w:t>
            </w:r>
          </w:p>
        </w:tc>
      </w:tr>
      <w:tr>
        <w:tc>
          <w:tcPr/>
          <w:p>
            <w:pPr>
              <w:pStyle w:val="Compact"/>
            </w:pPr>
            <m:oMathPara>
              <m:oMathParaPr>
                <m:jc m:val="center"/>
              </m:oMathParaPr>
              <m:oMath>
                <m:sSub>
                  <m:e>
                    <m:acc>
                      <m:accPr>
                        <m:chr m:val="̂"/>
                      </m:accPr>
                      <m:e>
                        <m:r>
                          <m:t>θ</m:t>
                        </m:r>
                      </m:e>
                    </m:acc>
                  </m:e>
                  <m:sub>
                    <m:r>
                      <m:t>d</m:t>
                    </m:r>
                  </m:sub>
                </m:sSub>
              </m:oMath>
            </m:oMathPara>
          </w:p>
        </w:tc>
        <w:tc>
          <w:tcPr/>
          <w:p>
            <w:pPr>
              <w:pStyle w:val="Compact"/>
            </w:pPr>
            <w:r>
              <w:t xml:space="preserve">Estimated frailty variance from quiet-window fitting</w:t>
            </w:r>
          </w:p>
        </w:tc>
      </w:tr>
      <w:tr>
        <w:tc>
          <w:tcPr/>
          <w:p>
            <w:pPr>
              <w:pStyle w:val="Compact"/>
            </w:pPr>
            <m:oMathPara>
              <m:oMathParaPr>
                <m:jc m:val="center"/>
              </m:oMathParaPr>
              <m:oMath>
                <m:sSub>
                  <m:e>
                    <m:r>
                      <m:t>k</m:t>
                    </m:r>
                  </m:e>
                  <m:sub>
                    <m:r>
                      <m:t>d</m:t>
                    </m:r>
                  </m:sub>
                </m:sSub>
              </m:oMath>
            </m:oMathPara>
          </w:p>
        </w:tc>
        <w:tc>
          <w:tcPr/>
          <w:p>
            <w:pPr>
              <w:pStyle w:val="Compact"/>
            </w:pPr>
            <w:r>
              <w:t xml:space="preserve">Baseline hazard level for cohort</w:t>
            </w:r>
            <w:r>
              <w:t xml:space="preserve"> </w:t>
            </w:r>
            <m:oMath>
              <m:r>
                <m:t>d</m:t>
              </m:r>
            </m:oMath>
            <w:r>
              <w:t xml:space="preserve"> </w:t>
            </w:r>
            <w:r>
              <w:t xml:space="preserve">under the default baseline shape</w:t>
            </w:r>
          </w:p>
        </w:tc>
      </w:tr>
      <w:tr>
        <w:tc>
          <w:tcPr/>
          <w:p>
            <w:pPr>
              <w:pStyle w:val="Compact"/>
            </w:pPr>
            <m:oMathPara>
              <m:oMathParaPr>
                <m:jc m:val="center"/>
              </m:oMathParaPr>
              <m:oMath>
                <m:sSub>
                  <m:e>
                    <m:acc>
                      <m:accPr>
                        <m:chr m:val="̂"/>
                      </m:accPr>
                      <m:e>
                        <m:r>
                          <m:t>k</m:t>
                        </m:r>
                      </m:e>
                    </m:acc>
                  </m:e>
                  <m:sub>
                    <m:r>
                      <m:t>d</m:t>
                    </m:r>
                  </m:sub>
                </m:sSub>
              </m:oMath>
            </m:oMathPara>
          </w:p>
        </w:tc>
        <w:tc>
          <w:tcPr/>
          <w:p>
            <w:pPr>
              <w:pStyle w:val="Compact"/>
            </w:pPr>
            <w:r>
              <w:t xml:space="preserve">Estimated baseline hazard level from quiet-window fitting</w:t>
            </w:r>
          </w:p>
        </w:tc>
      </w:tr>
    </w:tbl>
    <w:bookmarkEnd w:id="24"/>
    <w:p>
      <w:pPr>
        <w:pStyle w:val="BodyText"/>
      </w:pPr>
      <w:r>
        <w:t xml:space="preserve">For COVID-19 vaccination analyses, intervention count corresponds to the number of vaccine doses received; more generally, this can index any discrete exposure level.</w:t>
      </w:r>
    </w:p>
    <w:bookmarkStart w:id="31"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10"/>
        </w:numPr>
      </w:pPr>
      <w:r>
        <w:rPr>
          <w:b/>
          <w:bCs/>
        </w:rPr>
        <w:t xml:space="preserve">Level effects</w:t>
      </w:r>
      <w:r>
        <w:t xml:space="preserve">: multiplicative shifts in hazard that are constant over time.</w:t>
      </w:r>
    </w:p>
    <w:p>
      <w:pPr>
        <w:pStyle w:val="Compact"/>
        <w:numPr>
          <w:ilvl w:val="0"/>
          <w:numId w:val="1010"/>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p>
      <w:pPr>
        <w:pStyle w:val="BodyText"/>
      </w:pPr>
      <w:r>
        <w:t xml:space="preserve">Figure 2 provides a schematic overview of the KCOR workflow.</w:t>
      </w:r>
    </w:p>
    <w:bookmarkStart w:id="25" w:name="kcor-assumptions-and-identifiability"/>
    <w:p>
      <w:pPr>
        <w:pStyle w:val="Heading4"/>
      </w:pPr>
      <w:r>
        <w:t xml:space="preserve">2.1.1 KCOR assumptions and identifiability</w:t>
      </w:r>
    </w:p>
    <w:p>
      <w:pPr>
        <w:pStyle w:val="FirstParagraph"/>
      </w:pPr>
      <w:r>
        <w:t xml:space="preserve">KCOR relies on</w:t>
      </w:r>
      <w:r>
        <w:t xml:space="preserve"> </w:t>
      </w:r>
      <w:r>
        <w:rPr>
          <w:b/>
          <w:bCs/>
        </w:rPr>
        <w:t xml:space="preserve">five explicit assumptions (A1–A5)</w:t>
      </w:r>
      <w:r>
        <w:t xml:space="preserve">. These assumptions are stated exhaustively here;</w:t>
      </w:r>
      <w:r>
        <w:t xml:space="preserve"> </w:t>
      </w:r>
      <w:r>
        <w:rPr>
          <w:b/>
          <w:bCs/>
        </w:rPr>
        <w:t xml:space="preserve">no additional assumptions are introduced elsewhere in the manuscript</w:t>
      </w:r>
      <w:r>
        <w:t xml:space="preserve">. Each assumption is either enforced by study design or empirically testable via prespecified diagnostics. When an assumption is violated, KCOR does not silently produce misleading estimates; instead, the violation manifests through identifiable diagnostic failures described in Appendix D.</w:t>
      </w:r>
    </w:p>
    <w:p>
      <w:pPr>
        <w:pStyle w:val="BodyText"/>
      </w:pPr>
      <w:r>
        <w:rPr>
          <w:b/>
          <w:bCs/>
        </w:rPr>
        <w:t xml:space="preserve">A1. Fixed cohorts at enrollment.</w:t>
      </w:r>
      <w:r>
        <w:t xml:space="preserve"> </w:t>
      </w:r>
      <w:r>
        <w:t xml:space="preserve">Individuals are assigned to cohorts at enrollment and remain in those cohorts for the duration of follow-up. No post-enrollment switching or censoring is permitted in the primary estimand.</w:t>
      </w:r>
    </w:p>
    <w:p>
      <w:pPr>
        <w:pStyle w:val="BodyText"/>
      </w:pPr>
      <w:r>
        <w:rPr>
          <w:b/>
          <w:bCs/>
        </w:rPr>
        <w:t xml:space="preserve">A2. Shared external hazard environment.</w:t>
      </w:r>
      <w:r>
        <w:t xml:space="preserve"> </w:t>
      </w:r>
      <w:r>
        <w:t xml:space="preserve">All cohorts are exposed to the same calendar-time external mortality environment (e.g., seasonality, epidemic waves, reporting artifacts). External shocks may occur but must affect cohorts symmetrically.</w:t>
      </w:r>
    </w:p>
    <w:p>
      <w:pPr>
        <w:pStyle w:val="BodyText"/>
      </w:pPr>
      <w:r>
        <w:rPr>
          <w:b/>
          <w:bCs/>
        </w:rPr>
        <w:t xml:space="preserve">A3. Selection operates through time-invariant latent frailty.</w:t>
      </w:r>
      <w:r>
        <w:t xml:space="preserve"> </w:t>
      </w:r>
      <w:r>
        <w:t xml:space="preserve">Differences between cohorts at enrollment arise primarily through selection on latent, multiplicative frailty that remains constant over follow-up and induces depletion of susceptibles.</w:t>
      </w:r>
    </w:p>
    <w:p>
      <w:pPr>
        <w:pStyle w:val="BodyText"/>
      </w:pPr>
      <w:r>
        <w:rPr>
          <w:b/>
          <w:bCs/>
        </w:rPr>
        <w:t xml:space="preserve">A4. Gamma frailty adequately approximates depletion geometry.</w:t>
      </w:r>
      <w:r>
        <w:t xml:space="preserve"> </w:t>
      </w:r>
      <w:r>
        <w:t xml:space="preserve">Gamma frailty provides a sufficient approximation to the cumulative-hazard curvature induced by frailty-driven depletion over the estimation window. This assumption is not asserted a priori and is evaluated empirically.</w:t>
      </w:r>
    </w:p>
    <w:p>
      <w:pPr>
        <w:pStyle w:val="BodyText"/>
      </w:pPr>
      <w:r>
        <w:rPr>
          <w:b/>
          <w:bCs/>
        </w:rPr>
        <w:t xml:space="preserve">A5. Existence of a valid quiet window for frailty identification.</w:t>
      </w:r>
      <w:r>
        <w:t xml:space="preserve"> </w:t>
      </w:r>
      <w:r>
        <w:t xml:space="preserve">There exists a prespecified epidemiologically quiet period</w:t>
      </w:r>
      <w:r>
        <w:t xml:space="preserve"> </w:t>
      </w:r>
      <w:r>
        <w:rPr>
          <w:i/>
          <w:iCs/>
        </w:rPr>
        <w:t xml:space="preserve">(i.e., periods with approximately stable baseline hazard and no major external mortality shocks, rather than simply periods of low mortality)</w:t>
      </w:r>
      <w:r>
        <w:t xml:space="preserve"> </w:t>
      </w:r>
      <w:r>
        <w:t xml:space="preserve">during which selection-induced depletion dominates other sources of curvature, permitting identification of frailty parameters. This assumption is assessed empirically and is the primary dataset-specific requirement for KCOR applicability.</w:t>
      </w:r>
    </w:p>
    <w:p>
      <w:pPr>
        <w:pStyle w:val="BodyText"/>
      </w:pPr>
      <w:r>
        <w:t xml:space="preserve">Of these five assumptions,</w:t>
      </w:r>
      <w:r>
        <w:t xml:space="preserve"> </w:t>
      </w:r>
      <w:r>
        <w:rPr>
          <w:b/>
          <w:bCs/>
        </w:rPr>
        <w:t xml:space="preserve">A1–A3 are structural and are typically satisfied by cohort construction in national mortality datasets</w:t>
      </w:r>
      <w:r>
        <w:t xml:space="preserve">, while</w:t>
      </w:r>
      <w:r>
        <w:t xml:space="preserve"> </w:t>
      </w:r>
      <w:r>
        <w:rPr>
          <w:b/>
          <w:bCs/>
        </w:rPr>
        <w:t xml:space="preserve">A4–A5 are empirically evaluated using diagnostics</w:t>
      </w:r>
      <w:r>
        <w:t xml:space="preserve">. Failure of any assumption limits interpretability and is explicitly signaled by KCOR’s diagnostic outputs (Appendix D). Sanity checks on frailty estimates—including magnitude, stability, and coherence with observed cumulative-hazard curvature—are treated diagnostically rather than as assumptions (Appendix D; see also diagnostic coherence in §2.1.2). KCOR does not assume causal separability of selection and treatment effects; rather, it identifies cumulative outcome differences under explicit normalization of selection-induced depletion, making departures from the null of no net harm or benefit interpretable when diagnostic and interpretability conditions are satisfied.</w:t>
      </w:r>
    </w:p>
    <w:p>
      <w:pPr>
        <w:pStyle w:val="BodyText"/>
      </w:pPr>
      <w:r>
        <w:t xml:space="preserve">KCOR is designed for settings in which selection-induced depletion of susceptibles is the dominant source of non-proportionality in cohort hazards; regimes in which timing misalignment or denominator redefinition dominate are typically identifiable through early instability, lack of a valid quiet window, or failure of post-normalization linearity and therefore fall outside the intended scope of the method.</w:t>
      </w:r>
    </w:p>
    <w:bookmarkEnd w:id="25"/>
    <w:bookmarkStart w:id="26" w:name="Xb392e4b688f4a0f1d9b42015876f69bb1b92dbe"/>
    <w:p>
      <w:pPr>
        <w:pStyle w:val="Heading4"/>
      </w:pPr>
      <w:r>
        <w:t xml:space="preserve">2.1.2 Interpretability checklist for KCOR results</w:t>
      </w:r>
    </w:p>
    <w:p>
      <w:pPr>
        <w:pStyle w:val="FirstParagraph"/>
      </w:pPr>
      <w:r>
        <w:t xml:space="preserve">The assumptions in §2.1.1 specify the conditions under which KCOR is a valid and diagnostically enforceable estimator. Interpretation of a specific KCOR result—particularly as evidence of harm or benefit—requires additional prespecified checks. These checks do not constitute assumptions of the method, but determine what inferential question a given KCOR trajectory answers.</w:t>
      </w:r>
    </w:p>
    <w:p>
      <w:pPr>
        <w:pStyle w:val="BodyText"/>
      </w:pPr>
      <w:r>
        <w:rPr>
          <w:b/>
          <w:bCs/>
        </w:rPr>
        <w:t xml:space="preserve">Before interpreting a KCOR result as evidence of cumulative harm or benefit, the following interpretability checks should be verified:</w:t>
      </w:r>
    </w:p>
    <w:p>
      <w:pPr>
        <w:numPr>
          <w:ilvl w:val="0"/>
          <w:numId w:val="1011"/>
        </w:numPr>
      </w:pPr>
      <w:r>
        <w:rPr>
          <w:b/>
          <w:bCs/>
        </w:rPr>
        <w:t xml:space="preserve">Dynamic selection handling.</w:t>
      </w:r>
      <w:r>
        <w:t xml:space="preserve"> </w:t>
      </w:r>
      <w:r>
        <w:t xml:space="preserve">Early post-enrollment periods subject to short-horizon dynamic selection (e.g., deferral effects) are excluded from frailty identification via prespecified skip weeks.</w:t>
      </w:r>
    </w:p>
    <w:p>
      <w:pPr>
        <w:numPr>
          <w:ilvl w:val="0"/>
          <w:numId w:val="1011"/>
        </w:numPr>
      </w:pPr>
      <w:r>
        <w:rPr>
          <w:b/>
          <w:bCs/>
        </w:rPr>
        <w:t xml:space="preserve">Quiet baseline anchoring.</w:t>
      </w:r>
      <w:r>
        <w:t xml:space="preserve"> </w:t>
      </w:r>
      <w:r>
        <w:t xml:space="preserve">The baseline anchoring period used for comparison lies within an epidemiologically quiet window, free of major external shocks, and exhibits approximate post-normalization linearity.</w:t>
      </w:r>
    </w:p>
    <w:p>
      <w:pPr>
        <w:numPr>
          <w:ilvl w:val="0"/>
          <w:numId w:val="1011"/>
        </w:numPr>
      </w:pPr>
      <w:r>
        <w:rPr>
          <w:b/>
          <w:bCs/>
        </w:rPr>
        <w:t xml:space="preserve">Temporal alignment with hypothesized effects.</w:t>
      </w:r>
      <w:r>
        <w:t xml:space="preserve"> </w:t>
      </w:r>
      <w:r>
        <w:t xml:space="preserve">The follow-up window used for interpretation overlaps the period during which a substantive effect is hypothesized to occur; KCOR does not recover effects outside the analyzed window.</w:t>
      </w:r>
    </w:p>
    <w:p>
      <w:pPr>
        <w:numPr>
          <w:ilvl w:val="0"/>
          <w:numId w:val="1011"/>
        </w:numPr>
      </w:pPr>
      <w:r>
        <w:rPr>
          <w:b/>
          <w:bCs/>
        </w:rPr>
        <w:t xml:space="preserve">Post-normalization stability.</w:t>
      </w:r>
      <w:r>
        <w:t xml:space="preserve"> </w:t>
      </w:r>
      <w:r>
        <w:t xml:space="preserve">KCOR(t) trajectories stabilize rather than drift following normalization and anchoring, consistent with successful removal of selection-induced depletion curvature.</w:t>
      </w:r>
    </w:p>
    <w:p>
      <w:pPr>
        <w:numPr>
          <w:ilvl w:val="0"/>
          <w:numId w:val="1011"/>
        </w:numPr>
      </w:pPr>
      <w:r>
        <w:rPr>
          <w:b/>
          <w:bCs/>
        </w:rPr>
        <w:t xml:space="preserve">Diagnostic coherence.</w:t>
      </w:r>
      <w:r>
        <w:t xml:space="preserve"> </w:t>
      </w:r>
      <w:r>
        <w:t xml:space="preserve">Fitted frailty parameters and residual diagnostics are stable under reasonable perturbations of skip weeks and quiet-window boundaries.</w:t>
      </w:r>
    </w:p>
    <w:p>
      <w:pPr>
        <w:pStyle w:val="FirstParagraph"/>
      </w:pPr>
      <w:r>
        <w:t xml:space="preserve">Failure of any interpretability check narrows what can be inferred, but does not invalidate the KCOR estimator itself. Formal diagnostics underlying these checks, including frailty-parameter coherence and stability, are detailed in Appendix D.</w:t>
      </w:r>
    </w:p>
    <w:bookmarkEnd w:id="26"/>
    <w:bookmarkStart w:id="27" w:name="Xc1b0e04e56855481db261cf53694dff2f44b845"/>
    <w:p>
      <w:pPr>
        <w:pStyle w:val="Heading4"/>
      </w:pPr>
      <w:r>
        <w:t xml:space="preserve">2.1.2a Multiplicity and ensemble interpretation</w:t>
      </w:r>
    </w:p>
    <w:p>
      <w:pPr>
        <w:pStyle w:val="FirstParagraph"/>
      </w:pPr>
      <w:r>
        <w:t xml:space="preserve">KCOR is not intended as a mass univariate hypothesis-testing framework. When applied across multiple age strata, enrollment periods, or dose comparisons, resulting KCOR(t) trajectories should be interpreted as correlated views of a shared underlying process rather than as independent statistical tests. Accordingly, inference emphasizes diagnostic coherence, temporal stability, and consistency of cumulative-outcome patterns across strata, rather than reliance on nominal significance thresholds or formal multiple-comparison corrections.</w:t>
      </w:r>
    </w:p>
    <w:bookmarkEnd w:id="27"/>
    <w:bookmarkStart w:id="28" w:name="identifiability-and-scope-of-inference"/>
    <w:p>
      <w:pPr>
        <w:pStyle w:val="Heading4"/>
      </w:pPr>
      <w:r>
        <w:t xml:space="preserve">2.1.3 Identifiability and scope of inference</w:t>
      </w:r>
    </w:p>
    <w:p>
      <w:pPr>
        <w:pStyle w:val="FirstParagraph"/>
      </w:pPr>
      <w:r>
        <w:t xml:space="preserve">Identifiability in the KCOR framework concerns whether cumulative outcome differences can be meaningfully interpreted after explicit normalization of selection-induced depletion. KCOR does not seek to decompose selection and treatment effects into separate causal components; instead, it tests whether observed cumulative outcomes depart from the null hypothesis of no net harm or benefit under shared external hazards and diagnosed frailty structure. When diagnostic and interpretability conditions are satisfied, persistent departures of KCOR(t) from unity reflect differences in cumulative outcomes that cannot be attributed to selection alone. When those conditions are not met, KCOR explicitly signals loss of identifiability rather than producing misleading estimates.</w:t>
      </w:r>
    </w:p>
    <w:bookmarkEnd w:id="28"/>
    <w:bookmarkStart w:id="29" w:name="X2ff639dda5c76ee12c1be373d6ab806d9726741"/>
    <w:p>
      <w:pPr>
        <w:pStyle w:val="Heading4"/>
      </w:pPr>
      <w:r>
        <w:t xml:space="preserve">2.1.4 What KCOR is not: distinction from Cox and frailty regression</w:t>
      </w:r>
    </w:p>
    <w:p>
      <w:pPr>
        <w:pStyle w:val="FirstParagraph"/>
      </w:pPr>
      <w:r>
        <w:t xml:space="preserve">KCOR is</w:t>
      </w:r>
      <w:r>
        <w:t xml:space="preserve"> </w:t>
      </w:r>
      <w:r>
        <w:rPr>
          <w:b/>
          <w:bCs/>
        </w:rPr>
        <w:t xml:space="preserve">not</w:t>
      </w:r>
      <w:r>
        <w:t xml:space="preserve"> </w:t>
      </w:r>
      <w:r>
        <w:t xml:space="preserve">a Cox proportional hazards model, with or without frailty. Cox models—whether standard or augmented with gamma frailty—are regression models whose primary estimand is a coefficient vector</w:t>
      </w:r>
      <w:r>
        <w:t xml:space="preserve"> </w:t>
      </w:r>
      <m:oMath>
        <m:r>
          <m:t>β</m:t>
        </m:r>
      </m:oMath>
      <w:r>
        <w:t xml:space="preserve">, typically interpreted through hazard ratios. Estimation proceeds by (penalized) partial likelihood based on risk sets, and interpretation relies on proportional hazards (at least conditional on frailty in frailty-augmented Cox models).</w:t>
      </w:r>
    </w:p>
    <w:p>
      <w:pPr>
        <w:pStyle w:val="BodyText"/>
      </w:pPr>
      <w:r>
        <w:t xml:space="preserve">In causal terminology, latent frailty heterogeneity functions as an unmeasured confounder; however, its defining feature in this setting is not baseline imbalance per se but the induced time-evolution of the risk set, which violates proportional hazards even under a true null effect.</w:t>
      </w:r>
    </w:p>
    <w:p>
      <w:pPr>
        <w:pStyle w:val="BodyText"/>
      </w:pPr>
      <w:r>
        <w:t xml:space="preserve">In contrast, KCOR does not estimate regression coefficients, does not condition on risk sets, and does not assume proportional hazards. KCOR treats cohort heterogeneity (frailty-driven selection and depletion) as the primary object of inference rather than as a nuisance random effect. Specifically, KCOR estimates cohort-specific frailty parameters from curvature in observed cumulative hazards during epidemiologically quiet periods and uses these parameters to compute</w:t>
      </w:r>
      <w:r>
        <w:t xml:space="preserve"> </w:t>
      </w:r>
      <w:r>
        <w:rPr>
          <w:b/>
          <w:bCs/>
        </w:rPr>
        <w:t xml:space="preserve">depletion-neutralized baseline cumulative hazards</w:t>
      </w:r>
      <w:r>
        <w:t xml:space="preserve">. KCOR then compares cohorts cumulatively using ratios of these depletion-neutralized quantities.</w:t>
      </w:r>
    </w:p>
    <w:p>
      <w:pPr>
        <w:pStyle w:val="BodyText"/>
      </w:pPr>
      <w:r>
        <w:t xml:space="preserve">Because KCOR neither targets</w:t>
      </w:r>
      <w:r>
        <w:t xml:space="preserve"> </w:t>
      </w:r>
      <m:oMath>
        <m:r>
          <m:t>β</m:t>
        </m:r>
      </m:oMath>
      <w:r>
        <w:t xml:space="preserve"> </w:t>
      </w:r>
      <w:r>
        <w:t xml:space="preserve">nor uses partial likelihood, it is not a special case of Cox frailty models and does not generalize them. KCOR addresses a different inferential problem: normalization of selection-induced hazard curvature and cumulative comparison after that normalization. Cox-type models remain appropriate when the scientific target is an instantaneous hazard ratio and proportional hazards is defensible; KCOR is designed for settings where non-proportional hazards from selection and depletion dominate and cumulative comparisons are the target.</w:t>
      </w:r>
    </w:p>
    <w:bookmarkEnd w:id="29"/>
    <w:bookmarkStart w:id="30" w:name="X19be1cc8b4f22674f4fa31b60c80ceca3407093"/>
    <w:p>
      <w:pPr>
        <w:pStyle w:val="Heading4"/>
      </w:pPr>
      <w:r>
        <w:t xml:space="preserve">2.1.5 Model diagnostics and falsification criteria</w:t>
      </w:r>
    </w:p>
    <w:p>
      <w:pPr>
        <w:pStyle w:val="FirstParagraph"/>
      </w:pPr>
      <w:r>
        <w:t xml:space="preserve">KCOR is not validated by goodness-of-fit alone. Instead, it implies a set of independent structural diagnostics that must be satisfied simultaneously. These diagnostics are defined ex ante and provide explicit failure modes: violation of any one constitutes evidence against model adequacy rather than a need for reinterpretation.</w:t>
      </w:r>
    </w:p>
    <w:p>
      <w:pPr>
        <w:pStyle w:val="BodyText"/>
      </w:pPr>
      <w:r>
        <w:t xml:space="preserve">Specifically, KCOR implies that (i) unvaccinated cohorts drawn from heterogeneous populations exhibit non-zero gamma frailty with visible curvature in cumulative hazard; (ii) cohorts subject to strong selective uptake exhibit near-zero estimated frailty:</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and approximately linear cumulative hazards during epidemiologically quiet windows; (iii) fitted frailty parameters vary coherently with age, reflecting the interaction between baseline hazard and heterogeneity rather than enforcing monotonicity; and (iv) cumulative hazard ratios converge to stable asymptotes following KCOR normalization.</w:t>
      </w:r>
    </w:p>
    <w:p>
      <w:pPr>
        <w:pStyle w:val="BodyText"/>
      </w:pPr>
      <w:r>
        <w:t xml:space="preserve">Importantly, none of these properties are imposed as constraints or priors. All emerge from the data. In low-information regimes (e.g., sparse events or highly selected cohorts), KCOR is expected to degrade toward instability or attenuation rather than producing spurious effects. These behaviors provide a falsifiable diagnostic framework rather than a model-tuning mechanism.</w:t>
      </w:r>
    </w:p>
    <w:bookmarkEnd w:id="30"/>
    <w:bookmarkEnd w:id="31"/>
    <w:bookmarkStart w:id="33"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 Required inputs are minimal: for each individual, the intervention or enrollment date(s) and the</w:t>
      </w:r>
      <w:r>
        <w:t xml:space="preserve"> </w:t>
      </w:r>
      <w:r>
        <w:rPr>
          <w:b/>
          <w:bCs/>
        </w:rPr>
        <w:t xml:space="preserve">event date</w:t>
      </w:r>
      <w:r>
        <w:t xml:space="preserve"> </w:t>
      </w:r>
      <w:r>
        <w:t xml:space="preserve">(e.g., death for mortality analyses), with birth date or year included only if age stratification is performed. Throughout, we use</w:t>
      </w:r>
      <w:r>
        <w:t xml:space="preserve"> </w:t>
      </w:r>
      <w:r>
        <w:t xml:space="preserve">“event”</w:t>
      </w:r>
      <w:r>
        <w:t xml:space="preserve"> </w:t>
      </w:r>
      <w:r>
        <w:t xml:space="preserve">to denote the outcome of interest, with event timing recorded relative to cohort enrollment.</w:t>
      </w:r>
    </w:p>
    <w:p>
      <w:pPr>
        <w:pStyle w:val="Compact"/>
        <w:numPr>
          <w:ilvl w:val="0"/>
          <w:numId w:val="1012"/>
        </w:numPr>
      </w:pPr>
      <w:r>
        <w:t xml:space="preserve">Cohorts are fixed at enrollment and defined by intervention status at the start of the enrollment week; doses administered during the enrollment week do not affect cohort assignment (i.e., dose status is determined by doses received</w:t>
      </w:r>
      <w:r>
        <w:t xml:space="preserve"> </w:t>
      </w:r>
      <w:r>
        <w:rPr>
          <w:b/>
          <w:bCs/>
        </w:rPr>
        <w:t xml:space="preserve">strictly before</w:t>
      </w:r>
      <w:r>
        <w:t xml:space="preserve"> </w:t>
      </w:r>
      <w:r>
        <w:t xml:space="preserve">the enrollment week start).</w:t>
      </w:r>
    </w:p>
    <w:p>
      <w:pPr>
        <w:pStyle w:val="Compact"/>
        <w:numPr>
          <w:ilvl w:val="0"/>
          <w:numId w:val="1012"/>
        </w:numPr>
      </w:pPr>
      <w:r>
        <w:t xml:space="preserve">No censoring or cohort switching is permitted in the primary estimand.</w:t>
      </w:r>
    </w:p>
    <w:p>
      <w:pPr>
        <w:pStyle w:val="Compact"/>
        <w:numPr>
          <w:ilvl w:val="0"/>
          <w:numId w:val="1012"/>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w:t>
      </w:r>
      <w:r>
        <w:t xml:space="preserve"> </w:t>
      </w:r>
      <w:r>
        <w:t xml:space="preserve">“as-treated”</w:t>
      </w:r>
      <w:r>
        <w:t xml:space="preserve"> </w:t>
      </w:r>
      <w:r>
        <w:t xml:space="preserve">formulations are treated as sensitivity analyses rather than primary estimands.</w:t>
      </w:r>
    </w:p>
    <w:p>
      <w:pPr>
        <w:pStyle w:val="BodyText"/>
      </w:pPr>
      <w:r>
        <w:rPr>
          <w:b/>
          <w:bCs/>
        </w:rPr>
        <w:t xml:space="preserve">Failure event.</w:t>
      </w:r>
      <w:r>
        <w:t xml:space="preserve"> </w:t>
      </w:r>
      <w:r>
        <w:t xml:space="preserve">The failure event analyzed in this manuscript is</w:t>
      </w:r>
      <w:r>
        <w:t xml:space="preserve"> </w:t>
      </w:r>
      <w:r>
        <w:rPr>
          <w:b/>
          <w:bCs/>
        </w:rPr>
        <w:t xml:space="preserve">all-cause mortality</w:t>
      </w:r>
      <w:r>
        <w:t xml:space="preserve">, defined as death from any cause occurring after cohort enrollment. KCOR therefore does not target a cause-specific hazard and is not framed as a competing risks analysis. This choice is deliberate: selection-induced depletion operates on overall mortality risk regardless of cause, and restricting to cause-specific outcomes requires additional assumptions and introduces sensitivity to misclassification and post-treatment information. Extensions of KCOR to cause-specific outcomes are possible but are outside the scope of this methods paper.</w:t>
      </w:r>
    </w:p>
    <w:bookmarkStart w:id="32" w:name="Xcc9d8eae92928ff9c0042d8fe45a8a74421cd30"/>
    <w:p>
      <w:pPr>
        <w:pStyle w:val="Heading4"/>
      </w:pPr>
      <w:r>
        <w:t xml:space="preserve">2.2.1 KCOR data representation and reproducibility</w:t>
      </w:r>
    </w:p>
    <w:p>
      <w:pPr>
        <w:pStyle w:val="FirstParagraph"/>
      </w:pPr>
      <w:r>
        <w:t xml:space="preserve">All analyses were performed using the KCOR (Kirsch Cumulative Outcomes Ratio) framework, which operates on fixed-cohort, time-indexed observational data under explicitly defined enrollment and outcome semantics.</w:t>
      </w:r>
    </w:p>
    <w:p>
      <w:pPr>
        <w:pStyle w:val="BodyText"/>
      </w:pPr>
      <w:r>
        <w:t xml:space="preserve">To ensure reproducibility across jurisdictions with differing privacy and disclosure-control regimes, KCOR supports three formally defined data representations:</w:t>
      </w:r>
    </w:p>
    <w:p>
      <w:pPr>
        <w:pStyle w:val="Compact"/>
        <w:numPr>
          <w:ilvl w:val="0"/>
          <w:numId w:val="1013"/>
        </w:numPr>
      </w:pPr>
      <w:r>
        <w:t xml:space="preserve">Record-level data</w:t>
      </w:r>
      <w:r>
        <w:br/>
      </w:r>
    </w:p>
    <w:p>
      <w:pPr>
        <w:pStyle w:val="Compact"/>
        <w:numPr>
          <w:ilvl w:val="0"/>
          <w:numId w:val="1013"/>
        </w:numPr>
      </w:pPr>
      <w:r>
        <w:t xml:space="preserve">Aggregated outcome summary data</w:t>
      </w:r>
      <w:r>
        <w:br/>
      </w:r>
    </w:p>
    <w:p>
      <w:pPr>
        <w:pStyle w:val="Compact"/>
        <w:numPr>
          <w:ilvl w:val="0"/>
          <w:numId w:val="1013"/>
        </w:numPr>
      </w:pPr>
      <w:r>
        <w:t xml:space="preserve">Hazard summary data</w:t>
      </w:r>
    </w:p>
    <w:p>
      <w:pPr>
        <w:pStyle w:val="FirstParagraph"/>
      </w:pPr>
      <w:r>
        <w:t xml:space="preserve">These formats differ only in disclosure surface; they are analytically equivalent under the KCOR methodology.</w:t>
      </w:r>
    </w:p>
    <w:p>
      <w:pPr>
        <w:pStyle w:val="BodyText"/>
      </w:pPr>
      <w:r>
        <w:t xml:space="preserve">The precise definitions of enrollment, cohort freezing, time indexing, risk sets, outcomes, stratifiers, and disclosure-control constraints are specified in the</w:t>
      </w:r>
      <w:r>
        <w:t xml:space="preserve"> </w:t>
      </w:r>
      <w:r>
        <w:rPr>
          <w:b/>
          <w:bCs/>
        </w:rPr>
        <w:t xml:space="preserve">KCOR data format specification</w:t>
      </w:r>
      <w:r>
        <w:t xml:space="preserve">, which is versioned and publicly available:</w:t>
      </w:r>
    </w:p>
    <w:p>
      <w:pPr>
        <w:pStyle w:val="BlockText"/>
      </w:pPr>
      <w:r>
        <w:rPr>
          <w:i/>
          <w:iCs/>
        </w:rPr>
        <w:t xml:space="preserve">KCOR File Format Specification</w:t>
      </w:r>
      <w:r>
        <w:br/>
      </w:r>
      <w:r>
        <w:rPr>
          <w:rStyle w:val="VerbatimChar"/>
        </w:rPr>
        <w:t xml:space="preserve">documentation/specs/KCOR_file_format.md</w:t>
      </w:r>
    </w:p>
    <w:p>
      <w:pPr>
        <w:pStyle w:val="FirstParagraph"/>
      </w:pPr>
      <w:r>
        <w:t xml:space="preserve">All KCOR results presented in this paper can be reproduced from any data representation that conforms to this specification.</w:t>
      </w:r>
    </w:p>
    <w:bookmarkEnd w:id="32"/>
    <w:bookmarkEnd w:id="33"/>
    <w:bookmarkStart w:id="37"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bookmarkStart w:id="34" w:name="eq:hazard-discrete"/>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oMath>
      <w:r>
        <w:t xml:space="preserve"> </w:t>
      </w:r>
      <w:r>
        <w:tab/>
      </w:r>
      <w:r>
        <w:t xml:space="preserve"> </w:t>
      </w:r>
      <m:oMath>
        <m:r>
          <m:rPr>
            <m:sty m:val="p"/>
          </m:rPr>
          <m:t>(</m:t>
        </m:r>
        <m:r>
          <m:t>1</m:t>
        </m:r>
        <m:r>
          <m:rPr>
            <m:sty m:val="p"/>
          </m:rPr>
          <m:t>)</m:t>
        </m:r>
      </m:oMath>
    </w:p>
    <w:bookmarkEnd w:id="34"/>
    <w:p>
      <w:pPr>
        <w:pStyle w:val="BodyText"/>
      </w:pPr>
      <w:r>
        <w:t xml:space="preserve">We work primarily in</w:t>
      </w:r>
      <w:r>
        <w:t xml:space="preserve"> </w:t>
      </w:r>
      <w:r>
        <w:rPr>
          <w:b/>
          <w:bCs/>
        </w:rPr>
        <w:t xml:space="preserve">cumulative-hazard space</w:t>
      </w:r>
      <w:r>
        <w:t xml:space="preserve">, accumulating observed hazards after an optional stabilization skip (see §2.7):</w:t>
      </w:r>
    </w:p>
    <w:bookmarkStart w:id="35" w:name="eq:cumhazard-observed"/>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oMath>
      <w:r>
        <w:t xml:space="preserve"> </w:t>
      </w:r>
      <w:r>
        <w:tab/>
      </w:r>
      <w:r>
        <w:t xml:space="preserve"> </w:t>
      </w:r>
      <m:oMath>
        <m:r>
          <m:rPr>
            <m:sty m:val="p"/>
          </m:rPr>
          <m:t>(</m:t>
        </m:r>
        <m:r>
          <m:t>2</m:t>
        </m:r>
        <m:r>
          <m:rPr>
            <m:sty m:val="p"/>
          </m:rPr>
          <m:t>)</m:t>
        </m:r>
      </m:oMath>
    </w:p>
    <w:bookmarkEnd w:id="35"/>
    <w:bookmarkStart w:id="36" w:name="discrete-time-and-tied-events"/>
    <w:p>
      <w:pPr>
        <w:pStyle w:val="Heading4"/>
      </w:pPr>
      <w:r>
        <w:t xml:space="preserve">2.3.1 Discrete time and tied events</w:t>
      </w:r>
    </w:p>
    <w:p>
      <w:pPr>
        <w:pStyle w:val="FirstParagraph"/>
      </w:pPr>
      <w:r>
        <w:t xml:space="preserve">KCOR is formulated in discrete time using aggregated event counts and therefore naturally accommodates tied event times. For population registry data, weekly or similarly coarse time bins are generally appropriate and reduce noise without sacrificing identifiability. Finer binning does not improve depletion normalization and may destabilize frailty estimation when event counts per bin are small. Bin width should be guided by diagnostic stability rather than temporal resolution alone.</w:t>
      </w:r>
    </w:p>
    <w:bookmarkEnd w:id="36"/>
    <w:bookmarkEnd w:id="37"/>
    <w:bookmarkStart w:id="50" w:name="Xe033a348c5bd6b05b57c8d9f7299f5850ccd667"/>
    <w:p>
      <w:pPr>
        <w:pStyle w:val="Heading3"/>
      </w:pPr>
      <w:r>
        <w:t xml:space="preserve">2.4 Selection model: gamma frailty and the cumulative-hazard identity</w:t>
      </w:r>
    </w:p>
    <w:bookmarkStart w:id="39"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bookmarkStart w:id="38" w:name="eq:individual-hazard-frailty"/>
    <w:p>
      <w:pPr>
        <w:pStyle w:val="BodyText"/>
      </w:pPr>
      <w:pPr>
        <w:tabs>
          <w:tab w:val="center" w:leader="none" w:pos="4680"/>
          <w:tab w:val="right" w:leader="none" w:pos="9360"/>
        </w:tabs>
      </w:pPr>
      <w:r>
        <w:tab/>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oMath>
      <w:r>
        <w:t xml:space="preserve"> </w:t>
      </w:r>
      <w:r>
        <w:tab/>
      </w:r>
      <w:r>
        <w:t xml:space="preserve"> </w:t>
      </w:r>
      <m:oMath>
        <m:r>
          <m:rPr>
            <m:sty m:val="p"/>
          </m:rPr>
          <m:t>(</m:t>
        </m:r>
        <m:r>
          <m:t>3</m:t>
        </m:r>
        <m:r>
          <m:rPr>
            <m:sty m:val="p"/>
          </m:rPr>
          <m:t>)</m:t>
        </m:r>
      </m:oMath>
    </w:p>
    <w:bookmarkEnd w:id="38"/>
    <w:p>
      <w:pPr>
        <w:pStyle w:val="BodyText"/>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1</w:t>
      </w:r>
      <w:r>
        <w:t xml:space="preserve"> </w:t>
      </w:r>
      <w:r>
        <w:t xml:space="preserve">In KCOR, gamma frailty therefore serves as a</w:t>
      </w:r>
      <w:r>
        <w:t xml:space="preserve"> </w:t>
      </w:r>
      <w:r>
        <w:rPr>
          <w:b/>
          <w:bCs/>
        </w:rPr>
        <w:t xml:space="preserve">geometric approximation for depletion normalization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 observed cohort hazards 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p>
      <w:pPr>
        <w:pStyle w:val="BodyText"/>
      </w:pPr>
      <w:r>
        <w:rPr>
          <w:b/>
          <w:bCs/>
        </w:rPr>
        <w:t xml:space="preserve">Interpretation of frailty in this work.</w:t>
      </w:r>
      <w:r>
        <w:t xml:space="preserve"> </w:t>
      </w:r>
      <w:r>
        <w:t xml:space="preserve">Here</w:t>
      </w:r>
      <w:r>
        <w:t xml:space="preserve"> </w:t>
      </w:r>
      <w:r>
        <w:t xml:space="preserve">“frailty”</w:t>
      </w:r>
      <w:r>
        <w:t xml:space="preserve"> </w:t>
      </w:r>
      <w:r>
        <w:t xml:space="preserve">denotes unobserved, time-invariant multiplicative heterogeneity in baseline mortality risk at cohort entry. It is not interpreted as a specific biological attribute and is not treated as a causal mediator of vaccination. Rather, it is a statistical construct capturing latent heterogeneity that produces selective depletion over time and induces curvature in cohort-level hazards and cumulative hazards. KCOR uses frailty as a geometric device to model and remove selection-induced curvature prior to cohort comparison. Frailty in KCOR is not interpreted as a causal variable or mediator of the intervention; it is a statistical construct used to model and remove selection-induced depletion geometry prior to cohort comparison.</w:t>
      </w:r>
    </w:p>
    <w:bookmarkEnd w:id="39"/>
    <w:bookmarkStart w:id="47" w:name="gamma-frailty-identity-core-mathematics"/>
    <w:p>
      <w:pPr>
        <w:pStyle w:val="Heading4"/>
      </w:pPr>
      <w:r>
        <w:t xml:space="preserve">2.4.2 Gamma-frailty identity (core mathematics)</w:t>
      </w:r>
    </w:p>
    <w:p>
      <w:pPr>
        <w:pStyle w:val="FirstParagraph"/>
      </w:pPr>
      <w:r>
        <w:t xml:space="preserve">Let the baseline cumulative hazard be</w:t>
      </w:r>
    </w:p>
    <w:bookmarkStart w:id="40" w:name="eq:baseline-cumhazard"/>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oMath>
      <w:r>
        <w:t xml:space="preserve"> </w:t>
      </w:r>
      <w:r>
        <w:tab/>
      </w:r>
      <w:r>
        <w:t xml:space="preserve"> </w:t>
      </w:r>
      <m:oMath>
        <m:r>
          <m:rPr>
            <m:sty m:val="p"/>
          </m:rPr>
          <m:t>(</m:t>
        </m:r>
        <m:r>
          <m:t>4</m:t>
        </m:r>
        <m:r>
          <m:rPr>
            <m:sty m:val="p"/>
          </m:rPr>
          <m:t>)</m:t>
        </m:r>
      </m:oMath>
    </w:p>
    <w:bookmarkEnd w:id="40"/>
    <w:p>
      <w:pPr>
        <w:pStyle w:val="BodyText"/>
      </w:pPr>
      <w:r>
        <w:t xml:space="preserve">Integrating over gamma frailty yields a closed-form relationship between the observed cohort cumulative hazard and the baseline cumulative hazard:</w:t>
      </w:r>
    </w:p>
    <w:bookmarkStart w:id="41" w:name="eq:gamma-frailty-identity"/>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oMath>
      <w:r>
        <w:t xml:space="preserve"> </w:t>
      </w:r>
      <w:r>
        <w:tab/>
      </w:r>
      <w:r>
        <w:t xml:space="preserve"> </w:t>
      </w:r>
      <m:oMath>
        <m:r>
          <m:rPr>
            <m:sty m:val="p"/>
          </m:rPr>
          <m:t>(</m:t>
        </m:r>
        <m:r>
          <m:t>5</m:t>
        </m:r>
        <m:r>
          <m:rPr>
            <m:sty m:val="p"/>
          </m:rPr>
          <m:t>)</m:t>
        </m:r>
      </m:oMath>
    </w:p>
    <w:bookmarkEnd w:id="41"/>
    <w:p>
      <w:pPr>
        <w:pStyle w:val="BodyText"/>
      </w:pPr>
      <w:r>
        <w:t xml:space="preserve">This identity can be inverted exactly:</w:t>
      </w:r>
    </w:p>
    <w:bookmarkStart w:id="42" w:name="eq:gamma-frailty-inversion"/>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w:r>
        <w:t xml:space="preserve"> </w:t>
      </w:r>
      <w:r>
        <w:tab/>
      </w:r>
      <w:r>
        <w:t xml:space="preserve"> </w:t>
      </w:r>
      <m:oMath>
        <m:r>
          <m:rPr>
            <m:sty m:val="p"/>
          </m:rPr>
          <m:t>(</m:t>
        </m:r>
        <m:r>
          <m:t>6</m:t>
        </m:r>
        <m:r>
          <m:rPr>
            <m:sty m:val="p"/>
          </m:rPr>
          <m:t>)</m:t>
        </m:r>
      </m:oMath>
    </w:p>
    <w:bookmarkEnd w:id="42"/>
    <w:p>
      <w:pPr>
        <w:pStyle w:val="BodyText"/>
      </w:pPr>
      <w:r>
        <w:t xml:space="preserve">This inversion is the</w:t>
      </w:r>
      <w:r>
        <w:t xml:space="preserve"> </w:t>
      </w:r>
      <w:r>
        <w:rPr>
          <w:b/>
          <w:bCs/>
        </w:rPr>
        <w:t xml:space="preserve">KCOR normalization step</w:t>
      </w:r>
      <w:r>
        <w:t xml:space="preserve">: it transforms the observed cumulative hazard into a depletion-neutralized baseline cumulative hazard for each cohort. Figure 1 illustrates this logic schematically.</w:t>
      </w:r>
    </w:p>
    <w:bookmarkStart w:id="46" w:name="fig:kcor_v6_schematic"/>
    <w:p>
      <w:pPr>
        <w:pStyle w:val="CaptionedFigure"/>
      </w:pPr>
      <w:r>
        <w:drawing>
          <wp:inline>
            <wp:extent cx="5334000" cy="1417316"/>
            <wp:effectExtent b="0" l="0" r="0" t="0"/>
            <wp:docPr descr="Figure 1. Three-panel schematic illustrating the KCOR normalization logic. Left: individual hazards differ only by multiplicative frailty z, with no treatment effect. Middle: aggregation over heterogeneous frailty induces cohort-level curvature in observed cumulative hazards despite identical baseline hazards. Right: inversion of the gamma-frailty identity recovers aligned baseline cumulative hazards, demonstrating depletion-neutralization. This figure is schematic and intended for conceptual illustration; it does not represent empirical data." title="" id="44" name="Picture"/>
            <a:graphic>
              <a:graphicData uri="http://schemas.openxmlformats.org/drawingml/2006/picture">
                <pic:pic>
                  <pic:nvPicPr>
                    <pic:cNvPr descr="figures/fig1_kcor_v6_schematic.png" id="45" name="Picture"/>
                    <pic:cNvPicPr>
                      <a:picLocks noChangeArrowheads="1" noChangeAspect="1"/>
                    </pic:cNvPicPr>
                  </pic:nvPicPr>
                  <pic:blipFill>
                    <a:blip r:embed="rId43"/>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 despite identical baseline hazards. Right: inversion of the gamma-frailty identity recovers aligned baseline cumulative hazards, demonstrating depletion-neutralization. This figure is schematic and intended for conceptual illustration; it does not represent empirical data.</w:t>
      </w:r>
    </w:p>
    <w:bookmarkEnd w:id="46"/>
    <w:p>
      <w:pPr>
        <w:pStyle w:val="BodyText"/>
      </w:pPr>
      <w:r>
        <w:t xml:space="preserve">Observed cumulative hazard:</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p>
      <w:pPr>
        <w:pStyle w:val="FirstParagraph"/>
      </w:pPr>
      <w:r>
        <w:t xml:space="preserve">Baseline cumulative hazard:</w:t>
      </w:r>
    </w:p>
    <w:p>
      <w:pPr>
        <w:pStyle w:val="BodyText"/>
      </w:pPr>
      <m:oMathPara>
        <m:oMathParaPr>
          <m:jc m:val="center"/>
        </m:oMathParaPr>
        <m:oMath>
          <m:sSub>
            <m:e>
              <m:r>
                <m:t>H</m:t>
              </m:r>
            </m:e>
            <m:sub>
              <m:r>
                <m:t>0</m:t>
              </m:r>
              <m:r>
                <m:rPr>
                  <m:sty m:val="p"/>
                </m:rPr>
                <m:t>,</m:t>
              </m:r>
              <m:r>
                <m:t>d</m:t>
              </m:r>
            </m:sub>
          </m:sSub>
          <m:r>
            <m:rPr>
              <m:sty m:val="p"/>
            </m:rPr>
            <m:t>(</m:t>
          </m:r>
          <m:r>
            <m:t>t</m:t>
          </m:r>
          <m:r>
            <m:rPr>
              <m:sty m:val="p"/>
            </m:rPr>
            <m:t>)</m:t>
          </m:r>
        </m:oMath>
      </m:oMathPara>
    </w:p>
    <w:bookmarkEnd w:id="47"/>
    <w:bookmarkStart w:id="49"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bookmarkStart w:id="48" w:name="eq:baseline-shape-default"/>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w:r>
        <w:t xml:space="preserve"> </w:t>
      </w:r>
      <w:r>
        <w:tab/>
      </w:r>
      <w:r>
        <w:t xml:space="preserve"> </w:t>
      </w:r>
      <m:oMath>
        <m:r>
          <m:rPr>
            <m:sty m:val="p"/>
          </m:rPr>
          <m:t>(</m:t>
        </m:r>
        <m:r>
          <m:t>7</m:t>
        </m:r>
        <m:r>
          <m:rPr>
            <m:sty m:val="p"/>
          </m:rPr>
          <m:t>)</m:t>
        </m:r>
      </m:oMath>
    </w:p>
    <w:bookmarkEnd w:id="48"/>
    <w:p>
      <w:pPr>
        <w:pStyle w:val="BodyText"/>
      </w:pPr>
      <w:r>
        <w:t xml:space="preserve">This choice minimizes degrees of freedom and forces curvature during quiet periods to be explained by selection (frailty) rather than by an explicit time-varying baseline.</w:t>
      </w:r>
    </w:p>
    <w:bookmarkEnd w:id="49"/>
    <w:bookmarkEnd w:id="50"/>
    <w:bookmarkStart w:id="55"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bookmarkStart w:id="51" w:name="eq:hobs-model"/>
    <w:p>
      <w:pPr>
        <w:pStyle w:val="BodyText"/>
      </w:pPr>
      <w:pPr>
        <w:tabs>
          <w:tab w:val="center" w:leader="none" w:pos="4680"/>
          <w:tab w:val="right" w:leader="none" w:pos="9360"/>
        </w:tabs>
      </w:pPr>
      <w:r>
        <w:tab/>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oMath>
      <w:r>
        <w:t xml:space="preserve"> </w:t>
      </w:r>
      <w:r>
        <w:tab/>
      </w:r>
      <w:r>
        <w:t xml:space="preserve"> </w:t>
      </w:r>
      <m:oMath>
        <m:r>
          <m:rPr>
            <m:sty m:val="p"/>
          </m:rPr>
          <m:t>(</m:t>
        </m:r>
        <m:r>
          <m:t>8</m:t>
        </m:r>
        <m:r>
          <m:rPr>
            <m:sty m:val="p"/>
          </m:rPr>
          <m:t>)</m:t>
        </m:r>
      </m:oMath>
    </w:p>
    <w:bookmarkEnd w:id="51"/>
    <w:p>
      <w:pPr>
        <w:pStyle w:val="BodyText"/>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observed cumulative hazards are nonlinear in event time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 observed cumulative hazards naturally drive the fitted frailty variance toward zero;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 fitted frailty variance estimates approaching zero,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indicating minimal detectable depletion. This outcome is data-driven and reflects the absence of observable selection-induced curvature rather than a modeling assumption. When residual time-varying risk contaminates a nominally quiet window, fitted frailty variance estimates naturally shrink toward zero, signaling limited identifiability rather than inducing spurious correction.</w:t>
      </w:r>
    </w:p>
    <w:p>
      <w:pPr>
        <w:pStyle w:val="BodyText"/>
      </w:pPr>
      <w:r>
        <w:t xml:space="preserve">Parameters are estimated by constrained nonlinear least squares:</w:t>
      </w:r>
    </w:p>
    <w:bookmarkStart w:id="52" w:name="eq:nls-objective"/>
    <w:p>
      <w:pPr>
        <w:pStyle w:val="BodyText"/>
      </w:pPr>
      <w:pPr>
        <w:tabs>
          <w:tab w:val="center" w:leader="none" w:pos="4680"/>
          <w:tab w:val="right" w:leader="none" w:pos="9360"/>
        </w:tabs>
      </w:pPr>
      <w:r>
        <w:tab/>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sSub>
          <m:e>
            <m:r>
              <m:rPr>
                <m:sty m:val="p"/>
              </m:rPr>
              <m:t>min</m:t>
            </m:r>
          </m:e>
          <m:sub>
            <m:sSub>
              <m:e>
                <m:r>
                  <m:t>k</m:t>
                </m:r>
              </m:e>
              <m:sub>
                <m:r>
                  <m:t>d</m:t>
                </m:r>
              </m:sub>
            </m:sSub>
            <m:r>
              <m:rPr>
                <m:sty m:val="p"/>
              </m:rPr>
              <m:t>&gt;</m:t>
            </m:r>
            <m:r>
              <m:t>0</m:t>
            </m:r>
            <m:r>
              <m:rPr>
                <m:sty m:val="p"/>
              </m:rPr>
              <m:t>,</m:t>
            </m:r>
            <m:r>
              <m:t> </m:t>
            </m:r>
            <m:sSub>
              <m:e>
                <m:r>
                  <m:t>θ</m:t>
                </m:r>
              </m:e>
              <m:sub>
                <m:r>
                  <m:t>d</m:t>
                </m:r>
              </m:sub>
            </m:sSub>
            <m:r>
              <m:rPr>
                <m:sty m:val="p"/>
              </m:rPr>
              <m:t>≥</m:t>
            </m:r>
            <m:r>
              <m:t>0</m:t>
            </m:r>
          </m:sub>
        </m:sSub>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oMath>
      <w:r>
        <w:t xml:space="preserve"> </w:t>
      </w:r>
      <w:r>
        <w:tab/>
      </w:r>
      <w:r>
        <w:t xml:space="preserve"> </w:t>
      </w:r>
      <m:oMath>
        <m:r>
          <m:rPr>
            <m:sty m:val="p"/>
          </m:rPr>
          <m:t>(</m:t>
        </m:r>
        <m:r>
          <m:t>9</m:t>
        </m:r>
        <m:r>
          <m:rPr>
            <m:sty m:val="p"/>
          </m:rPr>
          <m:t>)</m:t>
        </m:r>
      </m:oMath>
    </w:p>
    <w:bookmarkEnd w:id="52"/>
    <w:p>
      <w:pPr>
        <w:pStyle w:val="BodyText"/>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 observed cumulative hazards 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54"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defaults are:</w:t>
      </w:r>
    </w:p>
    <w:p>
      <w:pPr>
        <w:pStyle w:val="Compact"/>
        <w:numPr>
          <w:ilvl w:val="0"/>
          <w:numId w:val="1014"/>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14"/>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14"/>
        </w:numPr>
      </w:pPr>
      <w:r>
        <w:rPr>
          <w:b/>
          <w:bCs/>
        </w:rPr>
        <w:t xml:space="preserve">Observed hazard transform used to build observed cumulative hazards 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bookmarkStart w:id="53" w:name="eq:hazard-from-mr-improved"/>
    <w:p>
      <w:pPr>
        <w:pStyle w:val="FirstParagraph"/>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oMath>
      <w:r>
        <w:t xml:space="preserve"> </w:t>
      </w:r>
      <w:r>
        <w:tab/>
      </w:r>
      <w:r>
        <w:t xml:space="preserve"> </w:t>
      </w:r>
      <m:oMath>
        <m:r>
          <m:rPr>
            <m:sty m:val="p"/>
          </m:rPr>
          <m:t>(</m:t>
        </m:r>
        <m:r>
          <m:t>10</m:t>
        </m:r>
        <m:r>
          <m:rPr>
            <m:sty m:val="p"/>
          </m:rPr>
          <m:t>)</m:t>
        </m:r>
      </m:oMath>
    </w:p>
    <w:bookmarkEnd w:id="53"/>
    <w:p>
      <w:pPr>
        <w:pStyle w:val="BodyText"/>
      </w:pPr>
      <w:r>
        <w:t xml:space="preserve">This form provides a second-order accurate approximation to the continuous-time hazard while remaining numerically stable for small mortality-rate (MR) values.</w:t>
      </w:r>
    </w:p>
    <w:p>
      <w:pPr>
        <w:pStyle w:val="Compact"/>
        <w:numPr>
          <w:ilvl w:val="0"/>
          <w:numId w:val="1015"/>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5"/>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54"/>
    <w:bookmarkEnd w:id="55"/>
    <w:bookmarkStart w:id="60"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bookmarkStart w:id="56" w:name="eq:normalized-cumhazard"/>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w:r>
        <w:t xml:space="preserve"> </w:t>
      </w:r>
      <w:r>
        <w:tab/>
      </w:r>
      <w:r>
        <w:t xml:space="preserve"> </w:t>
      </w:r>
      <m:oMath>
        <m:r>
          <m:rPr>
            <m:sty m:val="p"/>
          </m:rPr>
          <m:t>(</m:t>
        </m:r>
        <m:r>
          <m:t>11</m:t>
        </m:r>
        <m:r>
          <m:rPr>
            <m:sty m:val="p"/>
          </m:rPr>
          <m:t>)</m:t>
        </m:r>
      </m:oMath>
    </w:p>
    <w:bookmarkEnd w:id="56"/>
    <w:p>
      <w:pPr>
        <w:pStyle w:val="BodyText"/>
      </w:pPr>
      <w:r>
        <w:t xml:space="preserve">This normalization maps each cohort into a depletion-neutralized baseline-hazard space in which the contribution of gamma frailty parameters</w:t>
      </w:r>
      <w:r>
        <w:t xml:space="preserve"> </w:t>
      </w:r>
      <m:oMath>
        <m:r>
          <m:rPr>
            <m:sty m:val="p"/>
          </m:rPr>
          <m:t>(</m:t>
        </m:r>
        <m:sSub>
          <m:e>
            <m:r>
              <m:t>θ</m:t>
            </m:r>
          </m:e>
          <m:sub>
            <m:r>
              <m:t>d</m:t>
            </m:r>
          </m:sub>
        </m:sSub>
        <m:r>
          <m:rPr>
            <m:sty m:val="p"/>
          </m:rPr>
          <m:t>,</m:t>
        </m:r>
        <m:sSub>
          <m:e>
            <m:r>
              <m:t>k</m:t>
            </m:r>
          </m:e>
          <m:sub>
            <m:r>
              <m:t>d</m:t>
            </m:r>
          </m:sub>
        </m:sSub>
        <m:r>
          <m:rPr>
            <m:sty m:val="p"/>
          </m:rPr>
          <m:t>)</m:t>
        </m:r>
      </m:oMath>
      <w:r>
        <w:t xml:space="preserve"> </w:t>
      </w:r>
      <w:r>
        <w:t xml:space="preserve">to hazard curvature has been factored out.</w:t>
      </w:r>
      <w:r>
        <w:t xml:space="preserve"> </w:t>
      </w:r>
      <w:r>
        <w:rPr>
          <w:i/>
          <w:iCs/>
        </w:rPr>
        <w:t xml:space="preserve">(Conceptually, this places all cohorts into an equivalent θ-factored comparison space.)</w:t>
      </w:r>
      <w:r>
        <w:t xml:space="preserve"> </w:t>
      </w:r>
      <w:r>
        <w:t xml:space="preserve">In this space, cumulative hazards are directly comparable across cohorts, and remaining differences reflect real differences in baseline risk rather than selection-induced depletion.</w:t>
      </w:r>
    </w:p>
    <w:p>
      <w:pPr>
        <w:pStyle w:val="BodyText"/>
      </w:pPr>
      <w:r>
        <w:t xml:space="preserve">When</w:t>
      </w:r>
    </w:p>
    <w:p>
      <w:pPr>
        <w:pStyle w:val="BodyText"/>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this mapping leaves the observed cumulative hazard essentially unchanged, whereas cohorts with measurable depletion undergo an upward correction.</w:t>
      </w:r>
    </w:p>
    <w:p>
      <w:pPr>
        <w:pStyle w:val="BodyText"/>
      </w:pPr>
      <w:r>
        <w:t xml:space="preserve">An adjusted hazard may be recovered by differencing:</w:t>
      </w:r>
    </w:p>
    <w:bookmarkStart w:id="57" w:name="eq:normalized-hazard-diff"/>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oMath>
      <w:r>
        <w:t xml:space="preserve"> </w:t>
      </w:r>
      <w:r>
        <w:tab/>
      </w:r>
      <w:r>
        <w:t xml:space="preserve"> </w:t>
      </w:r>
      <m:oMath>
        <m:r>
          <m:rPr>
            <m:sty m:val="p"/>
          </m:rPr>
          <m:t>(</m:t>
        </m:r>
        <m:r>
          <m:t>12</m:t>
        </m:r>
        <m:r>
          <m:rPr>
            <m:sty m:val="p"/>
          </m:rPr>
          <m:t>)</m:t>
        </m:r>
      </m:oMath>
    </w:p>
    <w:bookmarkEnd w:id="57"/>
    <w:p>
      <w:pPr>
        <w:pStyle w:val="BodyText"/>
      </w:pPr>
      <w:r>
        <w:t xml:space="preserve">The key object for KCOR is:</w:t>
      </w:r>
    </w:p>
    <w:p>
      <w:pPr>
        <w:pStyle w:val="BodyText"/>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oMath>
      </m:oMathPara>
    </w:p>
    <w:p>
      <w:pPr>
        <w:pStyle w:val="FirstParagraph"/>
      </w:pPr>
      <w:r>
        <w:t xml:space="preserve">Differenced hazards are optional diagnostics.</w:t>
      </w:r>
    </w:p>
    <w:p>
      <w:pPr>
        <w:pStyle w:val="BodyText"/>
      </w:pPr>
      <w:r>
        <w:t xml:space="preserve">Normalization is necessary but not sufficient. The depletion-neutralized cumulative hazard is not itself the estimand of interest. Its role is to place cohorts into a common comparison space in which selection-induced depletion dynamics have been removed. The substantive comparison—and therefore the inferential signal—arises only when these normalized cumulative hazards are compared across cohorts via the KCOR estimator (§2.8). Because normalization operates in cumulative-hazard space and removes time-varying curvature rather than rescaling instantaneous hazards, applying Cox regression to normalized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Start w:id="58" w:name="computational-considerations"/>
    <w:p>
      <w:pPr>
        <w:pStyle w:val="Heading4"/>
      </w:pPr>
      <w:r>
        <w:t xml:space="preserve">2.6.1 Computational considerations</w:t>
      </w:r>
    </w:p>
    <w:p>
      <w:pPr>
        <w:pStyle w:val="FirstParagraph"/>
      </w:pPr>
      <w:r>
        <w:t xml:space="preserve">KCOR operates on aggregated event counts in discrete time and cumulative-hazard space. Computational complexity scales linearly with the number of time bins and strata rather than the number of individuals, making the method feasible for very large population registries. In practice, KCOR analyses on national-scale datasets (millions of individuals) are memory-bound rather than CPU-bound and can be implemented efficiently using standard vectorized numerical libraries. No iterative optimization over individual-level records is required.</w:t>
      </w:r>
    </w:p>
    <w:bookmarkEnd w:id="58"/>
    <w:bookmarkStart w:id="59" w:name="Xc1f19c71d062175674bff138482e70845d20a7b"/>
    <w:p>
      <w:pPr>
        <w:pStyle w:val="Heading4"/>
      </w:pPr>
      <w:r>
        <w:t xml:space="preserve">2.6.2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6"/>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 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6"/>
        </w:numPr>
      </w:pPr>
      <w:r>
        <w:rPr>
          <w:b/>
          <w:bCs/>
        </w:rPr>
        <w:t xml:space="preserve">Fit residual structure in cumulative-hazard space.</w:t>
      </w:r>
      <w:r>
        <w:t xml:space="preserve"> </w:t>
      </w:r>
      <w:r>
        <w:t xml:space="preserve">Define residuals over the fit set</w:t>
      </w:r>
      <w:r>
        <w:t xml:space="preserve"> </w:t>
      </w:r>
      <m:oMath>
        <m:sSub>
          <m:e>
            <m:r>
              <m:rPr>
                <m:scr m:val="script"/>
                <m:sty m:val="p"/>
              </m:rPr>
              <m:t>T</m:t>
            </m:r>
          </m:e>
          <m:sub>
            <m:r>
              <m:t>d</m:t>
            </m:r>
          </m:sub>
        </m:sSub>
      </m:oMath>
      <w:r>
        <w:t xml:space="preserve">:</w:t>
      </w:r>
    </w:p>
    <w:p>
      <w:pPr>
        <w:pStyle w:val="FirstParagraph"/>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FirstParagraph"/>
      </w:pPr>
      <w:r>
        <w:t xml:space="preserve">KCOR expects residuals to be small and not systematically time-structured. Strongly patterned residuals indicate that the curvature attributed to depletion is instead being driven by unmodeled time-varying hazards.</w:t>
      </w:r>
    </w:p>
    <w:p>
      <w:pPr>
        <w:pStyle w:val="Compact"/>
        <w:numPr>
          <w:ilvl w:val="0"/>
          <w:numId w:val="1017"/>
        </w:numPr>
      </w:pPr>
      <w:r>
        <w:rPr>
          <w:b/>
          <w:bCs/>
        </w:rPr>
        <w:t xml:space="preserve">Parameter stability to window perturbations.</w:t>
      </w:r>
      <w:r>
        <w:t xml:space="preserve"> </w:t>
      </w:r>
      <w:r>
        <w:t xml:space="preserve">Under valid quiet-window selection,</w:t>
      </w:r>
    </w:p>
    <w:p>
      <w:pPr>
        <w:pStyle w:val="FirstParagraph"/>
      </w:pPr>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m:oMathPara>
    </w:p>
    <w:p>
      <w:pPr>
        <w:pStyle w:val="FirstParagraph"/>
      </w:pPr>
      <w:r>
        <w:t xml:space="preserve">should be stable to small perturbations of the quiet-window boundaries (e.g., ±4 weeks). Large changes in fitted frailty variance under small boundary shifts signal that the fitted curvature is sensitive to transient dynamics rather than stable depletion.</w:t>
      </w:r>
    </w:p>
    <w:p>
      <w:pPr>
        <w:pStyle w:val="Compact"/>
        <w:numPr>
          <w:ilvl w:val="0"/>
          <w:numId w:val="1018"/>
        </w:numPr>
      </w:pPr>
      <w:r>
        <w:rPr>
          <w:b/>
          <w:bCs/>
        </w:rPr>
        <w:t xml:space="preserve">Non-identifiability manifests as:</w:t>
      </w:r>
    </w:p>
    <w:p>
      <w:pPr>
        <w:pStyle w:val="FirstParagraph"/>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BodyText"/>
      </w:pPr>
      <w:r>
        <w:t xml:space="preserve">These diagnostics are reported alongside KCOR</w:t>
      </w:r>
      <m:oMath>
        <m:r>
          <m:rPr>
            <m:sty m:val="p"/>
          </m:rPr>
          <m:t>(</m:t>
        </m:r>
        <m:r>
          <m:t>t</m:t>
        </m:r>
        <m:r>
          <m:rPr>
            <m:sty m:val="p"/>
          </m:rPr>
          <m:t>)</m:t>
        </m:r>
      </m:oMath>
      <w:r>
        <w:t xml:space="preserve"> </w:t>
      </w:r>
      <w:r>
        <w:t xml:space="preserve">curves. Importantly,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w:t>
      </w:r>
    </w:p>
    <w:bookmarkEnd w:id="59"/>
    <w:bookmarkEnd w:id="60"/>
    <w:bookmarkStart w:id="62"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bookmarkStart w:id="61" w:name="eq:effective-hazard-skip"/>
    <w:p>
      <w:pPr>
        <w:pStyle w:val="BodyText"/>
      </w:pPr>
      <w:pPr>
        <w:tabs>
          <w:tab w:val="center" w:leader="none" w:pos="4680"/>
          <w:tab w:val="right" w:leader="none" w:pos="9360"/>
        </w:tabs>
      </w:pPr>
      <w:r>
        <w:tab/>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oMath>
      <w:r>
        <w:t xml:space="preserve"> </w:t>
      </w:r>
      <w:r>
        <w:tab/>
      </w:r>
      <w:r>
        <w:t xml:space="preserve"> </w:t>
      </w:r>
      <m:oMath>
        <m:r>
          <m:rPr>
            <m:sty m:val="p"/>
          </m:rPr>
          <m:t>(</m:t>
        </m:r>
        <m:r>
          <m:t>13</m:t>
        </m:r>
        <m:r>
          <m:rPr>
            <m:sty m:val="p"/>
          </m:rPr>
          <m:t>)</m:t>
        </m:r>
      </m:oMath>
    </w:p>
    <w:bookmarkEnd w:id="61"/>
    <w:p>
      <w:pPr>
        <w:pStyle w:val="BodyText"/>
      </w:pPr>
      <w:r>
        <w:t xml:space="preserve">Then compute observed cumulative hazards 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bookmarkEnd w:id="62"/>
    <w:bookmarkStart w:id="64" w:name="kcor-estimator"/>
    <w:p>
      <w:pPr>
        <w:pStyle w:val="Heading3"/>
      </w:pPr>
      <w:r>
        <w:t xml:space="preserve">2.8 KCOR estimator</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bookmarkStart w:id="63" w:name="eq:kcor-estimator"/>
    <w:p>
      <w:pPr>
        <w:pStyle w:val="BodyText"/>
      </w:pPr>
      <w:pPr>
        <w:tabs>
          <w:tab w:val="center" w:leader="none" w:pos="4680"/>
          <w:tab w:val="right" w:leader="none" w:pos="9360"/>
        </w:tabs>
      </w:pPr>
      <w:r>
        <w:tab/>
      </w:r>
      <w:r>
        <w:t xml:space="preserve"> </w:t>
      </w: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14</m:t>
        </m:r>
        <m:r>
          <m:rPr>
            <m:sty m:val="p"/>
          </m:rPr>
          <m:t>)</m:t>
        </m:r>
      </m:oMath>
    </w:p>
    <w:bookmarkEnd w:id="63"/>
    <w:p>
      <w:pPr>
        <w:pStyle w:val="BodyText"/>
      </w:pPr>
      <w:r>
        <w:t xml:space="preserve">This is a cumulative comparison in hazard space after removing cohort-specific selection-induced depletion dynamics estimated during quiet periods.</w:t>
      </w:r>
    </w:p>
    <w:bookmarkEnd w:id="64"/>
    <w:bookmarkStart w:id="65"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19"/>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19"/>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65"/>
    <w:bookmarkStart w:id="71" w:name="Xf552aaad3b83b889e2d08c64d65c17176bae771"/>
    <w:p>
      <w:pPr>
        <w:pStyle w:val="Heading3"/>
      </w:pPr>
      <w:r>
        <w:t xml:space="preserve">2.10 Algorithm summary and reproducibility checklist</w:t>
      </w:r>
    </w:p>
    <w:p>
      <w:pPr>
        <w:pStyle w:val="FirstParagraph"/>
      </w:pPr>
      <w:r>
        <w:t xml:space="preserve">Table 5 summarizes the complete KCOR pipeline.</w:t>
      </w:r>
    </w:p>
    <w:bookmarkStart w:id="66" w:name="tbl:KCOR_algorithm"/>
    <w:p>
      <w:pPr>
        <w:pStyle w:val="TableCaption"/>
      </w:pPr>
      <w:r>
        <w:t xml:space="preserve">Table 5. Step-by-step KCOR algorithm (high-level), with recommended prespecification and diagnostics.</w:t>
      </w:r>
    </w:p>
    <w:tbl>
      <w:tblPr>
        <w:tblStyle w:val="Table"/>
        <w:tblW w:type="pct" w:w="5000"/>
        <w:tblLayout w:type="fixed"/>
        <w:tblLook w:firstRow="1" w:lastRow="0" w:firstColumn="0" w:lastColumn="0" w:noHBand="0" w:noVBand="0" w:val="0020"/>
        <w:tblCaption w:val="Table 5. Step-by-step KCOR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 (observed hazards)</w:t>
            </w:r>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 observed cumulative hazards</w:t>
            </w:r>
          </w:p>
        </w:tc>
        <w:tc>
          <w:tcPr/>
          <w:p>
            <w:pPr>
              <w:pStyle w:val="Compact"/>
            </w:pPr>
            <w:r>
              <w:t xml:space="preserve">Observed cumulative hazards</w:t>
            </w:r>
          </w:p>
        </w:tc>
        <w:tc>
          <w:tcPr/>
          <w:p>
            <w:pPr>
              <w:pStyle w:val="Compact"/>
            </w:pPr>
            <w:r>
              <w:t xml:space="preserve">Yes (skip rule)</w:t>
            </w:r>
          </w:p>
        </w:tc>
        <w:tc>
          <w:tcPr/>
          <w:p>
            <w:pPr>
              <w:pStyle w:val="Compact"/>
            </w:pPr>
            <w:r>
              <w:t xml:space="preserve">Plot observed cumulative hazards</w:t>
            </w:r>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w:r>
              <w:t xml:space="preserve">Fitted parameters</w:t>
            </w:r>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 depletion-neutralized cumulative hazards</w:t>
            </w:r>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t>K</m:t>
              </m:r>
              <m:r>
                <m:t>C</m:t>
              </m:r>
              <m:r>
                <m:t>O</m:t>
              </m:r>
              <m: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66"/>
    <w:bookmarkStart w:id="70" w:name="fig:kcor_workflow"/>
    <w:p>
      <w:pPr>
        <w:pStyle w:val="CaptionedFigure"/>
      </w:pPr>
      <w:r>
        <w:drawing>
          <wp:inline>
            <wp:extent cx="5334000" cy="4287328"/>
            <wp:effectExtent b="0" l="0" r="0" t="0"/>
            <wp:docPr descr="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 title="" id="68" name="Picture"/>
            <a:graphic>
              <a:graphicData uri="http://schemas.openxmlformats.org/drawingml/2006/picture">
                <pic:pic>
                  <pic:nvPicPr>
                    <pic:cNvPr descr="figures/fig_kcor_workflow.png" id="69" name="Picture"/>
                    <pic:cNvPicPr>
                      <a:picLocks noChangeArrowheads="1" noChangeAspect="1"/>
                    </pic:cNvPicPr>
                  </pic:nvPicPr>
                  <pic:blipFill>
                    <a:blip r:embed="rId67"/>
                    <a:stretch>
                      <a:fillRect/>
                    </a:stretch>
                  </pic:blipFill>
                  <pic:spPr bwMode="auto">
                    <a:xfrm>
                      <a:off x="0" y="0"/>
                      <a:ext cx="5334000" cy="4287328"/>
                    </a:xfrm>
                    <a:prstGeom prst="rect">
                      <a:avLst/>
                    </a:prstGeom>
                    <a:noFill/>
                    <a:ln w="9525">
                      <a:noFill/>
                      <a:headEnd/>
                      <a:tailEnd/>
                    </a:ln>
                  </pic:spPr>
                </pic:pic>
              </a:graphicData>
            </a:graphic>
          </wp:inline>
        </w:drawing>
      </w:r>
    </w:p>
    <w:p>
      <w:pPr>
        <w:pStyle w:val="ImageCaption"/>
      </w:pPr>
      <w:r>
        <w:t xml:space="preserve">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w:t>
      </w:r>
    </w:p>
    <w:bookmarkEnd w:id="70"/>
    <w:bookmarkEnd w:id="71"/>
    <w:bookmarkStart w:id="83" w:name="relationship-to-cox-proportional-hazards"/>
    <w:p>
      <w:pPr>
        <w:pStyle w:val="Heading3"/>
      </w:pPr>
      <w:r>
        <w:t xml:space="preserve">2.11 Relationship to Cox proportional hazards</w:t>
      </w:r>
    </w:p>
    <w:p>
      <w:pPr>
        <w:pStyle w:val="FirstParagraph"/>
      </w:pPr>
      <w:r>
        <w:t xml:space="preserve">Cox proportional hazards models estimate an instantaneous hazard ratio under the assumption that hazards differ by a time-invariant multiplicative factor. Under selective uptake with latent frailty heterogeneity, this assumption is typically violated, yielding time-varying hazard ratios induced purely by depletion dynamics. Accordingly, Cox results are presented here only as a diagnostic demonstration of assumption failure, not as a competing causal estimator.</w:t>
      </w:r>
    </w:p>
    <w:p>
      <w:pPr>
        <w:pStyle w:val="BodyText"/>
      </w:pPr>
      <w:r>
        <w:t xml:space="preserve">Conceptually, Cox regression estimates a treatment effect by fitting a hazard model to the observed data and reading the effect from the fitted coefficients, whereas KCOR uses a parametric model only to adjust the observed data for selection-induced depletion and then computes cohort contrasts directly from the adjusted cumulative hazards themselves.</w:t>
      </w:r>
    </w:p>
    <w:bookmarkStart w:id="81" w:name="X3af45993d90b0829bcc5fa36f447ebd1f6c3bc8"/>
    <w:p>
      <w:pPr>
        <w:pStyle w:val="Heading4"/>
      </w:pPr>
      <w:r>
        <w:t xml:space="preserve">2.11.1 Demonstration: Cox bias under frailty heterogeneity with no treatment effect</w:t>
      </w:r>
    </w:p>
    <w:p>
      <w:pPr>
        <w:pStyle w:val="FirstParagraph"/>
      </w:pPr>
      <w:r>
        <w:t xml:space="preserve">We conducted a controlled synthetic experiment in which the</w:t>
      </w:r>
      <w:r>
        <w:t xml:space="preserve"> </w:t>
      </w:r>
      <w:r>
        <w:rPr>
          <w:b/>
          <w:bCs/>
        </w:rPr>
        <w:t xml:space="preserve">true causal effect is known to be zero by construction</w:t>
      </w:r>
      <w:r>
        <w:t xml:space="preserve">, isolating latent frailty heterogeneity as the sole driver of depletion-induced non-proportional hazards. Cox and KCOR were applied to the same simulated datasets under identical information constraints.</w:t>
      </w:r>
    </w:p>
    <w:p>
      <w:pPr>
        <w:pStyle w:val="BodyText"/>
      </w:pPr>
      <w:r>
        <w:rPr>
          <w:b/>
          <w:bCs/>
        </w:rPr>
        <w:t xml:space="preserve">Data-generating process.</w:t>
      </w:r>
    </w:p>
    <w:p>
      <w:pPr>
        <w:pStyle w:val="BodyText"/>
      </w:pPr>
      <w:r>
        <w:t xml:space="preserve">Two cohorts of equal size were simulated under the same baseline hazard</w:t>
      </w:r>
      <w:r>
        <w:t xml:space="preserve"> </w:t>
      </w:r>
      <m:oMath>
        <m:sSub>
          <m:e>
            <m:r>
              <m:t>h</m:t>
            </m:r>
          </m:e>
          <m:sub>
            <m:r>
              <m:t>0</m:t>
            </m:r>
          </m:sub>
        </m:sSub>
        <m:r>
          <m:rPr>
            <m:sty m:val="p"/>
          </m:rPr>
          <m:t>(</m:t>
        </m:r>
        <m:r>
          <m:t>t</m:t>
        </m:r>
        <m:r>
          <m:rPr>
            <m:sty m:val="p"/>
          </m:rPr>
          <m:t>)</m:t>
        </m:r>
      </m:oMath>
      <w:r>
        <w:t xml:space="preserve"> </w:t>
      </w:r>
      <w:r>
        <w:t xml:space="preserve">over time (constant or Gompertz). Individual hazards were generated as</w:t>
      </w:r>
      <w:r>
        <w:t xml:space="preserve"> </w:t>
      </w:r>
      <m:oMath>
        <m:r>
          <m:t>z</m:t>
        </m:r>
        <m:r>
          <m:t> </m:t>
        </m:r>
        <m:sSub>
          <m:e>
            <m:r>
              <m:t>h</m:t>
            </m:r>
          </m:e>
          <m:sub>
            <m:r>
              <m:t>0</m:t>
            </m:r>
          </m:sub>
        </m:sSub>
        <m:r>
          <m:rPr>
            <m:sty m:val="p"/>
          </m:rPr>
          <m:t>(</m:t>
        </m:r>
        <m:r>
          <m:t>t</m:t>
        </m:r>
        <m:r>
          <m:rPr>
            <m:sty m:val="p"/>
          </m:rPr>
          <m:t>)</m:t>
        </m:r>
      </m:oMath>
      <w:r>
        <w:t xml:space="preserve">, with frailty</w:t>
      </w:r>
    </w:p>
    <w:p>
      <w:pPr>
        <w:pStyle w:val="BodyText"/>
      </w:pPr>
      <m:oMathPara>
        <m:oMathParaPr>
          <m:jc m:val="center"/>
        </m:oMathParaPr>
        <m:oMath>
          <m:r>
            <m:t>z</m:t>
          </m:r>
          <m:r>
            <m:rPr>
              <m:sty m:val="p"/>
            </m:rPr>
            <m:t>∼</m:t>
          </m:r>
          <m:r>
            <m:rPr>
              <m:nor/>
              <m:sty m:val="p"/>
            </m:rPr>
            <m:t>Gamma</m:t>
          </m:r>
          <m:r>
            <m:rPr>
              <m:sty m:val="p"/>
            </m:rPr>
            <m:t>(</m:t>
          </m:r>
          <m:sSup>
            <m:e>
              <m:r>
                <m:t>θ</m:t>
              </m:r>
            </m:e>
            <m:sup>
              <m:r>
                <m:rPr>
                  <m:sty m:val="p"/>
                </m:rPr>
                <m:t>−</m:t>
              </m:r>
              <m:r>
                <m:t>1</m:t>
              </m:r>
            </m:sup>
          </m:sSup>
          <m:r>
            <m:rPr>
              <m:sty m:val="p"/>
            </m:rPr>
            <m:t>,</m:t>
          </m:r>
          <m:sSup>
            <m:e>
              <m:r>
                <m:t>θ</m:t>
              </m:r>
            </m:e>
            <m:sup>
              <m:r>
                <m:rPr>
                  <m:sty m:val="p"/>
                </m:rPr>
                <m:t>−</m:t>
              </m:r>
              <m:r>
                <m:t>1</m:t>
              </m:r>
            </m:sup>
          </m:sSup>
          <m:r>
            <m:rPr>
              <m:sty m:val="p"/>
            </m:rPr>
            <m:t>)</m:t>
          </m:r>
          <m:r>
            <m:rPr>
              <m:sty m:val="p"/>
            </m:rPr>
            <m:t>,</m:t>
          </m:r>
        </m:oMath>
      </m:oMathPara>
    </w:p>
    <w:p>
      <w:pPr>
        <w:pStyle w:val="FirstParagraph"/>
      </w:pPr>
      <w:r>
        <w:t xml:space="preserve">with mean 1 and variance</w:t>
      </w:r>
      <w:r>
        <w:t xml:space="preserve"> </w:t>
      </w:r>
      <m:oMath>
        <m:r>
          <m:t>θ</m:t>
        </m:r>
      </m:oMath>
      <w:r>
        <w:t xml:space="preserve">.</w:t>
      </w:r>
    </w:p>
    <w:p>
      <w:pPr>
        <w:pStyle w:val="BodyText"/>
      </w:pPr>
      <w:r>
        <w:t xml:space="preserve">Cohort A was generated with</w:t>
      </w:r>
      <w:r>
        <w:t xml:space="preserve"> </w:t>
      </w:r>
      <m:oMath>
        <m:r>
          <m:t>θ</m:t>
        </m:r>
        <m:r>
          <m:rPr>
            <m:sty m:val="p"/>
          </m:rPr>
          <m:t>=</m:t>
        </m:r>
        <m:r>
          <m:t>0</m:t>
        </m:r>
      </m:oMath>
      <w:r>
        <w:t xml:space="preserve"> </w:t>
      </w:r>
      <w:r>
        <w:t xml:space="preserve">(no frailty heterogeneity), while Cohort B was generated with</w:t>
      </w:r>
      <w:r>
        <w:t xml:space="preserve"> </w:t>
      </w:r>
      <m:oMath>
        <m:r>
          <m:t>θ</m:t>
        </m:r>
        <m:r>
          <m:rPr>
            <m:sty m:val="p"/>
          </m:rPr>
          <m:t>&gt;</m:t>
        </m:r>
        <m:r>
          <m:t>0</m:t>
        </m:r>
      </m:oMath>
      <w:r>
        <w:t xml:space="preserve">.</w:t>
      </w:r>
      <w:r>
        <w:t xml:space="preserve"> </w:t>
      </w:r>
      <w:r>
        <w:rPr>
          <w:b/>
          <w:bCs/>
        </w:rPr>
        <w:t xml:space="preserve">No treatment or intervention effect was applied</w:t>
      </w:r>
      <w:r>
        <w:t xml:space="preserve">: conditional on frailty, the two cohorts have identical hazards at all times. Thus, the true causal hazard ratio between cohorts is exactly 1 for all</w:t>
      </w:r>
      <w:r>
        <w:t xml:space="preserve"> </w:t>
      </w:r>
      <m:oMath>
        <m:r>
          <m:t>t</m:t>
        </m:r>
      </m:oMath>
      <w:r>
        <w:t xml:space="preserve">.</w:t>
      </w:r>
    </w:p>
    <w:p>
      <w:pPr>
        <w:pStyle w:val="BodyText"/>
      </w:pPr>
      <w:r>
        <w:t xml:space="preserve">Simulations were repeated over a grid of frailty variances</w:t>
      </w:r>
      <w:r>
        <w:t xml:space="preserve"> </w:t>
      </w:r>
      <m:oMath>
        <m:r>
          <m:t>θ</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w:t>
      </w:r>
    </w:p>
    <w:p>
      <w:pPr>
        <w:pStyle w:val="BodyText"/>
      </w:pPr>
      <w:r>
        <w:rPr>
          <w:b/>
          <w:bCs/>
        </w:rPr>
        <w:t xml:space="preserve">Cox analysis.</w:t>
      </w:r>
    </w:p>
    <w:p>
      <w:pPr>
        <w:pStyle w:val="BodyText"/>
      </w:pPr>
      <w:r>
        <w:t xml:space="preserve">For each simulated dataset, we fitted a standard Cox proportional hazards model using partial likelihood (statsmodels</w:t>
      </w:r>
      <w:r>
        <w:t xml:space="preserve"> </w:t>
      </w:r>
      <w:r>
        <w:rPr>
          <w:rStyle w:val="VerbatimChar"/>
        </w:rPr>
        <w:t xml:space="preserve">PHReg</w:t>
      </w:r>
      <w:r>
        <w:t xml:space="preserve">), with cohort membership as the sole covariate (no time-varying covariates or interactions). The resulting hazard ratio estimates and confidence intervals therefore reflect</w:t>
      </w:r>
      <w:r>
        <w:t xml:space="preserve"> </w:t>
      </w:r>
      <w:r>
        <w:rPr>
          <w:b/>
          <w:bCs/>
        </w:rPr>
        <w:t xml:space="preserve">only differences induced by frailty-driven depletion</w:t>
      </w:r>
      <w:r>
        <w:t xml:space="preserve">, not any causal effect.</w:t>
      </w:r>
    </w:p>
    <w:p>
      <w:pPr>
        <w:pStyle w:val="BodyText"/>
      </w:pPr>
      <w:r>
        <w:rPr>
          <w:b/>
          <w:bCs/>
        </w:rPr>
        <w:t xml:space="preserve">KCOR analysis.</w:t>
      </w:r>
    </w:p>
    <w:p>
      <w:pPr>
        <w:pStyle w:val="BodyText"/>
      </w:pPr>
      <w:r>
        <w:t xml:space="preserve">The same simulated datasets were analyzed using KCOR. For the synthetic datasets, cohort-specific observed cumulative hazards were estimated nonparametrically using the Nelson–Aalen estimator, then mapped to depletion-neutralized baseline cumulative hazards via the gamma-frailty inversion prior to computing KCOR</w:t>
      </w:r>
      <m:oMath>
        <m:r>
          <m:rPr>
            <m:sty m:val="p"/>
          </m:rPr>
          <m:t>(</m:t>
        </m:r>
        <m:r>
          <m:t>t</m:t>
        </m:r>
        <m:r>
          <m:rPr>
            <m:sty m:val="p"/>
          </m:rPr>
          <m:t>)</m:t>
        </m:r>
      </m:oMath>
      <w:r>
        <w:t xml:space="preserve">. Although the data-generating process specifies individual hazards, cumulative hazards were estimated from simulated event-time data using Nelson–Aalen to mirror the information available in observational registry studies, rather than exploiting simulator-only knowledge. Frailty parameters were estimated during a prespecified quiet window, followed by cumulative-hazard normalization and computation of KCOR</w:t>
      </w:r>
      <m:oMath>
        <m:r>
          <m:rPr>
            <m:sty m:val="p"/>
          </m:rPr>
          <m:t>(</m:t>
        </m:r>
        <m:r>
          <m:t>t</m:t>
        </m:r>
        <m:r>
          <m:rPr>
            <m:sty m:val="p"/>
          </m:rPr>
          <m:t>)</m:t>
        </m:r>
      </m:oMath>
      <w:r>
        <w:t xml:space="preserve">. Post-normalization slope and asymptotic KCOR(t) values were examined to assess departure from the null.</w:t>
      </w:r>
    </w:p>
    <w:p>
      <w:pPr>
        <w:pStyle w:val="BodyText"/>
      </w:pPr>
      <w:r>
        <w:rPr>
          <w:b/>
          <w:bCs/>
        </w:rPr>
        <w:t xml:space="preserve">Expected behavior under the null.</w:t>
      </w:r>
    </w:p>
    <w:p>
      <w:pPr>
        <w:pStyle w:val="BodyText"/>
      </w:pPr>
      <w:r>
        <w:t xml:space="preserve">Because the data-generating process includes</w:t>
      </w:r>
      <w:r>
        <w:t xml:space="preserve"> </w:t>
      </w:r>
      <w:r>
        <w:rPr>
          <w:b/>
          <w:bCs/>
        </w:rPr>
        <w:t xml:space="preserve">no treatment effect</w:t>
      </w:r>
      <w:r>
        <w:t xml:space="preserve">, any valid estimator should return a null result. In this setting:</w:t>
      </w:r>
    </w:p>
    <w:p>
      <w:pPr>
        <w:pStyle w:val="Compact"/>
        <w:numPr>
          <w:ilvl w:val="0"/>
          <w:numId w:val="1020"/>
        </w:numPr>
      </w:pPr>
      <w:r>
        <w:rPr>
          <w:b/>
          <w:bCs/>
        </w:rPr>
        <w:t xml:space="preserve">Cox regression</w:t>
      </w:r>
      <w:r>
        <w:t xml:space="preserve"> </w:t>
      </w:r>
      <w:r>
        <w:t xml:space="preserve">is expected to produce apparent non-null hazard ratios as</w:t>
      </w:r>
      <w:r>
        <w:t xml:space="preserve"> </w:t>
      </w:r>
      <m:oMath>
        <m:r>
          <m:t>θ</m:t>
        </m:r>
      </m:oMath>
      <w:r>
        <w:t xml:space="preserve"> </w:t>
      </w:r>
      <w:r>
        <w:t xml:space="preserve">increases, reflecting differential depletion of susceptibles and violation of proportional hazards induced by frailty heterogeneity.</w:t>
      </w:r>
    </w:p>
    <w:p>
      <w:pPr>
        <w:pStyle w:val="Compact"/>
        <w:numPr>
          <w:ilvl w:val="0"/>
          <w:numId w:val="1020"/>
        </w:numPr>
      </w:pPr>
      <w:r>
        <w:rPr>
          <w:b/>
          <w:bCs/>
        </w:rPr>
        <w:t xml:space="preserve">KCOR</w:t>
      </w:r>
      <w:r>
        <w:t xml:space="preserve"> </w:t>
      </w:r>
      <w:r>
        <w:t xml:space="preserve">is expected to remain centered near unity with negligible post-normalization slope across all</w:t>
      </w:r>
      <w:r>
        <w:t xml:space="preserve"> </w:t>
      </w:r>
      <m:oMath>
        <m:r>
          <m:t>θ</m:t>
        </m:r>
      </m:oMath>
      <w:r>
        <w:t xml:space="preserve">, consistent with correct null behavior after depletion normalization.</w:t>
      </w:r>
    </w:p>
    <w:p>
      <w:pPr>
        <w:pStyle w:val="FirstParagraph"/>
      </w:pPr>
      <w:r>
        <w:rPr>
          <w:b/>
          <w:bCs/>
        </w:rPr>
        <w:t xml:space="preserve">Summary of findings.</w:t>
      </w:r>
    </w:p>
    <w:p>
      <w:pPr>
        <w:pStyle w:val="BodyText"/>
      </w:pPr>
      <w:r>
        <w:t xml:space="preserve">Across increasing values of</w:t>
      </w:r>
      <w:r>
        <w:t xml:space="preserve"> </w:t>
      </w:r>
      <m:oMath>
        <m:r>
          <m:t>θ</m:t>
        </m:r>
      </m:oMath>
      <w:r>
        <w:t xml:space="preserve">, Cox regression produced progressively larger apparent deviations from a hazard ratio of 1. The direction and magnitude of the apparent effect depended on the follow-up horizon and degree of frailty heterogeneity. In contrast, KCOR(t) trajectories remained stable and centered near unity, with post-normalization slopes approximately zero across all simulated conditions.</w:t>
      </w:r>
    </w:p>
    <w:p>
      <w:pPr>
        <w:pStyle w:val="BodyText"/>
      </w:pPr>
      <w:r>
        <w:t xml:space="preserve">These results demonstrate that</w:t>
      </w:r>
      <w:r>
        <w:t xml:space="preserve"> </w:t>
      </w:r>
      <w:r>
        <w:rPr>
          <w:b/>
          <w:bCs/>
        </w:rPr>
        <w:t xml:space="preserve">frailty heterogeneity alone is sufficient to induce spurious hazard ratios in Cox regression</w:t>
      </w:r>
      <w:r>
        <w:t xml:space="preserve">, while KCOR correctly returns a null result under the same conditions.</w:t>
      </w:r>
    </w:p>
    <w:bookmarkStart w:id="72" w:name="tbl:cox_bias_demo"/>
    <w:p>
      <w:pPr>
        <w:pStyle w:val="TableCaption"/>
      </w:pPr>
      <w:r>
        <w:t xml:space="preserve">Table 6. Cox vs KCOR under a synthetic null with increasing frailty heterogeneity. Two cohorts are simulated with identical baseline hazards and no treatment effect</w:t>
      </w:r>
      <w:r>
        <w:t xml:space="preserve"> </w:t>
      </w:r>
      <w:r>
        <w:rPr>
          <w:i/>
          <w:iCs/>
        </w:rPr>
        <w:t xml:space="preserve">(null by construction)</w:t>
      </w:r>
      <w:r>
        <w:t xml:space="preserve">; cohorts differ only in gamma frailty variance (</w:t>
      </w:r>
      <m:oMath>
        <m:r>
          <m:t>θ</m:t>
        </m:r>
      </m:oMath>
      <w:r>
        <w:t xml:space="preserve">). Despite the true hazard ratio being 1 by construction, Cox regression produces increasingly non-null hazard ratios as</w:t>
      </w:r>
      <w:r>
        <w:t xml:space="preserve"> </w:t>
      </w:r>
      <m:oMath>
        <m:r>
          <m:t>θ</m:t>
        </m:r>
      </m:oMath>
      <w:r>
        <w:t xml:space="preserve"> </w:t>
      </w:r>
      <w:r>
        <w:t xml:space="preserve">increases, reflecting depletion-induced non-proportional hazards. KCOR(t) remains centered near unity with negligible post-normalization slope across</w:t>
      </w:r>
      <w:r>
        <w:t xml:space="preserve"> </w:t>
      </w:r>
      <m:oMath>
        <m:r>
          <m:t>θ</m:t>
        </m:r>
      </m:oMath>
      <w:r>
        <w:t xml:space="preserve"> </w:t>
      </w:r>
      <w:r>
        <w:t xml:space="preserve">values. (Exact values depend on simulation seed and follow-up horizon.)</w:t>
      </w:r>
    </w:p>
    <w:tbl>
      <w:tblPr>
        <w:tblStyle w:val="Table"/>
        <w:tblW w:type="pct" w:w="5000"/>
        <w:tblLayout w:type="fixed"/>
        <w:tblLook w:firstRow="1" w:lastRow="0" w:firstColumn="0" w:lastColumn="0" w:noHBand="0" w:noVBand="0" w:val="0020"/>
        <w:tblCaption w:val="Table 6. Cox vs KCOR under a synthetic null with increasing frailty heterogeneity. Two cohorts are simulated with identical baseline hazards and no treatment effect (null by construction); cohorts differ only in gamma frailty variance (\theta). Despite the true hazard ratio being 1 by construction, Cox regression produces increasingly non-null hazard ratios as \theta increases, reflecting depletion-induced non-proportional hazards. KCOR(t) remains centered near unity with negligible post-normalization slope across \theta values. (Exact values depend on simulation seed and follow-up horizon.)"/>
      </w:tblPr>
      <w:tblGrid>
        <w:gridCol w:w="2545"/>
        <w:gridCol w:w="565"/>
        <w:gridCol w:w="565"/>
        <w:gridCol w:w="1037"/>
        <w:gridCol w:w="1320"/>
        <w:gridCol w:w="1885"/>
      </w:tblGrid>
      <w:tr>
        <w:trPr>
          <w:tblHeader w:val="on"/>
        </w:trPr>
        <w:tc>
          <w:tcPr/>
          <w:p>
            <w:pPr>
              <w:pStyle w:val="Compact"/>
              <w:jc w:val="right"/>
            </w:pPr>
            <w:r>
              <w:t xml:space="preserve">Frailty variance (</w:t>
            </w:r>
            <m:oMath>
              <m:r>
                <m:t>θ</m:t>
              </m:r>
            </m:oMath>
            <w:r>
              <w:t xml:space="preserve">)</w:t>
            </w:r>
          </w:p>
        </w:tc>
        <w:tc>
          <w:tcPr/>
          <w:p>
            <w:pPr>
              <w:pStyle w:val="Compact"/>
              <w:jc w:val="right"/>
            </w:pPr>
            <w:r>
              <w:t xml:space="preserve">Cox HR</w:t>
            </w:r>
          </w:p>
        </w:tc>
        <w:tc>
          <w:tcPr/>
          <w:p>
            <w:pPr>
              <w:pStyle w:val="Compact"/>
              <w:jc w:val="right"/>
            </w:pPr>
            <w:r>
              <w:t xml:space="preserve">95% CI</w:t>
            </w:r>
          </w:p>
        </w:tc>
        <w:tc>
          <w:tcPr/>
          <w:p>
            <w:pPr>
              <w:pStyle w:val="Compact"/>
              <w:jc w:val="right"/>
            </w:pPr>
            <w:r>
              <w:t xml:space="preserve">Cox p-value</w:t>
            </w:r>
          </w:p>
        </w:tc>
        <w:tc>
          <w:tcPr/>
          <w:p>
            <w:pPr>
              <w:pStyle w:val="Compact"/>
              <w:jc w:val="right"/>
            </w:pPr>
            <w:r>
              <w:t xml:space="preserve">KCOR asymptote</w:t>
            </w:r>
          </w:p>
        </w:tc>
        <w:tc>
          <w:tcPr/>
          <w:p>
            <w:pPr>
              <w:pStyle w:val="Compact"/>
              <w:jc w:val="right"/>
            </w:pPr>
            <w:r>
              <w:t xml:space="preserve">KCOR post-norm slope</w:t>
            </w:r>
          </w:p>
        </w:tc>
      </w:tr>
      <w:tr>
        <w:tc>
          <w:tcPr/>
          <w:p>
            <w:pPr>
              <w:pStyle w:val="Compact"/>
              <w:jc w:val="right"/>
            </w:pPr>
            <w:r>
              <w:t xml:space="preserve">0.0</w:t>
            </w:r>
          </w:p>
        </w:tc>
        <w:tc>
          <w:tcPr/>
          <w:p>
            <w:pPr>
              <w:pStyle w:val="Compact"/>
              <w:jc w:val="right"/>
            </w:pPr>
            <w:r>
              <w:t xml:space="preserve">0.988</w:t>
            </w:r>
          </w:p>
        </w:tc>
        <w:tc>
          <w:tcPr/>
          <w:p>
            <w:pPr>
              <w:pStyle w:val="Compact"/>
              <w:jc w:val="right"/>
            </w:pPr>
            <w:r>
              <w:t xml:space="preserve">[0.969, 1.008]</w:t>
            </w:r>
          </w:p>
        </w:tc>
        <w:tc>
          <w:tcPr/>
          <w:p>
            <w:pPr>
              <w:pStyle w:val="Compact"/>
              <w:jc w:val="right"/>
            </w:pPr>
            <w:r>
              <w:t xml:space="preserve">0.234</w:t>
            </w:r>
          </w:p>
        </w:tc>
        <w:tc>
          <w:tcPr/>
          <w:p>
            <w:pPr>
              <w:pStyle w:val="Compact"/>
              <w:jc w:val="right"/>
            </w:pPr>
            <w:r>
              <w:t xml:space="preserve">0.988</w:t>
            </w:r>
          </w:p>
        </w:tc>
        <w:tc>
          <w:tcPr/>
          <w:p>
            <w:pPr>
              <w:pStyle w:val="Compact"/>
              <w:jc w:val="right"/>
            </w:pPr>
            <m:oMath>
              <m:r>
                <m:t>7.6</m:t>
              </m:r>
              <m:r>
                <m:rPr>
                  <m:sty m:val="p"/>
                </m:rPr>
                <m:t>×</m:t>
              </m:r>
              <m:sSup>
                <m:e>
                  <m:r>
                    <m:t>10</m:t>
                  </m:r>
                </m:e>
                <m:sup>
                  <m:r>
                    <m:rPr>
                      <m:sty m:val="p"/>
                    </m:rPr>
                    <m:t>−</m:t>
                  </m:r>
                  <m:r>
                    <m:t>4</m:t>
                  </m:r>
                </m:sup>
              </m:sSup>
            </m:oMath>
          </w:p>
        </w:tc>
      </w:tr>
      <w:tr>
        <w:tc>
          <w:tcPr/>
          <w:p>
            <w:pPr>
              <w:pStyle w:val="Compact"/>
              <w:jc w:val="right"/>
            </w:pPr>
            <w:r>
              <w:t xml:space="preserve">0.5</w:t>
            </w:r>
          </w:p>
        </w:tc>
        <w:tc>
          <w:tcPr/>
          <w:p>
            <w:pPr>
              <w:pStyle w:val="Compact"/>
              <w:jc w:val="right"/>
            </w:pPr>
            <w:r>
              <w:t xml:space="preserve">0.965</w:t>
            </w:r>
          </w:p>
        </w:tc>
        <w:tc>
          <w:tcPr/>
          <w:p>
            <w:pPr>
              <w:pStyle w:val="Compact"/>
              <w:jc w:val="right"/>
            </w:pPr>
            <w:r>
              <w:t xml:space="preserve">[0.946, 0.985]</w:t>
            </w:r>
          </w:p>
        </w:tc>
        <w:tc>
          <w:tcPr/>
          <w:p>
            <w:pPr>
              <w:pStyle w:val="Compact"/>
              <w:jc w:val="right"/>
            </w:pPr>
            <m:oMath>
              <m:r>
                <m:t>4.9</m:t>
              </m:r>
              <m:r>
                <m:rPr>
                  <m:sty m:val="p"/>
                </m:rPr>
                <m:t>×</m:t>
              </m:r>
              <m:sSup>
                <m:e>
                  <m:r>
                    <m:t>10</m:t>
                  </m:r>
                </m:e>
                <m:sup>
                  <m:r>
                    <m:rPr>
                      <m:sty m:val="p"/>
                    </m:rPr>
                    <m:t>−</m:t>
                  </m:r>
                  <m:r>
                    <m:t>4</m:t>
                  </m:r>
                </m:sup>
              </m:sSup>
            </m:oMath>
          </w:p>
        </w:tc>
        <w:tc>
          <w:tcPr/>
          <w:p>
            <w:pPr>
              <w:pStyle w:val="Compact"/>
              <w:jc w:val="right"/>
            </w:pPr>
            <w:r>
              <w:t xml:space="preserve">0.990</w:t>
            </w:r>
          </w:p>
        </w:tc>
        <w:tc>
          <w:tcPr/>
          <w:p>
            <w:pPr>
              <w:pStyle w:val="Compact"/>
              <w:jc w:val="right"/>
            </w:pPr>
            <m:oMath>
              <m:r>
                <m:rPr>
                  <m:sty m:val="p"/>
                </m:rPr>
                <m:t>−</m:t>
              </m:r>
              <m:r>
                <m:t>3.8</m:t>
              </m:r>
              <m:r>
                <m:rPr>
                  <m:sty m:val="p"/>
                </m:rPr>
                <m:t>×</m:t>
              </m:r>
              <m:sSup>
                <m:e>
                  <m:r>
                    <m:t>10</m:t>
                  </m:r>
                </m:e>
                <m:sup>
                  <m:r>
                    <m:rPr>
                      <m:sty m:val="p"/>
                    </m:rPr>
                    <m:t>−</m:t>
                  </m:r>
                  <m:r>
                    <m:t>5</m:t>
                  </m:r>
                </m:sup>
              </m:sSup>
            </m:oMath>
          </w:p>
        </w:tc>
      </w:tr>
      <w:tr>
        <w:tc>
          <w:tcPr/>
          <w:p>
            <w:pPr>
              <w:pStyle w:val="Compact"/>
              <w:jc w:val="right"/>
            </w:pPr>
            <w:r>
              <w:t xml:space="preserve">1.0</w:t>
            </w:r>
          </w:p>
        </w:tc>
        <w:tc>
          <w:tcPr/>
          <w:p>
            <w:pPr>
              <w:pStyle w:val="Compact"/>
              <w:jc w:val="right"/>
            </w:pPr>
            <w:r>
              <w:t xml:space="preserve">0.944</w:t>
            </w:r>
          </w:p>
        </w:tc>
        <w:tc>
          <w:tcPr/>
          <w:p>
            <w:pPr>
              <w:pStyle w:val="Compact"/>
              <w:jc w:val="right"/>
            </w:pPr>
            <w:r>
              <w:t xml:space="preserve">[0.926, 0.963]</w:t>
            </w:r>
          </w:p>
        </w:tc>
        <w:tc>
          <w:tcPr/>
          <w:p>
            <w:pPr>
              <w:pStyle w:val="Compact"/>
              <w:jc w:val="right"/>
            </w:pPr>
            <m:oMath>
              <m:r>
                <m:t>1.7</m:t>
              </m:r>
              <m:r>
                <m:rPr>
                  <m:sty m:val="p"/>
                </m:rPr>
                <m:t>×</m:t>
              </m:r>
              <m:sSup>
                <m:e>
                  <m:r>
                    <m:t>10</m:t>
                  </m:r>
                </m:e>
                <m:sup>
                  <m:r>
                    <m:rPr>
                      <m:sty m:val="p"/>
                    </m:rPr>
                    <m:t>−</m:t>
                  </m:r>
                  <m:r>
                    <m:t>8</m:t>
                  </m:r>
                </m:sup>
              </m:sSup>
            </m:oMath>
          </w:p>
        </w:tc>
        <w:tc>
          <w:tcPr/>
          <w:p>
            <w:pPr>
              <w:pStyle w:val="Compact"/>
              <w:jc w:val="right"/>
            </w:pPr>
            <w:r>
              <w:t xml:space="preserve">0.992</w:t>
            </w:r>
          </w:p>
        </w:tc>
        <w:tc>
          <w:tcPr/>
          <w:p>
            <w:pPr>
              <w:pStyle w:val="Compact"/>
              <w:jc w:val="right"/>
            </w:pPr>
            <m:oMath>
              <m:r>
                <m:rPr>
                  <m:sty m:val="p"/>
                </m:rPr>
                <m:t>−</m:t>
              </m:r>
              <m:r>
                <m:t>3.0</m:t>
              </m:r>
              <m:r>
                <m:rPr>
                  <m:sty m:val="p"/>
                </m:rPr>
                <m:t>×</m:t>
              </m:r>
              <m:sSup>
                <m:e>
                  <m:r>
                    <m:t>10</m:t>
                  </m:r>
                </m:e>
                <m:sup>
                  <m:r>
                    <m:rPr>
                      <m:sty m:val="p"/>
                    </m:rPr>
                    <m:t>−</m:t>
                  </m:r>
                  <m:r>
                    <m:t>4</m:t>
                  </m:r>
                </m:sup>
              </m:sSup>
            </m:oMath>
          </w:p>
        </w:tc>
      </w:tr>
      <w:tr>
        <w:tc>
          <w:tcPr/>
          <w:p>
            <w:pPr>
              <w:pStyle w:val="Compact"/>
              <w:jc w:val="right"/>
            </w:pPr>
            <w:r>
              <w:t xml:space="preserve">2.0</w:t>
            </w:r>
          </w:p>
        </w:tc>
        <w:tc>
          <w:tcPr/>
          <w:p>
            <w:pPr>
              <w:pStyle w:val="Compact"/>
              <w:jc w:val="right"/>
            </w:pPr>
            <w:r>
              <w:t xml:space="preserve">0.902</w:t>
            </w:r>
          </w:p>
        </w:tc>
        <w:tc>
          <w:tcPr/>
          <w:p>
            <w:pPr>
              <w:pStyle w:val="Compact"/>
              <w:jc w:val="right"/>
            </w:pPr>
            <w:r>
              <w:t xml:space="preserve">[0.884, 0.921]</w:t>
            </w:r>
          </w:p>
        </w:tc>
        <w:tc>
          <w:tcPr/>
          <w:p>
            <w:pPr>
              <w:pStyle w:val="Compact"/>
              <w:jc w:val="right"/>
            </w:pPr>
            <m:oMath>
              <m:r>
                <m:t>2.4</m:t>
              </m:r>
              <m:r>
                <m:rPr>
                  <m:sty m:val="p"/>
                </m:rPr>
                <m:t>×</m:t>
              </m:r>
              <m:sSup>
                <m:e>
                  <m:r>
                    <m:t>10</m:t>
                  </m:r>
                </m:e>
                <m:sup>
                  <m:r>
                    <m:rPr>
                      <m:sty m:val="p"/>
                    </m:rPr>
                    <m:t>−</m:t>
                  </m:r>
                  <m:r>
                    <m:t>23</m:t>
                  </m:r>
                </m:sup>
              </m:sSup>
            </m:oMath>
          </w:p>
        </w:tc>
        <w:tc>
          <w:tcPr/>
          <w:p>
            <w:pPr>
              <w:pStyle w:val="Compact"/>
              <w:jc w:val="right"/>
            </w:pPr>
            <w:r>
              <w:t xml:space="preserve">0.991</w:t>
            </w:r>
          </w:p>
        </w:tc>
        <w:tc>
          <w:tcPr/>
          <w:p>
            <w:pPr>
              <w:pStyle w:val="Compact"/>
              <w:jc w:val="right"/>
            </w:pPr>
            <m:oMath>
              <m:r>
                <m:t>3.7</m:t>
              </m:r>
              <m:r>
                <m:rPr>
                  <m:sty m:val="p"/>
                </m:rPr>
                <m:t>×</m:t>
              </m:r>
              <m:sSup>
                <m:e>
                  <m:r>
                    <m:t>10</m:t>
                  </m:r>
                </m:e>
                <m:sup>
                  <m:r>
                    <m:rPr>
                      <m:sty m:val="p"/>
                    </m:rPr>
                    <m:t>−</m:t>
                  </m:r>
                  <m:r>
                    <m:t>4</m:t>
                  </m:r>
                </m:sup>
              </m:sSup>
            </m:oMath>
          </w:p>
        </w:tc>
      </w:tr>
      <w:tr>
        <w:tc>
          <w:tcPr/>
          <w:p>
            <w:pPr>
              <w:pStyle w:val="Compact"/>
              <w:jc w:val="right"/>
            </w:pPr>
            <w:r>
              <w:t xml:space="preserve">5.0</w:t>
            </w:r>
          </w:p>
        </w:tc>
        <w:tc>
          <w:tcPr/>
          <w:p>
            <w:pPr>
              <w:pStyle w:val="Compact"/>
              <w:jc w:val="right"/>
            </w:pPr>
            <w:r>
              <w:t xml:space="preserve">0.804</w:t>
            </w:r>
          </w:p>
        </w:tc>
        <w:tc>
          <w:tcPr/>
          <w:p>
            <w:pPr>
              <w:pStyle w:val="Compact"/>
              <w:jc w:val="right"/>
            </w:pPr>
            <w:r>
              <w:t xml:space="preserve">[0.787, 0.820]</w:t>
            </w:r>
          </w:p>
        </w:tc>
        <w:tc>
          <w:tcPr/>
          <w:p>
            <w:pPr>
              <w:pStyle w:val="Compact"/>
              <w:jc w:val="right"/>
            </w:pPr>
            <m:oMath>
              <m:r>
                <m:t>1.5</m:t>
              </m:r>
              <m:r>
                <m:rPr>
                  <m:sty m:val="p"/>
                </m:rPr>
                <m:t>×</m:t>
              </m:r>
              <m:sSup>
                <m:e>
                  <m:r>
                    <m:t>10</m:t>
                  </m:r>
                </m:e>
                <m:sup>
                  <m:r>
                    <m:rPr>
                      <m:sty m:val="p"/>
                    </m:rPr>
                    <m:t>−</m:t>
                  </m:r>
                  <m:r>
                    <m:t>93</m:t>
                  </m:r>
                </m:sup>
              </m:sSup>
            </m:oMath>
          </w:p>
        </w:tc>
        <w:tc>
          <w:tcPr/>
          <w:p>
            <w:pPr>
              <w:pStyle w:val="Compact"/>
              <w:jc w:val="right"/>
            </w:pPr>
            <w:r>
              <w:t xml:space="preserve">0.993</w:t>
            </w:r>
          </w:p>
        </w:tc>
        <w:tc>
          <w:tcPr/>
          <w:p>
            <w:pPr>
              <w:pStyle w:val="Compact"/>
              <w:jc w:val="right"/>
            </w:pPr>
            <m:oMath>
              <m:r>
                <m:rPr>
                  <m:sty m:val="p"/>
                </m:rPr>
                <m:t>−</m:t>
              </m:r>
              <m:r>
                <m:t>5.3</m:t>
              </m:r>
              <m:r>
                <m:rPr>
                  <m:sty m:val="p"/>
                </m:rPr>
                <m:t>×</m:t>
              </m:r>
              <m:sSup>
                <m:e>
                  <m:r>
                    <m:t>10</m:t>
                  </m:r>
                </m:e>
                <m:sup>
                  <m:r>
                    <m:rPr>
                      <m:sty m:val="p"/>
                    </m:rPr>
                    <m:t>−</m:t>
                  </m:r>
                  <m:r>
                    <m:t>4</m:t>
                  </m:r>
                </m:sup>
              </m:sSup>
            </m:oMath>
          </w:p>
        </w:tc>
      </w:tr>
      <w:tr>
        <w:tc>
          <w:tcPr/>
          <w:p>
            <w:pPr>
              <w:pStyle w:val="Compact"/>
              <w:jc w:val="right"/>
            </w:pPr>
            <w:r>
              <w:t xml:space="preserve">10.0</w:t>
            </w:r>
          </w:p>
        </w:tc>
        <w:tc>
          <w:tcPr/>
          <w:p>
            <w:pPr>
              <w:pStyle w:val="Compact"/>
              <w:jc w:val="right"/>
            </w:pPr>
            <w:r>
              <w:t xml:space="preserve">0.701</w:t>
            </w:r>
          </w:p>
        </w:tc>
        <w:tc>
          <w:tcPr/>
          <w:p>
            <w:pPr>
              <w:pStyle w:val="Compact"/>
              <w:jc w:val="right"/>
            </w:pPr>
            <w:r>
              <w:t xml:space="preserve">[0.686, 0.717]</w:t>
            </w:r>
          </w:p>
        </w:tc>
        <w:tc>
          <w:tcPr/>
          <w:p>
            <w:pPr>
              <w:pStyle w:val="Compact"/>
              <w:jc w:val="right"/>
            </w:pPr>
            <m:oMath>
              <m:r>
                <m:rPr>
                  <m:sty m:val="p"/>
                </m:rPr>
                <m:t>&lt;</m:t>
              </m:r>
              <m:sSup>
                <m:e>
                  <m:r>
                    <m:t>10</m:t>
                  </m:r>
                </m:e>
                <m:sup>
                  <m:r>
                    <m:rPr>
                      <m:sty m:val="p"/>
                    </m:rPr>
                    <m:t>−</m:t>
                  </m:r>
                  <m:r>
                    <m:t>200</m:t>
                  </m:r>
                </m:sup>
              </m:sSup>
            </m:oMath>
          </w:p>
        </w:tc>
        <w:tc>
          <w:tcPr/>
          <w:p>
            <w:pPr>
              <w:pStyle w:val="Compact"/>
              <w:jc w:val="right"/>
            </w:pPr>
            <w:r>
              <w:t xml:space="preserve">1.020</w:t>
            </w:r>
          </w:p>
        </w:tc>
        <w:tc>
          <w:tcPr/>
          <w:p>
            <w:pPr>
              <w:pStyle w:val="Compact"/>
              <w:jc w:val="right"/>
            </w:pPr>
            <m:oMath>
              <m:r>
                <m:t>3.2</m:t>
              </m:r>
              <m:r>
                <m:rPr>
                  <m:sty m:val="p"/>
                </m:rPr>
                <m:t>×</m:t>
              </m:r>
              <m:sSup>
                <m:e>
                  <m:r>
                    <m:t>10</m:t>
                  </m:r>
                </m:e>
                <m:sup>
                  <m:r>
                    <m:rPr>
                      <m:sty m:val="p"/>
                    </m:rPr>
                    <m:t>−</m:t>
                  </m:r>
                  <m:r>
                    <m:t>4</m:t>
                  </m:r>
                </m:sup>
              </m:sSup>
            </m:oMath>
          </w:p>
        </w:tc>
      </w:tr>
      <w:tr>
        <w:tc>
          <w:tcPr/>
          <w:p>
            <w:pPr>
              <w:pStyle w:val="Compact"/>
              <w:jc w:val="right"/>
            </w:pPr>
            <w:r>
              <w:t xml:space="preserve">20.0</w:t>
            </w:r>
          </w:p>
        </w:tc>
        <w:tc>
          <w:tcPr/>
          <w:p>
            <w:pPr>
              <w:pStyle w:val="Compact"/>
              <w:jc w:val="right"/>
            </w:pPr>
            <w:r>
              <w:t xml:space="preserve">0.551</w:t>
            </w:r>
          </w:p>
        </w:tc>
        <w:tc>
          <w:tcPr/>
          <w:p>
            <w:pPr>
              <w:pStyle w:val="Compact"/>
              <w:jc w:val="right"/>
            </w:pPr>
            <w:r>
              <w:t xml:space="preserve">[0.539, 0.564]</w:t>
            </w:r>
          </w:p>
        </w:tc>
        <w:tc>
          <w:tcPr/>
          <w:p>
            <w:pPr>
              <w:pStyle w:val="Compact"/>
              <w:jc w:val="right"/>
            </w:pPr>
            <m:oMath>
              <m:r>
                <m:rPr>
                  <m:sty m:val="p"/>
                </m:rPr>
                <m:t>&lt;</m:t>
              </m:r>
              <m:sSup>
                <m:e>
                  <m:r>
                    <m:t>10</m:t>
                  </m:r>
                </m:e>
                <m:sup>
                  <m:r>
                    <m:rPr>
                      <m:sty m:val="p"/>
                    </m:rPr>
                    <m:t>−</m:t>
                  </m:r>
                  <m:r>
                    <m:t>300</m:t>
                  </m:r>
                </m:sup>
              </m:sSup>
            </m:oMath>
          </w:p>
        </w:tc>
        <w:tc>
          <w:tcPr/>
          <w:p>
            <w:pPr>
              <w:pStyle w:val="Compact"/>
              <w:jc w:val="right"/>
            </w:pPr>
            <w:r>
              <w:t xml:space="preserve">1.024</w:t>
            </w:r>
          </w:p>
        </w:tc>
        <w:tc>
          <w:tcPr/>
          <w:p>
            <w:pPr>
              <w:pStyle w:val="Compact"/>
              <w:jc w:val="right"/>
            </w:pPr>
            <m:oMath>
              <m:r>
                <m:rPr>
                  <m:sty m:val="p"/>
                </m:rPr>
                <m:t>−</m:t>
              </m:r>
              <m:r>
                <m:t>1.6</m:t>
              </m:r>
              <m:r>
                <m:rPr>
                  <m:sty m:val="p"/>
                </m:rPr>
                <m:t>×</m:t>
              </m:r>
              <m:sSup>
                <m:e>
                  <m:r>
                    <m:t>10</m:t>
                  </m:r>
                </m:e>
                <m:sup>
                  <m:r>
                    <m:rPr>
                      <m:sty m:val="p"/>
                    </m:rPr>
                    <m:t>−</m:t>
                  </m:r>
                  <m:r>
                    <m:t>4</m:t>
                  </m:r>
                </m:sup>
              </m:sSup>
            </m:oMath>
          </w:p>
        </w:tc>
      </w:tr>
    </w:tbl>
    <w:bookmarkEnd w:id="72"/>
    <w:bookmarkStart w:id="76" w:name="fig:cox_bias_hr"/>
    <w:p>
      <w:pPr>
        <w:pStyle w:val="CaptionedFigure"/>
      </w:pPr>
      <w:r>
        <w:drawing>
          <wp:inline>
            <wp:extent cx="5334000" cy="3975680"/>
            <wp:effectExtent b="0" l="0" r="0" t="0"/>
            <wp:docPr descr="Figure 3. Cox regression produces spurious non-null hazard ratios under a synthetic null as frailty heterogeneity increases. Hazard ratios (with 95% confidence intervals) from Cox proportional hazards regression comparing cohort B to cohort A in simulations where the true treatment effect is identically zero and cohorts differ only in frailty variance (\theta). Deviations from HR=1 arise solely from frailty-driven depletion and associated non-proportional hazards." title="" id="74" name="Picture"/>
            <a:graphic>
              <a:graphicData uri="http://schemas.openxmlformats.org/drawingml/2006/picture">
                <pic:pic>
                  <pic:nvPicPr>
                    <pic:cNvPr descr="figures/fig_cox_bias_hr_vs_theta.png" id="75" name="Picture"/>
                    <pic:cNvPicPr>
                      <a:picLocks noChangeArrowheads="1" noChangeAspect="1"/>
                    </pic:cNvPicPr>
                  </pic:nvPicPr>
                  <pic:blipFill>
                    <a:blip r:embed="rId73"/>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3. Cox regression produces spurious non-null hazard ratios under a</w:t>
      </w:r>
      <w:r>
        <w:t xml:space="preserve"> </w:t>
      </w:r>
      <w:r>
        <w:rPr>
          <w:i/>
          <w:iCs/>
        </w:rPr>
        <w:t xml:space="preserve">synthetic null</w:t>
      </w:r>
      <w:r>
        <w:t xml:space="preserve"> </w:t>
      </w:r>
      <w:r>
        <w:t xml:space="preserve">as frailty heterogeneity increases. Hazard ratios (with 95% confidence intervals) from Cox proportional hazards regression comparing cohort B to cohort A in simulations where the true treatment effect is identically zero and cohorts differ only in frailty variance (</w:t>
      </w:r>
      <m:oMath>
        <m:r>
          <m:t>θ</m:t>
        </m:r>
      </m:oMath>
      <w:r>
        <w:t xml:space="preserve">). Deviations from HR=1 arise solely from frailty-driven depletion and associated non-proportional hazards.</w:t>
      </w:r>
    </w:p>
    <w:bookmarkEnd w:id="76"/>
    <w:bookmarkStart w:id="80" w:name="fig:cox_bias_kcor"/>
    <w:p>
      <w:pPr>
        <w:pStyle w:val="CaptionedFigure"/>
      </w:pPr>
      <w:r>
        <w:drawing>
          <wp:inline>
            <wp:extent cx="5334000" cy="3975680"/>
            <wp:effectExtent b="0" l="0" r="0" t="0"/>
            <wp:docPr descr="Figure 4. KCOR(t) remains null under a synthetic null across increasing frailty heterogeneity. KCOR(t) asymptotes remain near 1 across \theta in the same simulations, consistent with correct null behavior after depletion normalization." title="" id="78" name="Picture"/>
            <a:graphic>
              <a:graphicData uri="http://schemas.openxmlformats.org/drawingml/2006/picture">
                <pic:pic>
                  <pic:nvPicPr>
                    <pic:cNvPr descr="figures/fig_cox_bias_kcor_vs_theta.png" id="79" name="Picture"/>
                    <pic:cNvPicPr>
                      <a:picLocks noChangeArrowheads="1" noChangeAspect="1"/>
                    </pic:cNvPicPr>
                  </pic:nvPicPr>
                  <pic:blipFill>
                    <a:blip r:embed="rId77"/>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4. KCOR(t) remains null under a synthetic null across increasing frailty heterogeneity. KCOR(t) asymptotes remain near 1 across</w:t>
      </w:r>
      <w:r>
        <w:t xml:space="preserve"> </w:t>
      </w:r>
      <m:oMath>
        <m:r>
          <m:t>θ</m:t>
        </m:r>
      </m:oMath>
      <w:r>
        <w:t xml:space="preserve"> </w:t>
      </w:r>
      <w:r>
        <w:t xml:space="preserve">in the same simulations, consistent with correct null behavior after depletion normalization.</w:t>
      </w:r>
    </w:p>
    <w:bookmarkEnd w:id="80"/>
    <w:p>
      <w:pPr>
        <w:pStyle w:val="BodyText"/>
      </w:pPr>
      <w:r>
        <w:rPr>
          <w:b/>
          <w:bCs/>
        </w:rPr>
        <w:t xml:space="preserve">Interpretation.</w:t>
      </w:r>
    </w:p>
    <w:p>
      <w:pPr>
        <w:pStyle w:val="BodyText"/>
      </w:pPr>
      <w:r>
        <w:t xml:space="preserve">This demonstration shows that Cox proportional hazards regression can report highly statistically significant non-null hazard ratios—even when the true treatment effect is identically zero—solely due to frailty-induced depletion (e.g.,</w:t>
      </w:r>
      <w:r>
        <w:t xml:space="preserve"> </w:t>
      </w:r>
      <m:oMath>
        <m:r>
          <m:t>p</m:t>
        </m:r>
        <m:r>
          <m:rPr>
            <m:sty m:val="p"/>
          </m:rPr>
          <m:t>&lt;</m:t>
        </m:r>
        <m:sSup>
          <m:e>
            <m:r>
              <m:t>10</m:t>
            </m:r>
          </m:e>
          <m:sup>
            <m:r>
              <m:rPr>
                <m:sty m:val="p"/>
              </m:rPr>
              <m:t>−</m:t>
            </m:r>
            <m:r>
              <m:t>300</m:t>
            </m:r>
          </m:sup>
        </m:sSup>
      </m:oMath>
      <w:r>
        <w:t xml:space="preserve"> </w:t>
      </w:r>
      <w:r>
        <w:t xml:space="preserve">at</w:t>
      </w:r>
      <w:r>
        <w:t xml:space="preserve"> </w:t>
      </w:r>
      <m:oMath>
        <m:r>
          <m:t>θ</m:t>
        </m:r>
        <m:r>
          <m:rPr>
            <m:sty m:val="p"/>
          </m:rPr>
          <m:t>=</m:t>
        </m:r>
        <m:r>
          <m:t>20</m:t>
        </m:r>
      </m:oMath>
      <w:r>
        <w:t xml:space="preserve">), with the magnitude and direction of the apparent effect depending on follow-up horizon, not any causal signal. KCOR, by explicitly normalizing depletion geometry in cumulative-hazard space, correctly returns a null result under the same conditions, with KCOR(t) remaining centered near unity with negligible post-normalization slope across all frailty variance values. This controlled example motivates the use of KCOR for retrospective vaccine studies, where frailty heterogeneity and non-proportional hazards are expected to be substantial.</w:t>
      </w:r>
    </w:p>
    <w:p>
      <w:pPr>
        <w:pStyle w:val="BodyText"/>
      </w:pPr>
      <w:r>
        <w:t xml:space="preserve">This synthetic null isolates depletion-driven non-proportionality as a sufficient cause of strongly non-null Cox estimates, motivating cumulative-hazard–based normalization when selection-induced curvature is present.</w:t>
      </w:r>
    </w:p>
    <w:bookmarkEnd w:id="81"/>
    <w:bookmarkStart w:id="82" w:name="X66e05337efe17185a8c68bb3f932f10416d81dc"/>
    <w:p>
      <w:pPr>
        <w:pStyle w:val="Heading4"/>
      </w:pPr>
      <w:r>
        <w:t xml:space="preserve">2.11.2 Relation to other approaches addressing selection effects</w:t>
      </w:r>
    </w:p>
    <w:p>
      <w:pPr>
        <w:pStyle w:val="FirstParagraph"/>
      </w:pPr>
      <w:r>
        <w:t xml:space="preserve">Several existing approaches, including inverse-probability weighting, marginal structural models, and joint frailty formulations, aim to mitigate selection bias in observational survival analyses. These methods rely on explicit modeling of treatment assignment or hazard structure and generally operate in instantaneous-hazard space. KCOR differs in focusing directly on depletion geometry in cumulative-hazard space and enforcing diagnostic checks that signal loss of identifiability when normalization fails. A full comparison is beyond scope; the synthetic null demonstration illustrates the specific failure mode KCOR is designed to address.</w:t>
      </w:r>
    </w:p>
    <w:bookmarkEnd w:id="82"/>
    <w:bookmarkEnd w:id="83"/>
    <w:bookmarkEnd w:id="84"/>
    <w:bookmarkStart w:id="137"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21"/>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21"/>
        </w:numPr>
      </w:pPr>
      <w:r>
        <w:rPr>
          <w:b/>
          <w:bCs/>
        </w:rPr>
        <w:t xml:space="preserve">Positive controls (detect injected effects):</w:t>
      </w:r>
      <w:r>
        <w:t xml:space="preserve"> </w:t>
      </w:r>
      <w:r>
        <w:t xml:space="preserve">when known harm/benefit is injected into otherwise-null data, KCOR reliably detects it.</w:t>
      </w:r>
    </w:p>
    <w:p>
      <w:pPr>
        <w:pStyle w:val="FirstParagraph"/>
      </w:pPr>
      <w:r>
        <w:t xml:space="preserve">Throughout, curvature in cumulative hazard plots reflects selection-induced depletion, while linearity after normalization indicates successful removal of that curvature.</w:t>
      </w:r>
    </w:p>
    <w:bookmarkStart w:id="85" w:name="tbl:frailty_diagnostics"/>
    <w:p>
      <w:pPr>
        <w:pStyle w:val="TableCaption"/>
      </w:pPr>
      <w:r>
        <w:t xml:space="preserve">Table 7. Estimated gamma-frailty variance (fitted frailty variance) by age band and vaccination status for Czech cohorts enrolled in 2021_24.</w:t>
      </w:r>
    </w:p>
    <w:tbl>
      <w:tblPr>
        <w:tblStyle w:val="Table"/>
        <w:tblW w:type="pct" w:w="5000"/>
        <w:tblLayout w:type="fixed"/>
        <w:tblLook w:firstRow="1" w:lastRow="0" w:firstColumn="0" w:lastColumn="0" w:noHBand="0" w:noVBand="0" w:val="0020"/>
        <w:tblCaption w:val="Table 7. Estimated gamma-frailty variance (fitted frailty variance) by age band and vaccination status for Czech cohorts enrolled in 2021_24."/>
      </w:tblPr>
      <w:tblGrid>
        <w:gridCol w:w="2436"/>
        <w:gridCol w:w="2741"/>
        <w:gridCol w:w="2741"/>
      </w:tblGrid>
      <w:tr>
        <w:trPr>
          <w:tblHeader w:val="on"/>
        </w:trPr>
        <w:tc>
          <w:tcPr/>
          <w:p>
            <w:pPr>
              <w:pStyle w:val="Compact"/>
            </w:pPr>
            <w:r>
              <w:t xml:space="preserve">Age band (years)</w:t>
            </w:r>
          </w:p>
        </w:tc>
        <w:tc>
          <w:tcPr/>
          <w:p>
            <w:pPr>
              <w:pStyle w:val="Compact"/>
              <w:jc w:val="right"/>
            </w:pPr>
            <w:r>
              <w:t xml:space="preserve">Fitted frailty variance (Dose 0)</w:t>
            </w:r>
          </w:p>
        </w:tc>
        <w:tc>
          <w:tcPr/>
          <w:p>
            <w:pPr>
              <w:pStyle w:val="Compact"/>
              <w:jc w:val="right"/>
            </w:pPr>
            <w:r>
              <w:t xml:space="preserve">Fitted frailty variance (Dose 2)</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70–79</w:t>
            </w:r>
          </w:p>
        </w:tc>
        <w:tc>
          <w:tcPr/>
          <w:p>
            <w:pPr>
              <w:pStyle w:val="Compact"/>
              <w:jc w:val="right"/>
            </w:pPr>
            <w:r>
              <w:t xml:space="preserve">6.98</w:t>
            </w:r>
          </w:p>
        </w:tc>
        <w:tc>
          <w:tcPr/>
          <w:p>
            <w:pPr>
              <w:pStyle w:val="Compact"/>
              <w:jc w:val="right"/>
            </w:pPr>
            <m:oMath>
              <m:r>
                <m:t>3.46</m:t>
              </m:r>
              <m:r>
                <m:rPr>
                  <m:sty m:val="p"/>
                </m:rPr>
                <m:t>×</m:t>
              </m:r>
              <m:sSup>
                <m:e>
                  <m:r>
                    <m:t>10</m:t>
                  </m:r>
                </m:e>
                <m:sup>
                  <m:r>
                    <m:rPr>
                      <m:sty m:val="p"/>
                    </m:rPr>
                    <m:t>−</m:t>
                  </m:r>
                  <m:r>
                    <m:t>17</m:t>
                  </m:r>
                </m:sup>
              </m:sSup>
            </m:oMath>
          </w:p>
        </w:tc>
      </w:tr>
      <w:tr>
        <w:tc>
          <w:tcPr/>
          <w:p>
            <w:pPr>
              <w:pStyle w:val="Compact"/>
            </w:pPr>
            <w:r>
              <w:t xml:space="preserve">80–89</w:t>
            </w:r>
          </w:p>
        </w:tc>
        <w:tc>
          <w:tcPr/>
          <w:p>
            <w:pPr>
              <w:pStyle w:val="Compact"/>
              <w:jc w:val="right"/>
            </w:pPr>
            <w:r>
              <w:t xml:space="preserve">2.97</w:t>
            </w:r>
          </w:p>
        </w:tc>
        <w:tc>
          <w:tcPr/>
          <w:p>
            <w:pPr>
              <w:pStyle w:val="Compact"/>
              <w:jc w:val="right"/>
            </w:pPr>
            <m:oMath>
              <m:r>
                <m:t>2.03</m:t>
              </m:r>
              <m:r>
                <m:rPr>
                  <m:sty m:val="p"/>
                </m:rPr>
                <m:t>×</m:t>
              </m:r>
              <m:sSup>
                <m:e>
                  <m:r>
                    <m:t>10</m:t>
                  </m:r>
                </m:e>
                <m:sup>
                  <m:r>
                    <m:rPr>
                      <m:sty m:val="p"/>
                    </m:rPr>
                    <m:t>−</m:t>
                  </m:r>
                  <m:r>
                    <m:t>11</m:t>
                  </m:r>
                </m:sup>
              </m:sSup>
            </m:oMath>
          </w:p>
        </w:tc>
      </w:tr>
      <w:tr>
        <w:tc>
          <w:tcPr/>
          <w:p>
            <w:pPr>
              <w:pStyle w:val="Compact"/>
            </w:pPr>
            <w:r>
              <w:t xml:space="preserve">90–99</w:t>
            </w:r>
          </w:p>
        </w:tc>
        <w:tc>
          <w:tcPr/>
          <w:p>
            <w:pPr>
              <w:pStyle w:val="Compact"/>
              <w:jc w:val="right"/>
            </w:pPr>
            <w:r>
              <w:t xml:space="preserve">0.80</w:t>
            </w:r>
          </w:p>
        </w:tc>
        <w:tc>
          <w:tcPr/>
          <w:p>
            <w:pPr>
              <w:pStyle w:val="Compact"/>
              <w:jc w:val="right"/>
            </w:pPr>
            <m:oMath>
              <m:r>
                <m:t>8.66</m:t>
              </m:r>
              <m:r>
                <m:rPr>
                  <m:sty m:val="p"/>
                </m:rPr>
                <m:t>×</m:t>
              </m:r>
              <m:sSup>
                <m:e>
                  <m:r>
                    <m:t>10</m:t>
                  </m:r>
                </m:e>
                <m:sup>
                  <m:r>
                    <m:rPr>
                      <m:sty m:val="p"/>
                    </m:rPr>
                    <m:t>−</m:t>
                  </m:r>
                  <m:r>
                    <m:t>16</m:t>
                  </m:r>
                </m:sup>
              </m:sSup>
            </m:oMath>
          </w:p>
        </w:tc>
      </w:tr>
      <w:tr>
        <w:tc>
          <w:tcPr/>
          <w:p>
            <w:pPr>
              <w:pStyle w:val="Compact"/>
            </w:pPr>
            <w:r>
              <w:t xml:space="preserve">All ages (full population)</w:t>
            </w:r>
          </w:p>
        </w:tc>
        <w:tc>
          <w:tcPr/>
          <w:p>
            <w:pPr>
              <w:pStyle w:val="Compact"/>
              <w:jc w:val="right"/>
            </w:pPr>
            <w:r>
              <w:t xml:space="preserve">4.98</w:t>
            </w:r>
          </w:p>
        </w:tc>
        <w:tc>
          <w:tcPr/>
          <w:p>
            <w:pPr>
              <w:pStyle w:val="Compact"/>
              <w:jc w:val="right"/>
            </w:pPr>
            <m:oMath>
              <m:r>
                <m:t>1.02</m:t>
              </m:r>
              <m:r>
                <m:rPr>
                  <m:sty m:val="p"/>
                </m:rPr>
                <m:t>×</m:t>
              </m:r>
              <m:sSup>
                <m:e>
                  <m:r>
                    <m:t>10</m:t>
                  </m:r>
                </m:e>
                <m:sup>
                  <m:r>
                    <m:rPr>
                      <m:sty m:val="p"/>
                    </m:rPr>
                    <m:t>−</m:t>
                  </m:r>
                  <m:r>
                    <m:t>11</m:t>
                  </m:r>
                </m:sup>
              </m:sSup>
            </m:oMath>
          </w:p>
        </w:tc>
      </w:tr>
    </w:tbl>
    <w:bookmarkEnd w:id="85"/>
    <w:p>
      <w:pPr>
        <w:pStyle w:val="BodyText"/>
      </w:pPr>
      <w:r>
        <w:rPr>
          <w:b/>
          <w:bCs/>
        </w:rPr>
        <w:t xml:space="preserve">Notes:</w:t>
      </w:r>
      <w:r>
        <w:t xml:space="preserve"> </w:t>
      </w:r>
      <w:r>
        <w:t xml:space="preserve">- The fitted frailty variance quantifies unobserved frailty heterogeneity and depletion of susceptibles within cohorts. Near-zero values indicate effectively linear cumulative hazards over the quiet window and are typical of strongly pre-selected cohorts.</w:t>
      </w:r>
      <w:r>
        <w:t xml:space="preserve"> </w:t>
      </w:r>
      <w:r>
        <w:t xml:space="preserve">- Each entry reports a single fitted gamma-frailty variance for the specified age band and vaccination status within the 2021_24 enrollment cohort.</w:t>
      </w:r>
      <w:r>
        <w:t xml:space="preserve"> </w:t>
      </w:r>
      <w:r>
        <w:t xml:space="preserve">- The</w:t>
      </w:r>
      <w:r>
        <w:t xml:space="preserve"> </w:t>
      </w:r>
      <w:r>
        <w:t xml:space="preserve">“All ages (full population)”</w:t>
      </w:r>
      <w:r>
        <w:t xml:space="preserve"> </w:t>
      </w:r>
      <w:r>
        <w:t xml:space="preserve">row corresponds to an independent fit over the full pooled age range, included as a global diagnostic.</w:t>
      </w:r>
      <w:r>
        <w:t xml:space="preserve"> </w:t>
      </w:r>
      <w:r>
        <w:t xml:space="preserve">- Table 8 reports raw outcome contrasts for ages 40+ (YOB ≤ 1980) where event counts are stable.</w:t>
      </w:r>
    </w:p>
    <w:p>
      <w:pPr>
        <w:pStyle w:val="BodyText"/>
      </w:pPr>
      <w:r>
        <w:rPr>
          <w:b/>
          <w:bCs/>
        </w:rPr>
        <w:t xml:space="preserve">Diagnostic checks:</w:t>
      </w:r>
      <w:r>
        <w:t xml:space="preserve"> </w:t>
      </w:r>
      <w:r>
        <w:t xml:space="preserve">-</w:t>
      </w:r>
      <w:r>
        <w:t xml:space="preserve"> </w:t>
      </w:r>
      <w:r>
        <w:rPr>
          <w:b/>
          <w:bCs/>
        </w:rPr>
        <w:t xml:space="preserve">Dose ordering:</w:t>
      </w:r>
      <w:r>
        <w:t xml:space="preserve"> </w:t>
      </w:r>
      <w:r>
        <w:t xml:space="preserve">the fitted frailty variance is positive for Dose 0 and collapses toward zero for Dose 2 across all age strata, consistent with selective uptake.</w:t>
      </w:r>
      <w:r>
        <w:t xml:space="preserve"> </w:t>
      </w:r>
      <w:r>
        <w:t xml:space="preserve">-</w:t>
      </w:r>
      <w:r>
        <w:t xml:space="preserve"> </w:t>
      </w:r>
      <w:r>
        <w:rPr>
          <w:b/>
          <w:bCs/>
        </w:rPr>
        <w:t xml:space="preserve">Magnitude separation:</w:t>
      </w:r>
      <w:r>
        <w:t xml:space="preserve"> </w:t>
      </w:r>
      <w:r>
        <w:t xml:space="preserve">Dose 2 estimates are effectively zero relative to Dose 0, indicating near-linear cumulative hazards rather than forced curvature.</w:t>
      </w:r>
      <w:r>
        <w:t xml:space="preserve"> </w:t>
      </w:r>
      <w:r>
        <w:t xml:space="preserve">-</w:t>
      </w:r>
      <w:r>
        <w:t xml:space="preserve"> </w:t>
      </w:r>
      <w:r>
        <w:rPr>
          <w:b/>
          <w:bCs/>
        </w:rPr>
        <w:t xml:space="preserve">Age coherence:</w:t>
      </w:r>
      <w:r>
        <w:t xml:space="preserve"> </w:t>
      </w:r>
      <w:r>
        <w:t xml:space="preserve">the fitted frailty variance decreases at older ages as baseline mortality rises and survivor populations become more homogeneous; monotonicity is not imposed.</w:t>
      </w:r>
      <w:r>
        <w:t xml:space="preserve"> </w:t>
      </w:r>
      <w:r>
        <w:t xml:space="preserve">-</w:t>
      </w:r>
      <w:r>
        <w:t xml:space="preserve"> </w:t>
      </w:r>
      <w:r>
        <w:rPr>
          <w:b/>
          <w:bCs/>
        </w:rPr>
        <w:t xml:space="preserve">Stability:</w:t>
      </w:r>
      <w:r>
        <w:t xml:space="preserve"> </w:t>
      </w:r>
      <w:r>
        <w:t xml:space="preserve">No sign reversals, boundary pathologies, or numerical instabilities are observed.</w:t>
      </w:r>
      <w:r>
        <w:t xml:space="preserve"> </w:t>
      </w:r>
      <w:r>
        <w:t xml:space="preserve">-</w:t>
      </w:r>
      <w:r>
        <w:t xml:space="preserve"> </w:t>
      </w:r>
      <w:r>
        <w:rPr>
          <w:b/>
          <w:bCs/>
        </w:rPr>
        <w:t xml:space="preserve">Falsifiability:</w:t>
      </w:r>
      <w:r>
        <w:t xml:space="preserve"> </w:t>
      </w:r>
      <w:r>
        <w:t xml:space="preserve">Failure of any one of these checks would constitute evidence against model adequacy.</w:t>
      </w:r>
    </w:p>
    <w:p>
      <w:pPr>
        <w:pStyle w:val="BodyText"/>
      </w:pPr>
      <w:r>
        <w:rPr>
          <w:b/>
          <w:bCs/>
        </w:rPr>
        <w:t xml:space="preserve">Interpretation:</w:t>
      </w:r>
      <w:r>
        <w:t xml:space="preserve"> </w:t>
      </w:r>
      <w:r>
        <w:t xml:space="preserve">Unvaccinated cohorts exhibit frailty heterogeneity, while Dose 2 cohorts show near-zero estimated frailty across all age bands, consistent with selective uptake prior to follow-up:</w:t>
      </w:r>
    </w:p>
    <w:p>
      <w:pPr>
        <w:pStyle w:val="BodyText"/>
      </w:pPr>
      <m:oMathPara>
        <m:oMathParaPr>
          <m:jc m:val="center"/>
        </m:oMathParaPr>
        <m:oMath>
          <m:sSub>
            <m:e>
              <m:acc>
                <m:accPr>
                  <m:chr m:val="̂"/>
                </m:accPr>
                <m:e>
                  <m:r>
                    <m:t>θ</m:t>
                  </m:r>
                </m:e>
              </m:acc>
            </m:e>
            <m:sub>
              <m:r>
                <m:t>d</m:t>
              </m:r>
            </m:sub>
          </m:sSub>
          <m:r>
            <m:rPr>
              <m:sty m:val="p"/>
            </m:rPr>
            <m:t>&gt;</m:t>
          </m:r>
          <m:r>
            <m:t>0</m:t>
          </m:r>
        </m:oMath>
      </m:oMathPara>
    </w:p>
    <w:p>
      <w:pPr>
        <w:pStyle w:val="FirstParagraph"/>
      </w:pPr>
      <w:r>
        <w:t xml:space="preserve">for Dose 0 cohorts and</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for Dose 2 cohorts. Frailty variance is largest at younger ages, where low baseline mortality amplifies the impact of heterogeneity on cumulative hazard curvature, and declines at older ages where mortality is compressed and survivors are more homogeneous. Because Table 7 demonstrates selection-induced heterogeneity, unadjusted cumulative outcome contrasts are expected to conflate depletion effects with any true treatment differences; Table 8 therefore reports raw cumulative hazards solely as a pre-normalization diagnostic. KCOR normalization removes the depletion component, enabling interpretable comparison of the remaining differences.</w:t>
      </w:r>
    </w:p>
    <w:bookmarkStart w:id="86" w:name="tbl:raw_cumulative_outcomes"/>
    <w:p>
      <w:pPr>
        <w:pStyle w:val="TableCaption"/>
      </w:pPr>
      <w:r>
        <w:t xml:space="preserve">Table 8. Ratio of observed cumulative mortality hazards for unvaccinated (Dose 0) versus fully vaccinated (Dose 2) Czech cohorts enrolled in 2021_24.</w:t>
      </w:r>
    </w:p>
    <w:tbl>
      <w:tblPr>
        <w:tblStyle w:val="Table"/>
        <w:tblW w:type="pct" w:w="5000"/>
        <w:tblLayout w:type="fixed"/>
        <w:tblLook w:firstRow="1" w:lastRow="0" w:firstColumn="0" w:lastColumn="0" w:noHBand="0" w:noVBand="0" w:val="0020"/>
        <w:tblCaption w:val="Table 8. Ratio of observed cumulative mortality hazards for unvaccinated (Dose 0) versus fully vaccinated (Dose 2) Czech cohorts enrolled in 2021_24."/>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0.005260</w:t>
            </w:r>
          </w:p>
        </w:tc>
        <w:tc>
          <w:tcPr/>
          <w:p>
            <w:pPr>
              <w:pStyle w:val="Compact"/>
              <w:jc w:val="right"/>
            </w:pPr>
            <w:r>
              <w:t xml:space="preserve">0.004117</w:t>
            </w:r>
          </w:p>
        </w:tc>
        <w:tc>
          <w:tcPr/>
          <w:p>
            <w:pPr>
              <w:pStyle w:val="Compact"/>
              <w:jc w:val="right"/>
            </w:pPr>
            <w:r>
              <w:t xml:space="preserve">1.2776</w:t>
            </w:r>
          </w:p>
        </w:tc>
      </w:tr>
      <w:tr>
        <w:tc>
          <w:tcPr/>
          <w:p>
            <w:pPr>
              <w:pStyle w:val="Compact"/>
            </w:pPr>
            <w:r>
              <w:t xml:space="preserve">50–59</w:t>
            </w:r>
          </w:p>
        </w:tc>
        <w:tc>
          <w:tcPr/>
          <w:p>
            <w:pPr>
              <w:pStyle w:val="Compact"/>
              <w:jc w:val="right"/>
            </w:pPr>
            <w:r>
              <w:t xml:space="preserve">0.014969</w:t>
            </w:r>
          </w:p>
        </w:tc>
        <w:tc>
          <w:tcPr/>
          <w:p>
            <w:pPr>
              <w:pStyle w:val="Compact"/>
              <w:jc w:val="right"/>
            </w:pPr>
            <w:r>
              <w:t xml:space="preserve">0.009582</w:t>
            </w:r>
          </w:p>
        </w:tc>
        <w:tc>
          <w:tcPr/>
          <w:p>
            <w:pPr>
              <w:pStyle w:val="Compact"/>
              <w:jc w:val="right"/>
            </w:pPr>
            <w:r>
              <w:t xml:space="preserve">1.5622</w:t>
            </w:r>
          </w:p>
        </w:tc>
      </w:tr>
      <w:tr>
        <w:tc>
          <w:tcPr/>
          <w:p>
            <w:pPr>
              <w:pStyle w:val="Compact"/>
            </w:pPr>
            <w:r>
              <w:t xml:space="preserve">60–69</w:t>
            </w:r>
          </w:p>
        </w:tc>
        <w:tc>
          <w:tcPr/>
          <w:p>
            <w:pPr>
              <w:pStyle w:val="Compact"/>
              <w:jc w:val="right"/>
            </w:pPr>
            <w:r>
              <w:t xml:space="preserve">0.045475</w:t>
            </w:r>
          </w:p>
        </w:tc>
        <w:tc>
          <w:tcPr/>
          <w:p>
            <w:pPr>
              <w:pStyle w:val="Compact"/>
              <w:jc w:val="right"/>
            </w:pPr>
            <w:r>
              <w:t xml:space="preserve">0.023136</w:t>
            </w:r>
          </w:p>
        </w:tc>
        <w:tc>
          <w:tcPr/>
          <w:p>
            <w:pPr>
              <w:pStyle w:val="Compact"/>
              <w:jc w:val="right"/>
            </w:pPr>
            <w:r>
              <w:t xml:space="preserve">1.9655</w:t>
            </w:r>
          </w:p>
        </w:tc>
      </w:tr>
      <w:tr>
        <w:tc>
          <w:tcPr/>
          <w:p>
            <w:pPr>
              <w:pStyle w:val="Compact"/>
            </w:pPr>
            <w:r>
              <w:t xml:space="preserve">70–79</w:t>
            </w:r>
          </w:p>
        </w:tc>
        <w:tc>
          <w:tcPr/>
          <w:p>
            <w:pPr>
              <w:pStyle w:val="Compact"/>
              <w:jc w:val="right"/>
            </w:pPr>
            <w:r>
              <w:t xml:space="preserve">0.123097</w:t>
            </w:r>
          </w:p>
        </w:tc>
        <w:tc>
          <w:tcPr/>
          <w:p>
            <w:pPr>
              <w:pStyle w:val="Compact"/>
              <w:jc w:val="right"/>
            </w:pPr>
            <w:r>
              <w:t xml:space="preserve">0.057675</w:t>
            </w:r>
          </w:p>
        </w:tc>
        <w:tc>
          <w:tcPr/>
          <w:p>
            <w:pPr>
              <w:pStyle w:val="Compact"/>
              <w:jc w:val="right"/>
            </w:pPr>
            <w:r>
              <w:t xml:space="preserve">2.1343</w:t>
            </w:r>
          </w:p>
        </w:tc>
      </w:tr>
      <w:tr>
        <w:tc>
          <w:tcPr/>
          <w:p>
            <w:pPr>
              <w:pStyle w:val="Compact"/>
            </w:pPr>
            <w:r>
              <w:t xml:space="preserve">80–89</w:t>
            </w:r>
          </w:p>
        </w:tc>
        <w:tc>
          <w:tcPr/>
          <w:p>
            <w:pPr>
              <w:pStyle w:val="Compact"/>
              <w:jc w:val="right"/>
            </w:pPr>
            <w:r>
              <w:t xml:space="preserve">0.307169</w:t>
            </w:r>
          </w:p>
        </w:tc>
        <w:tc>
          <w:tcPr/>
          <w:p>
            <w:pPr>
              <w:pStyle w:val="Compact"/>
              <w:jc w:val="right"/>
            </w:pPr>
            <w:r>
              <w:t xml:space="preserve">0.167345</w:t>
            </w:r>
          </w:p>
        </w:tc>
        <w:tc>
          <w:tcPr/>
          <w:p>
            <w:pPr>
              <w:pStyle w:val="Compact"/>
              <w:jc w:val="right"/>
            </w:pPr>
            <w:r>
              <w:t xml:space="preserve">1.8355</w:t>
            </w:r>
          </w:p>
        </w:tc>
      </w:tr>
      <w:tr>
        <w:tc>
          <w:tcPr/>
          <w:p>
            <w:pPr>
              <w:pStyle w:val="Compact"/>
            </w:pPr>
            <w:r>
              <w:t xml:space="preserve">90–99</w:t>
            </w:r>
          </w:p>
        </w:tc>
        <w:tc>
          <w:tcPr/>
          <w:p>
            <w:pPr>
              <w:pStyle w:val="Compact"/>
              <w:jc w:val="right"/>
            </w:pPr>
            <w:r>
              <w:t xml:space="preserve">0.776341</w:t>
            </w:r>
          </w:p>
        </w:tc>
        <w:tc>
          <w:tcPr/>
          <w:p>
            <w:pPr>
              <w:pStyle w:val="Compact"/>
              <w:jc w:val="right"/>
            </w:pPr>
            <w:r>
              <w:t xml:space="preserve">0.517284</w:t>
            </w:r>
          </w:p>
        </w:tc>
        <w:tc>
          <w:tcPr/>
          <w:p>
            <w:pPr>
              <w:pStyle w:val="Compact"/>
              <w:jc w:val="right"/>
            </w:pPr>
            <w:r>
              <w:t xml:space="preserve">1.5008</w:t>
            </w:r>
          </w:p>
        </w:tc>
      </w:tr>
      <w:tr>
        <w:tc>
          <w:tcPr/>
          <w:p>
            <w:pPr>
              <w:pStyle w:val="Compact"/>
            </w:pPr>
            <w:r>
              <w:t xml:space="preserve">All ages (full population)</w:t>
            </w:r>
          </w:p>
        </w:tc>
        <w:tc>
          <w:tcPr/>
          <w:p>
            <w:pPr>
              <w:pStyle w:val="Compact"/>
              <w:jc w:val="right"/>
            </w:pPr>
            <w:r>
              <w:t xml:space="preserve">0.023160</w:t>
            </w:r>
          </w:p>
        </w:tc>
        <w:tc>
          <w:tcPr/>
          <w:p>
            <w:pPr>
              <w:pStyle w:val="Compact"/>
              <w:jc w:val="right"/>
            </w:pPr>
            <w:r>
              <w:t xml:space="preserve">0.073323</w:t>
            </w:r>
          </w:p>
        </w:tc>
        <w:tc>
          <w:tcPr/>
          <w:p>
            <w:pPr>
              <w:pStyle w:val="Compact"/>
              <w:jc w:val="right"/>
            </w:pPr>
            <w:r>
              <w:t xml:space="preserve">0.3159</w:t>
            </w:r>
          </w:p>
        </w:tc>
      </w:tr>
    </w:tbl>
    <w:bookmarkEnd w:id="86"/>
    <w:p>
      <w:pPr>
        <w:pStyle w:val="BodyText"/>
      </w:pPr>
      <w:r>
        <w:t xml:space="preserve">This table reports unadjusted cumulative hazards derived directly from the raw data, prior to any frailty normalization or depletion correction, and is shown to illustrate the magnitude and direction of selection-induced curvature addressed by KCOR.</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for the 2021_24 enrollment window (through week 2024-16), identically for Dose 0 and Dose 2 cohorts.</w:t>
      </w:r>
    </w:p>
    <w:p>
      <w:pPr>
        <w:pStyle w:val="BodyText"/>
      </w:pPr>
      <w:r>
        <w:t xml:space="preserve">These raw contrasts reflect both selection and depletion effects and are not interpreted causally.</w:t>
      </w:r>
    </w:p>
    <w:bookmarkStart w:id="87" w:name="X9ac3801cf2efec47c3f62c9e1f18b5d55fb3142"/>
    <w:p>
      <w:pPr>
        <w:pStyle w:val="Heading4"/>
      </w:pPr>
      <w:r>
        <w:t xml:space="preserve">3.0.1 Illustrative empirical context: COVID-19 mortality data</w:t>
      </w:r>
    </w:p>
    <w:p>
      <w:pPr>
        <w:pStyle w:val="FirstParagraph"/>
      </w:pPr>
      <w:r>
        <w:t xml:space="preserve">The COVID-19 vaccination period provides a natural empirical regime characterized by strong selection heterogeneity and non-proportional hazards, making it a useful illustration for the KCOR framework. During this period, vaccine uptake was voluntary, rapidly time-varying, and correlated with baseline health status, creating clear examples of selection-induced non-proportional hazards. The Czech Republic national mortality registry data used in Tables 2 and 3 exemplify this regime: voluntary uptake led to asymmetric selection at enrollment, with vaccinated cohorts exhibiting minimal frailty heterogeneity while unvaccinated cohorts retained substantial heterogeneity. This asymmetric pattern reflects the healthy vaccinee effect operating through selective uptake rather than treatment. KCOR normalization removes this selection-induced curvature, enabling interpretable cumulative comparisons. While these examples illustrate KCOR’s application, the method is general and applies to any retrospective cohort comparison where selection induces differential depletion dynamics.</w:t>
      </w:r>
    </w:p>
    <w:bookmarkEnd w:id="87"/>
    <w:bookmarkStart w:id="88" w:name="X49c21f7e7289ea359d29dc79a5af219551caf27"/>
    <w:p>
      <w:pPr>
        <w:pStyle w:val="Heading3"/>
      </w:pPr>
      <w:r>
        <w:t xml:space="preserve">3.0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cumulative hazard for others. This behavior is consistent with curvature-driven normalization rather than cohort identity. This pattern is visible directly in adjusted versus unadjusted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adjusted cumulative hazards 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bookmarkEnd w:id="88"/>
    <w:bookmarkStart w:id="105" w:name="X250d2743dd947cd04209f9dc9cf02b545517230"/>
    <w:p>
      <w:pPr>
        <w:pStyle w:val="Heading3"/>
      </w:pPr>
      <w:r>
        <w:t xml:space="preserve">3.1 Negative controls: null under selection-induced curvature</w:t>
      </w:r>
    </w:p>
    <w:bookmarkStart w:id="94"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22"/>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22"/>
        </w:numPr>
      </w:pPr>
      <w:r>
        <w:t xml:space="preserve">Two cohorts have different frailty variance</w:t>
      </w:r>
      <w:r>
        <w:t xml:space="preserve"> </w:t>
      </w:r>
      <m:oMath>
        <m:r>
          <m:t>θ</m:t>
        </m:r>
      </m:oMath>
      <w:r>
        <w:t xml:space="preserve"> </w:t>
      </w:r>
      <w:r>
        <w:t xml:space="preserve">(or different selection rules), creating different cohort-level curvature in observed cohort hazards.</w:t>
      </w:r>
    </w:p>
    <w:p>
      <w:pPr>
        <w:pStyle w:val="Compact"/>
        <w:numPr>
          <w:ilvl w:val="0"/>
          <w:numId w:val="1022"/>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93"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23"/>
        </w:numPr>
      </w:pPr>
      <w:r>
        <w:t xml:space="preserve">Time unit: weeks.</w:t>
      </w:r>
    </w:p>
    <w:p>
      <w:pPr>
        <w:pStyle w:val="Compact"/>
        <w:numPr>
          <w:ilvl w:val="0"/>
          <w:numId w:val="1023"/>
        </w:numPr>
      </w:pPr>
      <w:r>
        <w:t xml:space="preserve">Baseline hazard is constant during quiet periods; choose a baseline level</w:t>
      </w:r>
      <w:r>
        <w:t xml:space="preserve"> </w:t>
      </w:r>
      <m:oMath>
        <m:r>
          <m:t>k</m:t>
        </m:r>
      </m:oMath>
      <w:r>
        <w:t xml:space="preserve"> </w:t>
      </w:r>
      <w:r>
        <w:t xml:space="preserve">in the chosen time units.</w:t>
      </w:r>
    </w:p>
    <w:p>
      <w:pPr>
        <w:pStyle w:val="Compact"/>
        <w:numPr>
          <w:ilvl w:val="0"/>
          <w:numId w:val="1023"/>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23"/>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5 shows this construction.</w:t>
      </w:r>
    </w:p>
    <w:bookmarkStart w:id="92" w:name="fig:neg_control_synthetic"/>
    <w:p>
      <w:pPr>
        <w:pStyle w:val="CaptionedFigure"/>
      </w:pPr>
      <w:r>
        <w:drawing>
          <wp:inline>
            <wp:extent cx="5334000" cy="3852333"/>
            <wp:effectExtent b="0" l="0" r="0" t="0"/>
            <wp:docPr descr="Figure 5. Synthetic negative control under strong selection (different curvature) but no effect: KCOR(t) remains flat at 1. Top panel shows cohort hazards with different frailty-mixture weights inducing different curvature. Bottom panel shows KCOR(t) remaining near 1.0 after normalization, demonstrating successful depletion-neutralization under the null." title="" id="90" name="Picture"/>
            <a:graphic>
              <a:graphicData uri="http://schemas.openxmlformats.org/drawingml/2006/picture">
                <pic:pic>
                  <pic:nvPicPr>
                    <pic:cNvPr descr="figures/fig_neg_control_synthetic.png" id="91" name="Picture"/>
                    <pic:cNvPicPr>
                      <a:picLocks noChangeArrowheads="1" noChangeAspect="1"/>
                    </pic:cNvPicPr>
                  </pic:nvPicPr>
                  <pic:blipFill>
                    <a:blip r:embed="rId89"/>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5. Synthetic negative control under strong selection (different curvature) but no effect: KCOR(t) remains flat at 1. Top panel shows cohort hazards with different frailty-mixture weights inducing different curvature. Bottom panel shows KCOR(t) remaining near 1.0 after normalization, demonstrating successful depletion-neutralization under the null.</w:t>
      </w:r>
    </w:p>
    <w:bookmarkEnd w:id="92"/>
    <w:bookmarkEnd w:id="93"/>
    <w:bookmarkEnd w:id="94"/>
    <w:bookmarkStart w:id="104"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KCOR(t) trajectories are consistent with the estimator normalizing selection-induced depletion curvature without introducing spurious time trends or cumulative drift.</w:t>
      </w:r>
    </w:p>
    <w:p>
      <w:pPr>
        <w:pStyle w:val="BodyText"/>
      </w:pPr>
      <w:r>
        <w:t xml:space="preserve">For the empirical age-shift negative control (Figures 6 and 7),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98" w:name="fig:neg_control_10yr"/>
    <w:p>
      <w:pPr>
        <w:pStyle w:val="CaptionedFigure"/>
      </w:pPr>
      <w:r>
        <w:drawing>
          <wp:inline>
            <wp:extent cx="5334000" cy="2773680"/>
            <wp:effectExtent b="0" l="0" r="0" t="0"/>
            <wp:docPr descr="Figure 6. Empirical negative control with approximately 10-year age difference between cohorts. Despite large baseline mortality differences, KCOR(t) remains near-flat at 1 over follow-up, consistent with a true null effect. Data source: Czech Republic mortality and vaccination dataset processed into KCOR_CMR aggregated format (negative-control construction; see Appendix B.2).4" title="" id="96" name="Picture"/>
            <a:graphic>
              <a:graphicData uri="http://schemas.openxmlformats.org/drawingml/2006/picture">
                <pic:pic>
                  <pic:nvPicPr>
                    <pic:cNvPr descr="figures/fig2_neg_control_10yr_age_diff.png" id="97" name="Picture"/>
                    <pic:cNvPicPr>
                      <a:picLocks noChangeArrowheads="1" noChangeAspect="1"/>
                    </pic:cNvPicPr>
                  </pic:nvPicPr>
                  <pic:blipFill>
                    <a:blip r:embed="rId95"/>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6. Empirical negative control with approximately 10-year age difference between cohorts. Despite large baseline mortality differences, KCOR(t) remains near-flat at 1 over follow-up, consistent with a true null effect. Data source: Czech Republic mortality and vaccination dataset processed into KCOR_CMR aggregated format (negative-control construction; see Appendix B.2).</w:t>
      </w:r>
      <w:r>
        <w:rPr>
          <w:vertAlign w:val="superscript"/>
        </w:rPr>
        <w:t xml:space="preserve">4</w:t>
      </w:r>
    </w:p>
    <w:bookmarkEnd w:id="98"/>
    <w:bookmarkStart w:id="102" w:name="fig:neg_control_20yr"/>
    <w:p>
      <w:pPr>
        <w:pStyle w:val="CaptionedFigure"/>
      </w:pPr>
      <w:r>
        <w:drawing>
          <wp:inline>
            <wp:extent cx="5334000" cy="2810466"/>
            <wp:effectExtent b="0" l="0" r="0" t="0"/>
            <wp:docPr descr="Figure 7. Empirical negative control with approximately 20-year age difference between cohorts. Even under extreme composition differences, KCOR(t) exhibits no systematic drift, demonstrating robustness to selection-induced curvature. Data source: Czech Republic mortality and vaccination dataset processed into KCOR_CMR aggregated format (negative-control construction; see Appendix B.2)." title="" id="100" name="Picture"/>
            <a:graphic>
              <a:graphicData uri="http://schemas.openxmlformats.org/drawingml/2006/picture">
                <pic:pic>
                  <pic:nvPicPr>
                    <pic:cNvPr descr="figures/fig3_neg_control_20yr_age_diff.png" id="101" name="Picture"/>
                    <pic:cNvPicPr>
                      <a:picLocks noChangeArrowheads="1" noChangeAspect="1"/>
                    </pic:cNvPicPr>
                  </pic:nvPicPr>
                  <pic:blipFill>
                    <a:blip r:embed="rId99"/>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7. Empirical negative control with approximately 20-year age difference between cohorts. Even under extreme composition differences, KCOR(t) exhibits no systematic drift, demonstrating robustness to selection-induced curvature. Data source: Czech Republic mortality and vaccination dataset processed into KCOR_CMR aggregated format (negative-control construction; see Appendix B.2).</w:t>
      </w:r>
    </w:p>
    <w:bookmarkEnd w:id="102"/>
    <w:p>
      <w:pPr>
        <w:pStyle w:val="BodyText"/>
      </w:pPr>
      <w:r>
        <w:t xml:space="preserve">Table 9 provides numeric summaries.</w:t>
      </w:r>
    </w:p>
    <w:bookmarkStart w:id="103" w:name="tbl:neg_control_summary"/>
    <w:p>
      <w:pPr>
        <w:pStyle w:val="TableCaption"/>
      </w:pPr>
      <w:r>
        <w:t xml:space="preserve">Table 9. Example end-of-window KCOR(t) 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9. Example end-of-window KCOR(t)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103"/>
    <w:bookmarkEnd w:id="104"/>
    <w:bookmarkEnd w:id="105"/>
    <w:bookmarkStart w:id="112"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bookmarkStart w:id="106" w:name="eq:pos-control-injection"/>
    <w:p>
      <w:pPr>
        <w:pStyle w:val="BodyText"/>
      </w:pPr>
      <w:pPr>
        <w:tabs>
          <w:tab w:val="center" w:leader="none" w:pos="4680"/>
          <w:tab w:val="right" w:leader="none" w:pos="9360"/>
        </w:tabs>
      </w:pPr>
      <w:r>
        <w:tab/>
      </w:r>
      <w:r>
        <w:t xml:space="preserve"> </w:t>
      </w: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oMath>
      <w:r>
        <w:t xml:space="preserve"> </w:t>
      </w:r>
      <w:r>
        <w:tab/>
      </w:r>
      <w:r>
        <w:t xml:space="preserve"> </w:t>
      </w:r>
      <m:oMath>
        <m:r>
          <m:rPr>
            <m:sty m:val="p"/>
          </m:rPr>
          <m:t>(</m:t>
        </m:r>
        <m:r>
          <m:t>15</m:t>
        </m:r>
        <m:r>
          <m:rPr>
            <m:sty m:val="p"/>
          </m:rPr>
          <m:t>)</m:t>
        </m:r>
      </m:oMath>
    </w:p>
    <w:bookmarkEnd w:id="106"/>
    <w:p>
      <w:pPr>
        <w:pStyle w:val="BodyText"/>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8 and Table 10 confirm this behavior.</w:t>
      </w:r>
    </w:p>
    <w:bookmarkStart w:id="110" w:name="fig:pos_control_injected"/>
    <w:p>
      <w:pPr>
        <w:pStyle w:val="CaptionedFigure"/>
      </w:pPr>
      <w:r>
        <w:drawing>
          <wp:inline>
            <wp:extent cx="5334000" cy="4253184"/>
            <wp:effectExtent b="0" l="0" r="0" t="0"/>
            <wp:docPr descr="Figure 8.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 title="" id="108" name="Picture"/>
            <a:graphic>
              <a:graphicData uri="http://schemas.openxmlformats.org/drawingml/2006/picture">
                <pic:pic>
                  <pic:nvPicPr>
                    <pic:cNvPr descr="figures/fig_pos_control_injected.png" id="109" name="Picture"/>
                    <pic:cNvPicPr>
                      <a:picLocks noChangeArrowheads="1" noChangeAspect="1"/>
                    </pic:cNvPicPr>
                  </pic:nvPicPr>
                  <pic:blipFill>
                    <a:blip r:embed="rId107"/>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8.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w:t>
      </w:r>
    </w:p>
    <w:bookmarkEnd w:id="110"/>
    <w:bookmarkStart w:id="111" w:name="tbl:pos_control_summary"/>
    <w:p>
      <w:pPr>
        <w:pStyle w:val="TableCaption"/>
      </w:pPr>
      <w:r>
        <w:t xml:space="preserve">Table 10.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10.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111"/>
    <w:bookmarkEnd w:id="112"/>
    <w:bookmarkStart w:id="117"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24"/>
        </w:numPr>
      </w:pPr>
      <w:r>
        <w:t xml:space="preserve">Quiet-window selection (calendar ISO-week bounds)</w:t>
      </w:r>
    </w:p>
    <w:p>
      <w:pPr>
        <w:pStyle w:val="Compact"/>
        <w:numPr>
          <w:ilvl w:val="0"/>
          <w:numId w:val="1024"/>
        </w:numPr>
      </w:pPr>
      <w:r>
        <w:t xml:space="preserve">Stabilization skip (early-bin handling)</w:t>
      </w:r>
    </w:p>
    <w:p>
      <w:pPr>
        <w:pStyle w:val="Compact"/>
        <w:numPr>
          <w:ilvl w:val="0"/>
          <w:numId w:val="1024"/>
        </w:numPr>
      </w:pPr>
      <w:r>
        <w:t xml:space="preserve">Time-binning resolution</w:t>
      </w:r>
    </w:p>
    <w:p>
      <w:pPr>
        <w:pStyle w:val="Compact"/>
        <w:numPr>
          <w:ilvl w:val="0"/>
          <w:numId w:val="1024"/>
        </w:numPr>
      </w:pPr>
      <w:r>
        <w:t xml:space="preserve">Age stratification and/or stratified analyses where appropriate</w:t>
      </w:r>
    </w:p>
    <w:p>
      <w:pPr>
        <w:pStyle w:val="Compact"/>
        <w:numPr>
          <w:ilvl w:val="0"/>
          <w:numId w:val="1024"/>
        </w:numPr>
      </w:pPr>
      <w:r>
        <w:t xml:space="preserve">Baseline shape choice (default constant baseline over the fit window; alternatives can be assessed as sensitivity)</w:t>
      </w:r>
    </w:p>
    <w:p>
      <w:pPr>
        <w:pStyle w:val="FirstParagraph"/>
      </w:pPr>
      <w:r>
        <w:t xml:space="preserve">Figure 9 summarizes KCOR stability across the parameter grid.</w:t>
      </w:r>
    </w:p>
    <w:bookmarkStart w:id="116" w:name="fig:sensitivity_overview"/>
    <w:p>
      <w:pPr>
        <w:pStyle w:val="CaptionedFigure"/>
      </w:pPr>
      <w:r>
        <w:drawing>
          <wp:inline>
            <wp:extent cx="5334000" cy="1571483"/>
            <wp:effectExtent b="0" l="0" r="0" t="0"/>
            <wp:docPr descr="Figure 9. Sensitivity analysis summary showing KCOR(t) values across parameter grid. Heatmaps display KCOR(t) estimates for different combinations of baseline weeks (rows) and quiet-window start offsets (columns). Color scale centered at 1.0 shows stability of estimates across parameter choices, with values remaining close to 1.0 across the grid." title="" id="114" name="Picture"/>
            <a:graphic>
              <a:graphicData uri="http://schemas.openxmlformats.org/drawingml/2006/picture">
                <pic:pic>
                  <pic:nvPicPr>
                    <pic:cNvPr descr="figures/fig_sensitivity_overview.png" id="115" name="Picture"/>
                    <pic:cNvPicPr>
                      <a:picLocks noChangeArrowheads="1" noChangeAspect="1"/>
                    </pic:cNvPicPr>
                  </pic:nvPicPr>
                  <pic:blipFill>
                    <a:blip r:embed="rId113"/>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9. Sensitivity analysis summary showing KCOR(t) values across parameter grid. Heatmaps display KCOR(t) estimates for different combinations of baseline weeks (rows) and quiet-window start offsets (columns). Color scale centered at 1.0 shows stability of estimates across parameter choices, with values remaining close to 1.0 across the grid.</w:t>
      </w:r>
    </w:p>
    <w:bookmarkEnd w:id="116"/>
    <w:p>
      <w:pPr>
        <w:pStyle w:val="BodyText"/>
      </w:pPr>
      <w:r>
        <w:t xml:space="preserve">Across all tested parameter ranges, KCOR(t) values remained within approximately ±5% of unity, indicating stability under reasonable variations in fitting choices.</w:t>
      </w:r>
    </w:p>
    <w:bookmarkEnd w:id="117"/>
    <w:bookmarkStart w:id="134" w:name="Xc4d8adb0ad5f1ae7badc4f43956d4ea2b8d625b"/>
    <w:p>
      <w:pPr>
        <w:pStyle w:val="Heading3"/>
      </w:pPr>
      <w:r>
        <w:t xml:space="preserve">3.4 Simulation grid: operating characteristics and failure-mode diagnostics</w:t>
      </w:r>
    </w:p>
    <w:p>
      <w:pPr>
        <w:pStyle w:val="FirstParagraph"/>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 KCOR(t) 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 KCOR(t) remaining within ±5% of unity over the diagnostic window (weeks 20–100), excluding early transients. See Figures 10 and 11 below.</w:t>
      </w:r>
    </w:p>
    <w:p>
      <w:pPr>
        <w:pStyle w:val="BodyText"/>
      </w:pPr>
      <w:r>
        <w:rPr>
          <w:b/>
          <w:bCs/>
        </w:rPr>
        <w:t xml:space="preserve">Joint frailty and treatment-effect simulation (S7).</w:t>
      </w:r>
      <w:r>
        <w:br/>
      </w:r>
      <w:r>
        <w:t xml:space="preserve">Figure 12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 KCOR</w:t>
      </w:r>
      <m:oMath>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Importantly, S7 also includes an intentional violation of temporal separability in which the treatment window overlaps the quiet window. In this overlap variant, KCOR(t) trajectories no longer stabilize during the nominal quiet period, and fit diagnostics degrade (Figure 13), including increased cumulative-hazard fit error and reduced post-normalization linearity. In these cases, KCOR(t) 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121" w:name="fig:sim_grid_overview"/>
    <w:p>
      <w:pPr>
        <w:pStyle w:val="CaptionedFigure"/>
      </w:pPr>
      <w:r>
        <w:drawing>
          <wp:inline>
            <wp:extent cx="5334000" cy="4246345"/>
            <wp:effectExtent b="0" l="0" r="0" t="0"/>
            <wp:docPr descr="Figure 10. Simulation grid overview: KCOR(t) trajectories across prespecified scenarios, including gamma-frailty null with strong selection, injected hazard increase and decrease, non-gamma frailty, quiet-window contamination, and sparse-event regimes. Under true null, KCOR(t) remains near-flat at 1; injected effects are detected in the expected direction; adverse regimes are accompanied by degraded diagnostics and reduced interpretability." title="" id="119" name="Picture"/>
            <a:graphic>
              <a:graphicData uri="http://schemas.openxmlformats.org/drawingml/2006/picture">
                <pic:pic>
                  <pic:nvPicPr>
                    <pic:cNvPr descr="figures/fig_sim_grid_overview.png" id="120" name="Picture"/>
                    <pic:cNvPicPr>
                      <a:picLocks noChangeArrowheads="1" noChangeAspect="1"/>
                    </pic:cNvPicPr>
                  </pic:nvPicPr>
                  <pic:blipFill>
                    <a:blip r:embed="rId118"/>
                    <a:stretch>
                      <a:fillRect/>
                    </a:stretch>
                  </pic:blipFill>
                  <pic:spPr bwMode="auto">
                    <a:xfrm>
                      <a:off x="0" y="0"/>
                      <a:ext cx="5334000" cy="4246345"/>
                    </a:xfrm>
                    <a:prstGeom prst="rect">
                      <a:avLst/>
                    </a:prstGeom>
                    <a:noFill/>
                    <a:ln w="9525">
                      <a:noFill/>
                      <a:headEnd/>
                      <a:tailEnd/>
                    </a:ln>
                  </pic:spPr>
                </pic:pic>
              </a:graphicData>
            </a:graphic>
          </wp:inline>
        </w:drawing>
      </w:r>
    </w:p>
    <w:p>
      <w:pPr>
        <w:pStyle w:val="ImageCaption"/>
      </w:pPr>
      <w:r>
        <w:t xml:space="preserve">Figure 10. Simulation grid overview: KCOR(t) trajectories across prespecified scenarios, including gamma-frailty null with strong selection, injected hazard increase and decrease, non-gamma frailty, quiet-window contamination, and sparse-event regimes. Under true null, KCOR(t) remains near-flat at 1; injected effects are detected in the expected direction; adverse regimes are accompanied by degraded diagnostics and reduced interpretability.</w:t>
      </w:r>
    </w:p>
    <w:bookmarkEnd w:id="121"/>
    <w:bookmarkStart w:id="125" w:name="fig:sim_grid_diagnostics"/>
    <w:p>
      <w:pPr>
        <w:pStyle w:val="CaptionedFigure"/>
      </w:pPr>
      <w:r>
        <w:drawing>
          <wp:inline>
            <wp:extent cx="5334000" cy="2491716"/>
            <wp:effectExtent b="0" l="0" r="0" t="0"/>
            <wp:docPr descr="Figure 11.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 title="" id="123" name="Picture"/>
            <a:graphic>
              <a:graphicData uri="http://schemas.openxmlformats.org/drawingml/2006/picture">
                <pic:pic>
                  <pic:nvPicPr>
                    <pic:cNvPr descr="figures/fig_sim_grid_diagnostics.png" id="124" name="Picture"/>
                    <pic:cNvPicPr>
                      <a:picLocks noChangeArrowheads="1" noChangeAspect="1"/>
                    </pic:cNvPicPr>
                  </pic:nvPicPr>
                  <pic:blipFill>
                    <a:blip r:embed="rId122"/>
                    <a:stretch>
                      <a:fillRect/>
                    </a:stretch>
                  </pic:blipFill>
                  <pic:spPr bwMode="auto">
                    <a:xfrm>
                      <a:off x="0" y="0"/>
                      <a:ext cx="5334000" cy="2491716"/>
                    </a:xfrm>
                    <a:prstGeom prst="rect">
                      <a:avLst/>
                    </a:prstGeom>
                    <a:noFill/>
                    <a:ln w="9525">
                      <a:noFill/>
                      <a:headEnd/>
                      <a:tailEnd/>
                    </a:ln>
                  </pic:spPr>
                </pic:pic>
              </a:graphicData>
            </a:graphic>
          </wp:inline>
        </w:drawing>
      </w:r>
    </w:p>
    <w:p>
      <w:pPr>
        <w:pStyle w:val="ImageCaption"/>
      </w:pPr>
      <w:r>
        <w:t xml:space="preserve">Figure 11.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w:t>
      </w:r>
    </w:p>
    <w:bookmarkEnd w:id="125"/>
    <w:bookmarkStart w:id="129" w:name="fig:s7_overview"/>
    <w:p>
      <w:pPr>
        <w:pStyle w:val="CaptionedFigure"/>
      </w:pPr>
      <w:r>
        <w:drawing>
          <wp:inline>
            <wp:extent cx="5334000" cy="1389920"/>
            <wp:effectExtent b="0" l="0" r="0" t="0"/>
            <wp:docPr descr="Figure 12.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 title="" id="127" name="Picture"/>
            <a:graphic>
              <a:graphicData uri="http://schemas.openxmlformats.org/drawingml/2006/picture">
                <pic:pic>
                  <pic:nvPicPr>
                    <pic:cNvPr descr="figures/fig_s7_overview.png" id="128" name="Picture"/>
                    <pic:cNvPicPr>
                      <a:picLocks noChangeArrowheads="1" noChangeAspect="1"/>
                    </pic:cNvPicPr>
                  </pic:nvPicPr>
                  <pic:blipFill>
                    <a:blip r:embed="rId126"/>
                    <a:stretch>
                      <a:fillRect/>
                    </a:stretch>
                  </pic:blipFill>
                  <pic:spPr bwMode="auto">
                    <a:xfrm>
                      <a:off x="0" y="0"/>
                      <a:ext cx="5334000" cy="1389920"/>
                    </a:xfrm>
                    <a:prstGeom prst="rect">
                      <a:avLst/>
                    </a:prstGeom>
                    <a:noFill/>
                    <a:ln w="9525">
                      <a:noFill/>
                      <a:headEnd/>
                      <a:tailEnd/>
                    </a:ln>
                  </pic:spPr>
                </pic:pic>
              </a:graphicData>
            </a:graphic>
          </wp:inline>
        </w:drawing>
      </w:r>
    </w:p>
    <w:p>
      <w:pPr>
        <w:pStyle w:val="ImageCaption"/>
      </w:pPr>
      <w:r>
        <w:t xml:space="preserve">Figure 12.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w:t>
      </w:r>
    </w:p>
    <w:bookmarkEnd w:id="129"/>
    <w:bookmarkStart w:id="133" w:name="fig:s7_diagnostics"/>
    <w:p>
      <w:pPr>
        <w:pStyle w:val="CaptionedFigure"/>
      </w:pPr>
      <w:r>
        <w:drawing>
          <wp:inline>
            <wp:extent cx="5334000" cy="4432289"/>
            <wp:effectExtent b="0" l="0" r="0" t="0"/>
            <wp:docPr descr="Figure 13. S7 simulation diagnostics: Fitted frailty variance parameters (\theta_0, \theta_1), fit quality (RMSE), and convergence status across S7 scenarios. The overlap variant shows degraded fit quality, correctly signaling violation of temporal separability assumptions." title="" id="131" name="Picture"/>
            <a:graphic>
              <a:graphicData uri="http://schemas.openxmlformats.org/drawingml/2006/picture">
                <pic:pic>
                  <pic:nvPicPr>
                    <pic:cNvPr descr="figures/fig_s7_diagnostics.png" id="132" name="Picture"/>
                    <pic:cNvPicPr>
                      <a:picLocks noChangeArrowheads="1" noChangeAspect="1"/>
                    </pic:cNvPicPr>
                  </pic:nvPicPr>
                  <pic:blipFill>
                    <a:blip r:embed="rId130"/>
                    <a:stretch>
                      <a:fillRect/>
                    </a:stretch>
                  </pic:blipFill>
                  <pic:spPr bwMode="auto">
                    <a:xfrm>
                      <a:off x="0" y="0"/>
                      <a:ext cx="5334000" cy="4432289"/>
                    </a:xfrm>
                    <a:prstGeom prst="rect">
                      <a:avLst/>
                    </a:prstGeom>
                    <a:noFill/>
                    <a:ln w="9525">
                      <a:noFill/>
                      <a:headEnd/>
                      <a:tailEnd/>
                    </a:ln>
                  </pic:spPr>
                </pic:pic>
              </a:graphicData>
            </a:graphic>
          </wp:inline>
        </w:drawing>
      </w:r>
    </w:p>
    <w:p>
      <w:pPr>
        <w:pStyle w:val="ImageCaption"/>
      </w:pPr>
      <w:r>
        <w:t xml:space="preserve">Figure 13. S7 simulation diagnostics: Fitted frailty variance parameters (</w:t>
      </w:r>
      <m:oMath>
        <m:sSub>
          <m:e>
            <m:r>
              <m:t>θ</m:t>
            </m:r>
          </m:e>
          <m:sub>
            <m:r>
              <m:t>0</m:t>
            </m:r>
          </m:sub>
        </m:sSub>
      </m:oMath>
      <w:r>
        <w:t xml:space="preserve">,</w:t>
      </w:r>
      <w:r>
        <w:t xml:space="preserve"> </w:t>
      </w:r>
      <m:oMath>
        <m:sSub>
          <m:e>
            <m:r>
              <m:t>θ</m:t>
            </m:r>
          </m:e>
          <m:sub>
            <m:r>
              <m:t>1</m:t>
            </m:r>
          </m:sub>
        </m:sSub>
      </m:oMath>
      <w:r>
        <w:t xml:space="preserve">), fit quality (RMSE), and convergence status across S7 scenarios. The overlap variant shows degraded fit quality, correctly signaling violation of temporal separability assumptions.</w:t>
      </w:r>
    </w:p>
    <w:bookmarkEnd w:id="133"/>
    <w:bookmarkEnd w:id="134"/>
    <w:bookmarkStart w:id="135"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 KCOR(t) 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 KCOR(t) trajectories in later windows behave as expected under negative and positive controls.</w:t>
      </w:r>
    </w:p>
    <w:bookmarkEnd w:id="135"/>
    <w:bookmarkStart w:id="136"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 KCOR</w:t>
      </w:r>
      <m:oMath>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bookmarkEnd w:id="136"/>
    <w:bookmarkEnd w:id="137"/>
    <w:bookmarkStart w:id="142" w:name="discussion"/>
    <w:p>
      <w:pPr>
        <w:pStyle w:val="Heading2"/>
      </w:pPr>
      <w:r>
        <w:t xml:space="preserve">4. Discussion</w:t>
      </w:r>
    </w:p>
    <w:p>
      <w:pPr>
        <w:pStyle w:val="FirstParagraph"/>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38" w:name="what-kcor-estimates"/>
    <w:p>
      <w:pPr>
        <w:pStyle w:val="Heading3"/>
      </w:pPr>
      <w:r>
        <w:t xml:space="preserve">4.1 What KCOR estimates</w:t>
      </w:r>
    </w:p>
    <w:p>
      <w:pPr>
        <w:pStyle w:val="FirstParagraph"/>
      </w:pPr>
      <w:r>
        <w:t xml:space="preserve">KCOR operates at a specific but critical layer of the retrospective inference stack: it both neutralizes selection-induced depletion dynamics and defines how the resulting depletion-neutralized hazards must be compared. The method’s strength is not the frailty inversion in isolation, but the fact that inversion, diagnostics, and cumulative comparison are mathematically and operationally coupled. Once cohorts are mapped into depletion-neutralized hazard space, KCOR</w:t>
      </w:r>
      <m:oMath>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Stabilization of KCOR(t) 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Like all causal methods, KCOR relies on identifiable structure; its contribution is to make that structure explicit, testable, and diagnostically enforced rather than implicit. Accordingly, KCOR should not be interpreted as a standalone estimator of vaccine efficacy; it is a cumulative normalization-and-comparison framework whose causal interpretation depends on additional design assumptions, controls, and diagnostics. Whereas Cox regression infers treatment effects through fitted model coefficients, KCOR uses modeling only to normalize selection effects, allowing causal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A controlled synthetic null experiment (Section 2.11.1) shows that Cox regression can return statistically significant non-null hazard ratios solely from frailty-induced depletion—even when the true treatment effect is identically zero—whereas KCOR remains centered near unity with negligible post-normalization slope.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25"/>
        </w:numPr>
      </w:pPr>
      <w:r>
        <w:t xml:space="preserve">selection-induced depletion dynamics can be estimated during quiet periods using a gamma-frailty mixture model, and</w:t>
      </w:r>
    </w:p>
    <w:p>
      <w:pPr>
        <w:pStyle w:val="Compact"/>
        <w:numPr>
          <w:ilvl w:val="0"/>
          <w:numId w:val="1025"/>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Having established the behavior of KCOR and the failure modes of standard estimators under controlled conditions, we apply KCOR to complete national registry data from the Czech Republic in a companion analysis. Accordingly, this manuscript focuses on method definition, diagnostics, and operating characteristics; applied causal conclusions are deferred to separate intervention-specific analyses.</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normalized hazards, KCOR’s primary estimand remains cumulative by construction.</w:t>
      </w:r>
    </w:p>
    <w:bookmarkEnd w:id="138"/>
    <w:bookmarkStart w:id="139"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39"/>
    <w:bookmarkStart w:id="140"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26"/>
        </w:numPr>
      </w:pPr>
      <w:r>
        <w:t xml:space="preserve">Enrollment definition and justification</w:t>
      </w:r>
    </w:p>
    <w:p>
      <w:pPr>
        <w:pStyle w:val="Compact"/>
        <w:numPr>
          <w:ilvl w:val="0"/>
          <w:numId w:val="1026"/>
        </w:numPr>
      </w:pPr>
      <w:r>
        <w:t xml:space="preserve">Risk set definitions and event-time binning</w:t>
      </w:r>
    </w:p>
    <w:p>
      <w:pPr>
        <w:pStyle w:val="Compact"/>
        <w:numPr>
          <w:ilvl w:val="0"/>
          <w:numId w:val="1026"/>
        </w:numPr>
      </w:pPr>
      <w:r>
        <w:t xml:space="preserve">Quiet-window definition and justification</w:t>
      </w:r>
    </w:p>
    <w:p>
      <w:pPr>
        <w:pStyle w:val="Compact"/>
        <w:numPr>
          <w:ilvl w:val="0"/>
          <w:numId w:val="1026"/>
        </w:numPr>
      </w:pPr>
      <w:r>
        <w:t xml:space="preserve">Baseline-shape choice (default constant baseline over the fit window) and fit diagnostics</w:t>
      </w:r>
    </w:p>
    <w:p>
      <w:pPr>
        <w:pStyle w:val="Compact"/>
        <w:numPr>
          <w:ilvl w:val="0"/>
          <w:numId w:val="1026"/>
        </w:numPr>
      </w:pPr>
      <w:r>
        <w:t xml:space="preserve">Skip/stabilization rule and robustness to nearby values</w:t>
      </w:r>
    </w:p>
    <w:p>
      <w:pPr>
        <w:pStyle w:val="Compact"/>
        <w:numPr>
          <w:ilvl w:val="0"/>
          <w:numId w:val="1026"/>
        </w:numPr>
      </w:pPr>
      <w:r>
        <w:t xml:space="preserve">Predefined negative/positive controls used for validation</w:t>
      </w:r>
    </w:p>
    <w:p>
      <w:pPr>
        <w:pStyle w:val="Compact"/>
        <w:numPr>
          <w:ilvl w:val="0"/>
          <w:numId w:val="1026"/>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bookmarkEnd w:id="140"/>
    <w:bookmarkStart w:id="141" w:name="extension-to-other-outcomes"/>
    <w:p>
      <w:pPr>
        <w:pStyle w:val="Heading3"/>
      </w:pPr>
      <w:r>
        <w:t xml:space="preserve">4.4 Extension to other outcomes</w:t>
      </w:r>
    </w:p>
    <w:p>
      <w:pPr>
        <w:pStyle w:val="FirstParagraph"/>
      </w:pPr>
      <w:r>
        <w:t xml:space="preserve">Although this paper focuses on all-cause mortality, KCOR is applicable to other irreversible outcomes provided that event timing and risk sets are well defined. Application to cause-specific mortality requires careful consideration of competing risks and interpretation of cumulative hazards within cause-restricted populations. Extension to non-fatal outcomes such as hospitalization is conceptually straightforward but may require additional attention to outcome definitions, censoring mechanisms, and recurrent events. These considerations affect interpretation rather than the core KCOR framework.</w:t>
      </w:r>
    </w:p>
    <w:bookmarkEnd w:id="141"/>
    <w:bookmarkEnd w:id="142"/>
    <w:bookmarkStart w:id="146" w:name="limitations"/>
    <w:p>
      <w:pPr>
        <w:pStyle w:val="Heading2"/>
      </w:pPr>
      <w:r>
        <w:t xml:space="preserve">5. Limitations</w:t>
      </w:r>
    </w:p>
    <w:p>
      <w:pPr>
        <w:pStyle w:val="Compact"/>
        <w:numPr>
          <w:ilvl w:val="0"/>
          <w:numId w:val="1027"/>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7"/>
        </w:numPr>
      </w:pPr>
      <w:r>
        <w:rPr>
          <w:b/>
          <w:bCs/>
        </w:rPr>
        <w:t xml:space="preserve">θ estimation is data-driven</w:t>
      </w:r>
      <w:r>
        <w:t xml:space="preserve">: KCOR does not impose θ = 0 for any cohort. The frequent observation that fitted frailty variance estimates collapse toward zero for vaccinated cohorts is a data-driven result of the frailty fit and should not be interpreted as an assumption of homogeneity.</w:t>
      </w:r>
    </w:p>
    <w:p>
      <w:pPr>
        <w:pStyle w:val="Compact"/>
        <w:numPr>
          <w:ilvl w:val="0"/>
          <w:numId w:val="1027"/>
        </w:numPr>
      </w:pPr>
      <w:r>
        <w:rPr>
          <w:b/>
          <w:bCs/>
        </w:rPr>
        <w:t xml:space="preserve">Sparse events</w:t>
      </w:r>
      <w:r>
        <w:t xml:space="preserve">: When event counts are small, hazard estimation and parameter fitting can be unstable.</w:t>
      </w:r>
    </w:p>
    <w:p>
      <w:pPr>
        <w:pStyle w:val="Compact"/>
        <w:numPr>
          <w:ilvl w:val="0"/>
          <w:numId w:val="1027"/>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7"/>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7"/>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fitted frailty variance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43"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28"/>
        </w:numPr>
      </w:pPr>
      <w:r>
        <w:rPr>
          <w:b/>
          <w:bCs/>
        </w:rPr>
        <w:t xml:space="preserve">Mis-specified quiet window</w:t>
      </w:r>
      <w:r>
        <w:t xml:space="preserve">: If the quiet window overlaps major external shocks (epidemic waves, policy changes, reporting artifacts), the fitted parameters may absorb non-selection dynamics, biasing normalization.</w:t>
      </w:r>
    </w:p>
    <w:p>
      <w:pPr>
        <w:pStyle w:val="Compact"/>
        <w:numPr>
          <w:ilvl w:val="0"/>
          <w:numId w:val="1028"/>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28"/>
        </w:numPr>
      </w:pPr>
      <w:r>
        <w:rPr>
          <w:b/>
          <w:bCs/>
        </w:rPr>
        <w:t xml:space="preserve">Extremely sparse cohorts</w:t>
      </w:r>
      <w:r>
        <w:t xml:space="preserve">: When events are rare, observed cumulative hazards become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 fitted frailty variance estimates or wide uncertainty.</w:t>
      </w:r>
    </w:p>
    <w:p>
      <w:pPr>
        <w:pStyle w:val="Compact"/>
        <w:numPr>
          <w:ilvl w:val="0"/>
          <w:numId w:val="1028"/>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29"/>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29"/>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 fitted parameters under small perturbations of the quiet-window bounds.</w:t>
      </w:r>
    </w:p>
    <w:p>
      <w:pPr>
        <w:pStyle w:val="Compact"/>
        <w:numPr>
          <w:ilvl w:val="0"/>
          <w:numId w:val="1029"/>
        </w:numPr>
      </w:pPr>
      <w:r>
        <w:rPr>
          <w:b/>
          <w:bCs/>
        </w:rPr>
        <w:t xml:space="preserve">Sensitivity analyses</w:t>
      </w:r>
      <w:r>
        <w:t xml:space="preserve"> </w:t>
      </w:r>
      <w:r>
        <w:t xml:space="preserve">over plausible quiet windows and skip-weeks values.</w:t>
      </w:r>
    </w:p>
    <w:p>
      <w:pPr>
        <w:pStyle w:val="Compact"/>
        <w:numPr>
          <w:ilvl w:val="0"/>
          <w:numId w:val="1029"/>
        </w:numPr>
      </w:pPr>
      <w:r>
        <w:rPr>
          <w:b/>
          <w:bCs/>
        </w:rPr>
        <w:t xml:space="preserve">Prespecified negative controls</w:t>
      </w:r>
      <w:r>
        <w:t xml:space="preserve">: KCOR(t)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43"/>
    <w:bookmarkStart w:id="144"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KCOR(t)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KCOR(t) trajectories tend to attenuate toward unity rather than diverge, reflecting loss of identifiability rather than false detection. This behavior is illustrated in the S7 overlap variant, where treatment and selection are deliberately confounded in time: KCOR(t)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avoid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Importantly, 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44"/>
    <w:bookmarkStart w:id="145" w:name="X5f05abe0762c7ae0ab5904f62ce19850163a03c"/>
    <w:p>
      <w:pPr>
        <w:pStyle w:val="Heading3"/>
      </w:pPr>
      <w:r>
        <w:t xml:space="preserve">5.3 Data requirements and external validation</w:t>
      </w:r>
    </w:p>
    <w:p>
      <w:pPr>
        <w:pStyle w:val="FirstParagraph"/>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bookmarkEnd w:id="145"/>
    <w:bookmarkEnd w:id="146"/>
    <w:bookmarkStart w:id="147"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fail under non-proportional hazards and selection-induced depletion, KCOR provides a novel and practical alternative that operates on minimal individual-level information—dates of birth, intervention, and death—while remaining applicable to national registry data where richer covariates are unavailable or unreliable.</w:t>
      </w:r>
    </w:p>
    <w:bookmarkEnd w:id="147"/>
    <w:bookmarkStart w:id="158" w:name="declarations"/>
    <w:p>
      <w:pPr>
        <w:pStyle w:val="Heading2"/>
      </w:pPr>
      <w:r>
        <w:t xml:space="preserve">Declarations</w:t>
      </w:r>
    </w:p>
    <w:bookmarkStart w:id="148" w:name="Xd182db0490b2de20bd2b4e4cc8698599182035f"/>
    <w:p>
      <w:pPr>
        <w:pStyle w:val="Heading3"/>
      </w:pPr>
      <w:r>
        <w:t xml:space="preserve">Ethics approval and consent to participate</w:t>
      </w:r>
    </w:p>
    <w:p>
      <w:pPr>
        <w:pStyle w:val="FirstParagraph"/>
      </w:pPr>
      <w:r>
        <w:t xml:space="preserve">Not applicable. This is a methods-only manuscript. The primary validation results use synthetic data. Empirical negative-control figures (Figures 6 and 7) use aggregated cohort summaries derived from Czech Republic administrative data; no record-level data are shared in this manuscript.</w:t>
      </w:r>
      <w:r>
        <w:rPr>
          <w:vertAlign w:val="superscript"/>
        </w:rPr>
        <w:t xml:space="preserve">4</w:t>
      </w:r>
    </w:p>
    <w:bookmarkEnd w:id="148"/>
    <w:bookmarkStart w:id="149" w:name="consent-for-publication"/>
    <w:p>
      <w:pPr>
        <w:pStyle w:val="Heading3"/>
      </w:pPr>
      <w:r>
        <w:t xml:space="preserve">Consent for publication</w:t>
      </w:r>
    </w:p>
    <w:p>
      <w:pPr>
        <w:pStyle w:val="FirstParagraph"/>
      </w:pPr>
      <w:r>
        <w:t xml:space="preserve">Not applicable.</w:t>
      </w:r>
    </w:p>
    <w:bookmarkEnd w:id="149"/>
    <w:bookmarkStart w:id="150" w:name="data-availability"/>
    <w:p>
      <w:pPr>
        <w:pStyle w:val="Heading3"/>
      </w:pPr>
      <w:r>
        <w:t xml:space="preserve">Data availability</w:t>
      </w:r>
    </w:p>
    <w:p>
      <w:pPr>
        <w:pStyle w:val="Compact"/>
        <w:numPr>
          <w:ilvl w:val="0"/>
          <w:numId w:val="1030"/>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30"/>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30"/>
        </w:numPr>
      </w:pPr>
      <w:r>
        <w:t xml:space="preserve">The reference implementation includes example datasets in KCOR_CMR format for reproducibility.</w:t>
      </w:r>
    </w:p>
    <w:p>
      <w:pPr>
        <w:pStyle w:val="Compact"/>
        <w:numPr>
          <w:ilvl w:val="0"/>
          <w:numId w:val="1030"/>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50"/>
    <w:bookmarkStart w:id="153" w:name="code-availability"/>
    <w:p>
      <w:pPr>
        <w:pStyle w:val="Heading3"/>
      </w:pPr>
      <w:r>
        <w:t xml:space="preserve">Code availability</w:t>
      </w:r>
    </w:p>
    <w:p>
      <w:pPr>
        <w:pStyle w:val="Compact"/>
        <w:numPr>
          <w:ilvl w:val="0"/>
          <w:numId w:val="1031"/>
        </w:numPr>
      </w:pPr>
      <w:r>
        <w:t xml:space="preserve">The KCOR reference implementation and complete validation suite are available in the project repository.</w:t>
      </w:r>
    </w:p>
    <w:p>
      <w:pPr>
        <w:pStyle w:val="Compact"/>
        <w:numPr>
          <w:ilvl w:val="0"/>
          <w:numId w:val="1031"/>
        </w:numPr>
      </w:pPr>
      <w:r>
        <w:t xml:space="preserve">Repository URL:</w:t>
      </w:r>
      <w:r>
        <w:t xml:space="preserve"> </w:t>
      </w:r>
      <w:hyperlink r:id="rId151">
        <w:r>
          <w:rPr>
            <w:rStyle w:val="Hyperlink"/>
          </w:rPr>
          <w:t xml:space="preserve">https://github.com/skirsch/KCOR</w:t>
        </w:r>
      </w:hyperlink>
    </w:p>
    <w:p>
      <w:pPr>
        <w:pStyle w:val="Compact"/>
        <w:numPr>
          <w:ilvl w:val="0"/>
          <w:numId w:val="1031"/>
        </w:numPr>
      </w:pPr>
      <w:r>
        <w:t xml:space="preserve">Zenodo DOI:</w:t>
      </w:r>
      <w:r>
        <w:t xml:space="preserve"> </w:t>
      </w:r>
      <w:hyperlink r:id="rId152">
        <w:r>
          <w:rPr>
            <w:rStyle w:val="Hyperlink"/>
          </w:rPr>
          <w:t xml:space="preserve">10.5281/zenodo.18050329</w:t>
        </w:r>
      </w:hyperlink>
    </w:p>
    <w:bookmarkEnd w:id="153"/>
    <w:bookmarkStart w:id="154" w:name="competing-interests"/>
    <w:p>
      <w:pPr>
        <w:pStyle w:val="Heading3"/>
      </w:pPr>
      <w:r>
        <w:t xml:space="preserve">Competing interests</w:t>
      </w:r>
    </w:p>
    <w:p>
      <w:pPr>
        <w:pStyle w:val="FirstParagraph"/>
      </w:pPr>
      <w:r>
        <w:t xml:space="preserve">The author is a board member of the Vaccine Safety Research Foundation.</w:t>
      </w:r>
    </w:p>
    <w:bookmarkEnd w:id="154"/>
    <w:bookmarkStart w:id="155" w:name="funding"/>
    <w:p>
      <w:pPr>
        <w:pStyle w:val="Heading3"/>
      </w:pPr>
      <w:r>
        <w:t xml:space="preserve">Funding</w:t>
      </w:r>
    </w:p>
    <w:p>
      <w:pPr>
        <w:pStyle w:val="FirstParagraph"/>
      </w:pPr>
      <w:r>
        <w:t xml:space="preserve">This research received no external funding.</w:t>
      </w:r>
    </w:p>
    <w:bookmarkEnd w:id="155"/>
    <w:bookmarkStart w:id="156"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56"/>
    <w:bookmarkStart w:id="157" w:name="acknowledgements"/>
    <w:p>
      <w:pPr>
        <w:pStyle w:val="Heading3"/>
      </w:pPr>
      <w:r>
        <w:t xml:space="preserve">Acknowledgements</w:t>
      </w:r>
    </w:p>
    <w:p>
      <w:pPr>
        <w:pStyle w:val="FirstParagraph"/>
      </w:pPr>
      <w:r>
        <w:t xml:space="preserve">The author thanks HART group chair Dr. Clare Craig for helpful discussions and methodological feedback during the development of this work. All errors remain the author’s responsibility.</w:t>
      </w:r>
    </w:p>
    <w:bookmarkEnd w:id="157"/>
    <w:bookmarkEnd w:id="158"/>
    <w:bookmarkStart w:id="167" w:name="references"/>
    <w:p>
      <w:pPr>
        <w:pStyle w:val="Heading2"/>
      </w:pPr>
      <w:r>
        <w:t xml:space="preserve">References</w:t>
      </w:r>
    </w:p>
    <w:bookmarkStart w:id="166" w:name="refs"/>
    <w:bookmarkStart w:id="160"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59">
        <w:r>
          <w:rPr>
            <w:rStyle w:val="Hyperlink"/>
          </w:rPr>
          <w:t xml:space="preserve">10.2307/2061224</w:t>
        </w:r>
      </w:hyperlink>
    </w:p>
    <w:bookmarkEnd w:id="160"/>
    <w:bookmarkStart w:id="162"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61">
        <w:r>
          <w:rPr>
            <w:rStyle w:val="Hyperlink"/>
          </w:rPr>
          <w:t xml:space="preserve">10.2147/CLEP.S468572</w:t>
        </w:r>
      </w:hyperlink>
    </w:p>
    <w:bookmarkEnd w:id="162"/>
    <w:bookmarkStart w:id="164"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63">
        <w:r>
          <w:rPr>
            <w:rStyle w:val="Hyperlink"/>
          </w:rPr>
          <w:t xml:space="preserve">10.7554/eLife.103690</w:t>
        </w:r>
      </w:hyperlink>
    </w:p>
    <w:bookmarkEnd w:id="164"/>
    <w:bookmarkStart w:id="165" w:name="ref-sanca2024"/>
    <w:p>
      <w:pPr>
        <w:pStyle w:val="Bibliography"/>
      </w:pPr>
      <w:r>
        <w:t xml:space="preserve">4.</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65"/>
    <w:bookmarkEnd w:id="166"/>
    <w:bookmarkEnd w:id="167"/>
    <w:bookmarkStart w:id="201"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73" w:name="appendix-a.-mathematical-derivations"/>
    <w:p>
      <w:pPr>
        <w:pStyle w:val="Heading3"/>
      </w:pPr>
      <w:r>
        <w:t xml:space="preserve">Appendix A. Mathematical derivations</w:t>
      </w:r>
    </w:p>
    <w:bookmarkStart w:id="168" w:name="X949c457b8ec3518d2fcc001fd53881dea62bb28"/>
    <w:p>
      <w:pPr>
        <w:pStyle w:val="Heading4"/>
      </w:pPr>
      <w:r>
        <w:t xml:space="preserve">A.1 Frailty mixing induces hazard curvature</w:t>
      </w:r>
    </w:p>
    <w:p>
      <w:pPr>
        <w:pStyle w:val="FirstParagraph"/>
      </w:pPr>
      <w:r>
        <w:t xml:space="preserve">Consider a cohort</w:t>
      </w:r>
      <w:r>
        <w:t xml:space="preserve"> </w:t>
      </w:r>
      <m:oMath>
        <m:r>
          <m:t>d</m:t>
        </m:r>
      </m:oMath>
      <w:r>
        <w:t xml:space="preserve"> </w:t>
      </w:r>
      <w:r>
        <w:t xml:space="preserve">where individual</w:t>
      </w:r>
      <w:r>
        <w:t xml:space="preserve"> </w:t>
      </w:r>
      <m:oMath>
        <m:r>
          <m:t>i</m:t>
        </m:r>
      </m:oMath>
      <w:r>
        <w:t xml:space="preserve"> </w:t>
      </w:r>
      <w:r>
        <w:t xml:space="preserve">has hazard</w:t>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rPr>
            <m:sty m:val="p"/>
          </m:rPr>
          <m:t>⋅</m:t>
        </m:r>
        <m:sSub>
          <m:e>
            <m:r>
              <m:t>h</m:t>
            </m:r>
          </m:e>
          <m:sub>
            <m:r>
              <m:t>0</m:t>
            </m:r>
            <m:r>
              <m:rPr>
                <m:sty m:val="p"/>
              </m:rPr>
              <m:t>,</m:t>
            </m:r>
            <m:r>
              <m:t>d</m:t>
            </m:r>
          </m:sub>
        </m:sSub>
        <m:r>
          <m:rPr>
            <m:sty m:val="p"/>
          </m:rPr>
          <m:t>(</m:t>
        </m:r>
        <m:r>
          <m:t>t</m:t>
        </m:r>
        <m:r>
          <m:rPr>
            <m:sty m:val="p"/>
          </m:rPr>
          <m:t>)</m:t>
        </m:r>
      </m:oMath>
      <w:r>
        <w:t xml:space="preserve">, with frailty</w:t>
      </w:r>
      <w:r>
        <w:t xml:space="preserve"> </w:t>
      </w:r>
      <m:oMath>
        <m:sSub>
          <m:e>
            <m:r>
              <m:t>z</m:t>
            </m:r>
          </m:e>
          <m:sub>
            <m:r>
              <m:t>i</m:t>
            </m:r>
            <m:r>
              <m:rPr>
                <m:sty m:val="p"/>
              </m:rPr>
              <m:t>,</m:t>
            </m:r>
            <m:r>
              <m:t>d</m:t>
            </m:r>
          </m:sub>
        </m:sSub>
      </m:oMath>
      <w:r>
        <w:t xml:space="preserve"> </w:t>
      </w:r>
      <w:r>
        <w:t xml:space="preserve">drawn from a distribution with mean 1 and variance</w:t>
      </w:r>
      <w:r>
        <w:t xml:space="preserve"> </w:t>
      </w:r>
      <m:oMath>
        <m:sSub>
          <m:e>
            <m:r>
              <m:t>θ</m:t>
            </m:r>
          </m:e>
          <m:sub>
            <m:r>
              <m:t>d</m:t>
            </m:r>
          </m:sub>
        </m:sSub>
        <m:r>
          <m:rPr>
            <m:sty m:val="p"/>
          </m:rPr>
          <m:t>&gt;</m:t>
        </m:r>
        <m:r>
          <m:t>0</m:t>
        </m:r>
      </m:oMath>
      <w:r>
        <w:t xml:space="preserve">. Let</w:t>
      </w:r>
      <w:r>
        <w:t xml:space="preserve"> </w:t>
      </w:r>
      <m:oMath>
        <m:sSub>
          <m:e>
            <m:r>
              <m:t>S</m:t>
            </m:r>
          </m:e>
          <m:sub>
            <m:r>
              <m:t>i</m:t>
            </m:r>
            <m:r>
              <m:rPr>
                <m:sty m:val="p"/>
              </m:rPr>
              <m:t>,</m:t>
            </m:r>
            <m:r>
              <m:t>d</m:t>
            </m:r>
          </m:sub>
        </m:sSub>
        <m:r>
          <m:rPr>
            <m:sty m:val="p"/>
          </m:rPr>
          <m:t>(</m:t>
        </m:r>
        <m:r>
          <m:t>t</m:t>
        </m:r>
        <m:r>
          <m:rPr>
            <m:sty m:val="p"/>
          </m:rPr>
          <m:t>)</m:t>
        </m:r>
        <m:r>
          <m:rPr>
            <m:sty m:val="p"/>
          </m:rPr>
          <m:t>=</m:t>
        </m:r>
        <m:r>
          <m:rPr>
            <m:sty m:val="p"/>
          </m:rPr>
          <m:t>exp</m:t>
        </m:r>
        <m:r>
          <m:t>​</m:t>
        </m:r>
        <m:d>
          <m:dPr>
            <m:begChr m:val="("/>
            <m:sepChr m:val=""/>
            <m:endChr m:val=")"/>
            <m:grow/>
          </m:dPr>
          <m:e>
            <m:r>
              <m:rPr>
                <m:sty m:val="p"/>
              </m:rPr>
              <m:t>−</m:t>
            </m:r>
            <m:sSub>
              <m:e>
                <m:r>
                  <m:t>z</m:t>
                </m:r>
              </m:e>
              <m:sub>
                <m:r>
                  <m:t>i</m:t>
                </m:r>
                <m:r>
                  <m:rPr>
                    <m:sty m:val="p"/>
                  </m:rPr>
                  <m:t>,</m:t>
                </m:r>
                <m:r>
                  <m:t>d</m:t>
                </m:r>
              </m:sub>
            </m:sSub>
            <m:sSub>
              <m:e>
                <m:r>
                  <m:t>H</m:t>
                </m:r>
              </m:e>
              <m:sub>
                <m:r>
                  <m:t>0</m:t>
                </m:r>
                <m:r>
                  <m:rPr>
                    <m:sty m:val="p"/>
                  </m:rPr>
                  <m:t>,</m:t>
                </m:r>
                <m:r>
                  <m:t>d</m:t>
                </m:r>
              </m:sub>
            </m:sSub>
            <m:r>
              <m:rPr>
                <m:sty m:val="p"/>
              </m:rPr>
              <m:t>(</m:t>
            </m:r>
            <m:r>
              <m:t>t</m:t>
            </m:r>
            <m:r>
              <m:rPr>
                <m:sty m:val="p"/>
              </m:rPr>
              <m:t>)</m:t>
            </m:r>
          </m:e>
        </m:d>
      </m:oMath>
      <w:r>
        <w:t xml:space="preserve"> </w:t>
      </w:r>
      <w:r>
        <w:t xml:space="preserve">be the individual survival function, where</w:t>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b>
            <m:e>
              <m:r>
                <m:t>E</m:t>
              </m:r>
            </m:e>
            <m:sub>
              <m:r>
                <m:t>z</m:t>
              </m:r>
            </m:sub>
          </m:sSub>
          <m:r>
            <m:rPr>
              <m:sty m:val="p"/>
            </m:rPr>
            <m:t>[</m:t>
          </m:r>
          <m:sSub>
            <m:e>
              <m:r>
                <m:t>S</m:t>
              </m:r>
            </m:e>
            <m:sub>
              <m:r>
                <m:t>i</m:t>
              </m:r>
              <m:r>
                <m:rPr>
                  <m:sty m:val="p"/>
                </m:rPr>
                <m:t>,</m:t>
              </m:r>
              <m:r>
                <m:t>d</m:t>
              </m:r>
            </m:sub>
          </m:sSub>
          <m:r>
            <m:rPr>
              <m:sty m:val="p"/>
            </m:rPr>
            <m:t>(</m:t>
          </m:r>
          <m:r>
            <m:t>t</m:t>
          </m:r>
          <m:r>
            <m:rPr>
              <m:sty m:val="p"/>
            </m:rPr>
            <m:t>)</m:t>
          </m:r>
          <m:r>
            <m:rPr>
              <m:sty m:val="p"/>
            </m:rPr>
            <m:t>]</m:t>
          </m:r>
          <m:r>
            <m:rPr>
              <m:sty m:val="p"/>
            </m:rPr>
            <m:t>=</m:t>
          </m:r>
          <m:sSub>
            <m:e>
              <m:r>
                <m:t>E</m:t>
              </m:r>
            </m:e>
            <m:sub>
              <m:r>
                <m:t>z</m:t>
              </m:r>
            </m:sub>
          </m:sSub>
          <m:r>
            <m:t>​</m:t>
          </m:r>
          <m:d>
            <m:dPr>
              <m:begChr m:val="["/>
              <m:sepChr m:val=""/>
              <m:endChr m:val="]"/>
              <m:grow/>
            </m:dPr>
            <m:e>
              <m:r>
                <m:rPr>
                  <m:sty m:val="p"/>
                </m:rPr>
                <m:t>exp</m:t>
              </m:r>
              <m:r>
                <m:t>​</m:t>
              </m:r>
              <m:d>
                <m:dPr>
                  <m:begChr m:val="("/>
                  <m:sepChr m:val=""/>
                  <m:endChr m:val=")"/>
                  <m:grow/>
                </m:dPr>
                <m:e>
                  <m:r>
                    <m:rPr>
                      <m:sty m:val="p"/>
                    </m:rPr>
                    <m:t>−</m:t>
                  </m:r>
                  <m:r>
                    <m:t>z</m:t>
                  </m:r>
                  <m:sSub>
                    <m:e>
                      <m:r>
                        <m:t>H</m:t>
                      </m:r>
                    </m:e>
                    <m:sub>
                      <m:r>
                        <m:t>0</m:t>
                      </m:r>
                      <m:r>
                        <m:rPr>
                          <m:sty m:val="p"/>
                        </m:rPr>
                        <m:t>,</m:t>
                      </m:r>
                      <m:r>
                        <m:t>d</m:t>
                      </m:r>
                    </m:sub>
                  </m:sSub>
                  <m:r>
                    <m:rPr>
                      <m:sty m:val="p"/>
                    </m:rPr>
                    <m:t>(</m:t>
                  </m:r>
                  <m:r>
                    <m:t>t</m:t>
                  </m:r>
                  <m:r>
                    <m:rPr>
                      <m:sty m:val="p"/>
                    </m:rPr>
                    <m:t>)</m:t>
                  </m:r>
                </m:e>
              </m:d>
            </m:e>
          </m:d>
          <m:r>
            <m:rPr>
              <m:sty m:val="p"/>
            </m:rPr>
            <m:t>=</m:t>
          </m:r>
          <m:sSub>
            <m:e>
              <m:r>
                <m:rPr>
                  <m:scr m:val="script"/>
                  <m:sty m:val="p"/>
                </m:rPr>
                <m:t>L</m:t>
              </m:r>
            </m:e>
            <m:sub>
              <m:r>
                <m:t>z</m:t>
              </m:r>
            </m:sub>
          </m:sSub>
          <m:r>
            <m:t>​</m:t>
          </m:r>
          <m:d>
            <m:dPr>
              <m:begChr m:val="("/>
              <m:sepChr m:val=""/>
              <m:endChr m:val=")"/>
              <m:grow/>
            </m:dPr>
            <m:e>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bSup>
            <m:e>
              <m:r>
                <m:t>h</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r>
            <m:rPr>
              <m:sty m:val="p"/>
            </m:rPr>
            <m:t>−</m:t>
          </m:r>
          <m:f>
            <m:fPr>
              <m:type m:val="bar"/>
            </m:fPr>
            <m:num>
              <m:r>
                <m:t>d</m:t>
              </m:r>
            </m:num>
            <m:den>
              <m:r>
                <m:t>d</m:t>
              </m:r>
              <m:r>
                <m:t>t</m:t>
              </m:r>
            </m:den>
          </m:f>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oMath>
      <w:r>
        <w:t xml:space="preserve"> </w:t>
      </w:r>
      <w:r>
        <w:t xml:space="preserve">is constant (so</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t>t</m:t>
        </m:r>
      </m:oMath>
      <w:r>
        <w:t xml:space="preserve">), the cohort hazard</w:t>
      </w:r>
      <w:r>
        <w:t xml:space="preserve"> </w:t>
      </w:r>
      <m:oMath>
        <m:sSubSup>
          <m:e>
            <m:r>
              <m:t>h</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68"/>
    <w:bookmarkStart w:id="169"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sSub>
          <m:e>
            <m:r>
              <m:t>θ</m:t>
            </m:r>
          </m:e>
          <m:sub>
            <m:r>
              <m:t>d</m:t>
            </m:r>
          </m:sub>
        </m:sSub>
        <m:r>
          <m:rPr>
            <m:sty m:val="p"/>
          </m:rPr>
          <m:t>,</m:t>
        </m:r>
        <m:r>
          <m:t>β</m:t>
        </m:r>
        <m:r>
          <m:rPr>
            <m:sty m:val="p"/>
          </m:rPr>
          <m:t>=</m:t>
        </m:r>
        <m:r>
          <m:t>1</m:t>
        </m:r>
        <m:r>
          <m:rPr>
            <m:sty m:val="p"/>
          </m:rPr>
          <m:t>/</m:t>
        </m:r>
        <m:sSub>
          <m:e>
            <m:r>
              <m:t>θ</m:t>
            </m:r>
          </m:e>
          <m:sub>
            <m:r>
              <m:t>d</m:t>
            </m:r>
          </m:sub>
        </m:sSub>
        <m:r>
          <m:rPr>
            <m:sty m:val="p"/>
          </m:rPr>
          <m:t>)</m:t>
        </m:r>
      </m:oMath>
      <w:r>
        <w:t xml:space="preserve"> </w:t>
      </w:r>
      <w:r>
        <w:t xml:space="preserve">with mean 1 and variance</w:t>
      </w:r>
      <w:r>
        <w:t xml:space="preserve"> </w:t>
      </w:r>
      <m:oMath>
        <m:sSub>
          <m:e>
            <m:r>
              <m:t>θ</m:t>
            </m:r>
          </m:e>
          <m:sub>
            <m:r>
              <m:t>d</m:t>
            </m:r>
          </m:sub>
        </m:sSub>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sSub>
                    <m:e>
                      <m:r>
                        <m:t>θ</m:t>
                      </m:r>
                    </m:e>
                    <m:sub>
                      <m:r>
                        <m:t>d</m:t>
                      </m:r>
                    </m:sub>
                  </m:sSub>
                  <m:r>
                    <m:t>s</m:t>
                  </m:r>
                </m:e>
              </m:d>
            </m:e>
            <m:sup>
              <m:r>
                <m:rPr>
                  <m:sty m:val="p"/>
                </m:rPr>
                <m:t>−</m:t>
              </m:r>
              <m:r>
                <m:t>1</m:t>
              </m:r>
              <m:r>
                <m:rPr>
                  <m:sty m:val="p"/>
                </m:rPr>
                <m:t>/</m:t>
              </m:r>
              <m:sSub>
                <m:e>
                  <m:r>
                    <m:t>θ</m:t>
                  </m:r>
                </m:e>
                <m:sub>
                  <m:r>
                    <m:t>d</m:t>
                  </m:r>
                </m:sub>
              </m:sSub>
            </m:sup>
          </m:sSup>
          <m:r>
            <m:rPr>
              <m:sty m:val="p"/>
            </m:rPr>
            <m:t>.</m:t>
          </m:r>
        </m:oMath>
      </m:oMathPara>
    </w:p>
    <w:p>
      <w:pPr>
        <w:pStyle w:val="FirstParagraph"/>
      </w:pPr>
      <w:r>
        <w:t xml:space="preserve">The cohort survival function becomes:</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p>
            <m:e>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e>
            <m:sup>
              <m:r>
                <m:rPr>
                  <m:sty m:val="p"/>
                </m:rPr>
                <m:t>−</m:t>
              </m:r>
              <m:r>
                <m:t>1</m:t>
              </m:r>
              <m:r>
                <m:rPr>
                  <m:sty m:val="p"/>
                </m:rPr>
                <m:t>/</m:t>
              </m:r>
              <m:sSub>
                <m:e>
                  <m:r>
                    <m:t>θ</m:t>
                  </m:r>
                </m:e>
                <m:sub>
                  <m:r>
                    <m:t>d</m:t>
                  </m:r>
                </m:sub>
              </m:sSub>
            </m:sup>
          </m:sSup>
          <m:r>
            <m:rPr>
              <m:sty m:val="p"/>
            </m:rPr>
            <m:t>.</m:t>
          </m:r>
        </m:oMath>
      </m:oMathPara>
    </w:p>
    <w:p>
      <w:pPr>
        <w:pStyle w:val="FirstParagraph"/>
      </w:pPr>
      <w:r>
        <w:t xml:space="preserve">The observed cumulative hazard is defined as: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oMath>
      </m:oMathPara>
    </w:p>
    <w:p>
      <w:pPr>
        <w:pStyle w:val="FirstParagraph"/>
      </w:pPr>
      <w:r>
        <w:t xml:space="preserve">Substituting the gamma Laplace transform yields the canonical gamma-frailty identity:</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This is the gamma-frailty identity (see Equation (5) in the main text).</w:t>
      </w:r>
    </w:p>
    <w:bookmarkEnd w:id="169"/>
    <w:bookmarkStart w:id="170" w:name="a.3-inversion-formula"/>
    <w:p>
      <w:pPr>
        <w:pStyle w:val="Heading4"/>
      </w:pPr>
      <w:r>
        <w:t xml:space="preserve">A.3 Inversion formula</w:t>
      </w:r>
    </w:p>
    <w:p>
      <w:pPr>
        <w:pStyle w:val="FirstParagraph"/>
      </w:pPr>
      <w:r>
        <w:t xml:space="preserve">Solving for</w:t>
      </w:r>
      <w:r>
        <w:t xml:space="preserve"> </w:t>
      </w:r>
      <m:oMath>
        <m:sSub>
          <m:e>
            <m:r>
              <m:t>H</m:t>
            </m:r>
          </m:e>
          <m:sub>
            <m:r>
              <m:t>0</m:t>
            </m:r>
            <m:r>
              <m:rPr>
                <m:sty m:val="p"/>
              </m:rPr>
              <m:t>,</m:t>
            </m:r>
            <m:r>
              <m:t>d</m:t>
            </m:r>
          </m:sub>
        </m:sSub>
        <m:r>
          <m:rPr>
            <m:sty m:val="p"/>
          </m:rPr>
          <m:t>(</m:t>
        </m:r>
        <m:r>
          <m:t>t</m:t>
        </m:r>
        <m:r>
          <m:rPr>
            <m:sty m:val="p"/>
          </m:rPr>
          <m:t>)</m:t>
        </m:r>
      </m:oMath>
      <w:r>
        <w:t xml:space="preserve"> </w:t>
      </w:r>
      <w:r>
        <w:t xml:space="preserve">from the gamma-frailty identity gives the canonical inversion:</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sSub>
          <m:e>
            <m:r>
              <m:t>θ</m:t>
            </m:r>
          </m:e>
          <m:sub>
            <m:r>
              <m:t>d</m:t>
            </m:r>
          </m:sub>
        </m:sSub>
      </m:oMath>
      <w:r>
        <w:t xml:space="preserve">.</w:t>
      </w:r>
    </w:p>
    <w:bookmarkEnd w:id="170"/>
    <w:bookmarkStart w:id="171"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sSub>
          <m:e>
            <m:r>
              <m:t>θ</m:t>
            </m:r>
          </m:e>
          <m:sub>
            <m:r>
              <m:t>d</m:t>
            </m:r>
          </m:sub>
        </m:sSub>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71"/>
    <w:bookmarkStart w:id="172"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oMath>
      <w:r>
        <w:t xml:space="preserve"> </w:t>
      </w:r>
      <w:r>
        <w:t xml:space="preserve">can be approximated via the delta method. Define:</w:t>
      </w:r>
    </w:p>
    <w:p>
      <w:pPr>
        <w:pStyle w:val="BodyText"/>
      </w:pPr>
      <m:oMathPara>
        <m:oMathParaPr>
          <m:jc m:val="center"/>
        </m:oMathParaP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FirstParagraph"/>
      </w:pPr>
      <w:r>
        <w:t xml:space="preserve">If the variance of the depletion-neutralized cumulative hazard 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t>​</m:t>
          </m:r>
          <m:d>
            <m:dPr>
              <m:begChr m:val="("/>
              <m:sepChr m:val=""/>
              <m:endChr m:val=")"/>
              <m:grow/>
            </m:dPr>
            <m:e>
              <m:r>
                <m:t>K</m:t>
              </m:r>
              <m:r>
                <m:t>C</m:t>
              </m:r>
              <m:r>
                <m:t>O</m:t>
              </m:r>
              <m:r>
                <m:t>R</m:t>
              </m:r>
              <m:r>
                <m:rPr>
                  <m:sty m:val="p"/>
                </m:rPr>
                <m:t>(</m:t>
              </m:r>
              <m:r>
                <m:t>t</m:t>
              </m:r>
              <m:r>
                <m:rPr>
                  <m:sty m:val="p"/>
                </m:rPr>
                <m:t>)</m:t>
              </m:r>
            </m:e>
          </m:d>
          <m:r>
            <m:rPr>
              <m:sty m:val="p"/>
            </m:rPr>
            <m:t>≈</m:t>
          </m:r>
          <m:r>
            <m:t>K</m:t>
          </m:r>
          <m:r>
            <m:t>C</m:t>
          </m:r>
          <m:r>
            <m:t>O</m:t>
          </m:r>
          <m:r>
            <m:t>R</m:t>
          </m:r>
          <m:r>
            <m:rPr>
              <m:sty m:val="p"/>
            </m:rPr>
            <m:t>(</m:t>
          </m:r>
          <m:r>
            <m:t>t</m:t>
          </m:r>
          <m:sSup>
            <m:e>
              <m:r>
                <m:rPr>
                  <m:sty m:val="p"/>
                </m:rPr>
                <m:t>)</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sSup>
                    <m:e>
                      <m:r>
                        <m:rPr>
                          <m:sty m:val="p"/>
                        </m:rPr>
                        <m:t>)</m:t>
                      </m:r>
                    </m:e>
                    <m:sup>
                      <m:r>
                        <m:t>2</m:t>
                      </m:r>
                    </m:sup>
                  </m:s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B</m:t>
                      </m:r>
                    </m:sub>
                  </m:sSub>
                  <m:r>
                    <m:rPr>
                      <m:sty m:val="p"/>
                    </m:rPr>
                    <m:t>(</m:t>
                  </m:r>
                  <m:r>
                    <m:t>t</m:t>
                  </m:r>
                  <m:sSup>
                    <m:e>
                      <m:r>
                        <m:rPr>
                          <m:sty m:val="p"/>
                        </m:rPr>
                        <m:t>)</m:t>
                      </m:r>
                    </m:e>
                    <m:sup>
                      <m:r>
                        <m:t>2</m:t>
                      </m:r>
                    </m:sup>
                  </m:s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r>
                    <m:rPr>
                      <m:sty m:val="p"/>
                    </m:rPr>
                    <m:t>)</m:t>
                  </m:r>
                  <m:sSub>
                    <m:e>
                      <m:acc>
                        <m:accPr>
                          <m:chr m:val="̃"/>
                        </m:accPr>
                        <m:e>
                          <m:r>
                            <m:t>H</m:t>
                          </m:r>
                        </m:e>
                      </m:acc>
                    </m:e>
                    <m:sub>
                      <m:r>
                        <m:t>0</m:t>
                      </m:r>
                      <m:r>
                        <m:rPr>
                          <m:sty m:val="p"/>
                        </m:rPr>
                        <m:t>,</m:t>
                      </m:r>
                      <m:r>
                        <m:t>B</m:t>
                      </m:r>
                    </m:sub>
                  </m:sSub>
                  <m:r>
                    <m:rPr>
                      <m:sty m:val="p"/>
                    </m:rPr>
                    <m:t>(</m:t>
                  </m:r>
                  <m:r>
                    <m:t>t</m:t>
                  </m:r>
                  <m:r>
                    <m:rPr>
                      <m:sty m:val="p"/>
                    </m:rPr>
                    <m:t>)</m:t>
                  </m:r>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72"/>
    <w:bookmarkEnd w:id="173"/>
    <w:bookmarkStart w:id="186" w:name="appendix-b.-control-test-specifications"/>
    <w:p>
      <w:pPr>
        <w:pStyle w:val="Heading3"/>
      </w:pPr>
      <w:r>
        <w:t xml:space="preserve">Appendix B. Control-test specifications</w:t>
      </w:r>
    </w:p>
    <w:bookmarkStart w:id="174" w:name="X2180becb792c7366d1a2d9abe674c7e8eb8a3b6"/>
    <w:p>
      <w:pPr>
        <w:pStyle w:val="Heading4"/>
      </w:pPr>
      <w:r>
        <w:t xml:space="preserve">B.1 Negative control: synthetic gamma-frailty null</w:t>
      </w:r>
    </w:p>
    <w:p>
      <w:pPr>
        <w:pStyle w:val="FirstParagraph"/>
      </w:pPr>
      <w:r>
        <w:t xml:space="preserve">The synthetic negative control (Figure 5) is generated using:</w:t>
      </w:r>
    </w:p>
    <w:p>
      <w:pPr>
        <w:pStyle w:val="Compact"/>
        <w:numPr>
          <w:ilvl w:val="0"/>
          <w:numId w:val="1032"/>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32"/>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32"/>
        </w:numPr>
      </w:pPr>
      <w:r>
        <w:rPr>
          <w:b/>
          <w:bCs/>
        </w:rPr>
        <w:t xml:space="preserve">Cohort A weights</w:t>
      </w:r>
      <w:r>
        <w:t xml:space="preserve">: Equal weights across 5 frailty groups (0.2 each)</w:t>
      </w:r>
    </w:p>
    <w:p>
      <w:pPr>
        <w:pStyle w:val="Compact"/>
        <w:numPr>
          <w:ilvl w:val="0"/>
          <w:numId w:val="1032"/>
        </w:numPr>
      </w:pPr>
      <w:r>
        <w:rPr>
          <w:b/>
          <w:bCs/>
        </w:rPr>
        <w:t xml:space="preserve">Cohort B weights</w:t>
      </w:r>
      <w:r>
        <w:t xml:space="preserve">: Shifted weights [0.30, 0.20, 0.20, 0.20, 0.10]</w:t>
      </w:r>
    </w:p>
    <w:p>
      <w:pPr>
        <w:pStyle w:val="Compact"/>
        <w:numPr>
          <w:ilvl w:val="0"/>
          <w:numId w:val="1032"/>
        </w:numPr>
      </w:pPr>
      <w:r>
        <w:rPr>
          <w:b/>
          <w:bCs/>
        </w:rPr>
        <w:t xml:space="preserve">Frailty values</w:t>
      </w:r>
      <w:r>
        <w:t xml:space="preserve">: [1, 2, 4, 6, 10] (relative frailty multipliers)</w:t>
      </w:r>
    </w:p>
    <w:p>
      <w:pPr>
        <w:pStyle w:val="Compact"/>
        <w:numPr>
          <w:ilvl w:val="0"/>
          <w:numId w:val="1032"/>
        </w:numPr>
      </w:pPr>
      <w:r>
        <w:rPr>
          <w:b/>
          <w:bCs/>
        </w:rPr>
        <w:t xml:space="preserve">Base weekly probability</w:t>
      </w:r>
      <w:r>
        <w:t xml:space="preserve">: 0.01</w:t>
      </w:r>
    </w:p>
    <w:p>
      <w:pPr>
        <w:pStyle w:val="Compact"/>
        <w:numPr>
          <w:ilvl w:val="0"/>
          <w:numId w:val="1032"/>
        </w:numPr>
      </w:pPr>
      <w:r>
        <w:rPr>
          <w:b/>
          <w:bCs/>
        </w:rPr>
        <w:t xml:space="preserve">Weekly log-slope</w:t>
      </w:r>
      <w:r>
        <w:t xml:space="preserve">: 0.0 (constant baseline during quiet periods)</w:t>
      </w:r>
    </w:p>
    <w:p>
      <w:pPr>
        <w:pStyle w:val="Compact"/>
        <w:numPr>
          <w:ilvl w:val="0"/>
          <w:numId w:val="1032"/>
        </w:numPr>
      </w:pPr>
      <w:r>
        <w:rPr>
          <w:b/>
          <w:bCs/>
        </w:rPr>
        <w:t xml:space="preserve">Skip weeks</w:t>
      </w:r>
      <w:r>
        <w:t xml:space="preserve">: 2</w:t>
      </w:r>
    </w:p>
    <w:p>
      <w:pPr>
        <w:pStyle w:val="Compact"/>
        <w:numPr>
          <w:ilvl w:val="0"/>
          <w:numId w:val="1032"/>
        </w:numPr>
      </w:pPr>
      <w:r>
        <w:rPr>
          <w:b/>
          <w:bCs/>
        </w:rPr>
        <w:t xml:space="preserve">Normalization weeks</w:t>
      </w:r>
      <w:r>
        <w:t xml:space="preserve">: 4</w:t>
      </w:r>
    </w:p>
    <w:p>
      <w:pPr>
        <w:pStyle w:val="Compact"/>
        <w:numPr>
          <w:ilvl w:val="0"/>
          <w:numId w:val="1032"/>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74"/>
    <w:bookmarkStart w:id="175" w:name="X6ca5a97e85e9ee460a15280db933ceb5c1ed112"/>
    <w:p>
      <w:pPr>
        <w:pStyle w:val="Heading4"/>
      </w:pPr>
      <w:r>
        <w:t xml:space="preserve">B.2 Negative control: empirical age-shift construction</w:t>
      </w:r>
    </w:p>
    <w:p>
      <w:pPr>
        <w:pStyle w:val="FirstParagraph"/>
      </w:pPr>
      <w:r>
        <w:t xml:space="preserve">The empirical negative control (Figures 6 and 7) is generated using:</w:t>
      </w:r>
    </w:p>
    <w:p>
      <w:pPr>
        <w:pStyle w:val="Compact"/>
        <w:numPr>
          <w:ilvl w:val="0"/>
          <w:numId w:val="1033"/>
        </w:numPr>
      </w:pPr>
      <w:r>
        <w:rPr>
          <w:b/>
          <w:bCs/>
        </w:rPr>
        <w:t xml:space="preserve">Data source</w:t>
      </w:r>
      <w:r>
        <w:t xml:space="preserve">: Czech Republic administrative mortality and vaccination data, aggregated into KCOR_CMR format</w:t>
      </w:r>
    </w:p>
    <w:p>
      <w:pPr>
        <w:pStyle w:val="Compact"/>
        <w:numPr>
          <w:ilvl w:val="0"/>
          <w:numId w:val="1033"/>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33"/>
        </w:numPr>
      </w:pPr>
      <w:r>
        <w:rPr>
          <w:b/>
          <w:bCs/>
        </w:rPr>
        <w:t xml:space="preserve">Construction</w:t>
      </w:r>
      <w:r>
        <w:t xml:space="preserve">: Age strata remapped to pseudo-doses within same vaccination category</w:t>
      </w:r>
    </w:p>
    <w:p>
      <w:pPr>
        <w:pStyle w:val="Compact"/>
        <w:numPr>
          <w:ilvl w:val="0"/>
          <w:numId w:val="1033"/>
        </w:numPr>
      </w:pPr>
      <w:r>
        <w:rPr>
          <w:b/>
          <w:bCs/>
        </w:rPr>
        <w:t xml:space="preserve">Age mapping</w:t>
      </w:r>
      <w:r>
        <w:t xml:space="preserve">:</w:t>
      </w:r>
    </w:p>
    <w:p>
      <w:pPr>
        <w:pStyle w:val="Compact"/>
        <w:numPr>
          <w:ilvl w:val="1"/>
          <w:numId w:val="1034"/>
        </w:numPr>
      </w:pPr>
      <w:r>
        <w:t xml:space="preserve">Dose 0 → YoB {1930, 1935}</w:t>
      </w:r>
    </w:p>
    <w:p>
      <w:pPr>
        <w:pStyle w:val="Compact"/>
        <w:numPr>
          <w:ilvl w:val="1"/>
          <w:numId w:val="1034"/>
        </w:numPr>
      </w:pPr>
      <w:r>
        <w:t xml:space="preserve">Dose 1 → YoB {1940, 1945}</w:t>
      </w:r>
    </w:p>
    <w:p>
      <w:pPr>
        <w:pStyle w:val="Compact"/>
        <w:numPr>
          <w:ilvl w:val="1"/>
          <w:numId w:val="1034"/>
        </w:numPr>
      </w:pPr>
      <w:r>
        <w:t xml:space="preserve">Dose 2 → YoB {1950, 1955}</w:t>
      </w:r>
    </w:p>
    <w:p>
      <w:pPr>
        <w:pStyle w:val="Compact"/>
        <w:numPr>
          <w:ilvl w:val="0"/>
          <w:numId w:val="1033"/>
        </w:numPr>
      </w:pPr>
      <w:r>
        <w:rPr>
          <w:b/>
          <w:bCs/>
        </w:rPr>
        <w:t xml:space="preserve">Output YoB</w:t>
      </w:r>
      <w:r>
        <w:t xml:space="preserve">: Fixed at 1950 (unvax cohort) or 1940 (vax cohort)</w:t>
      </w:r>
    </w:p>
    <w:p>
      <w:pPr>
        <w:pStyle w:val="Compact"/>
        <w:numPr>
          <w:ilvl w:val="0"/>
          <w:numId w:val="1033"/>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75"/>
    <w:bookmarkStart w:id="176" w:name="b.3-positive-control-injected-effect"/>
    <w:p>
      <w:pPr>
        <w:pStyle w:val="Heading4"/>
      </w:pPr>
      <w:r>
        <w:t xml:space="preserve">B.3 Positive control: injected effect</w:t>
      </w:r>
    </w:p>
    <w:p>
      <w:pPr>
        <w:pStyle w:val="FirstParagraph"/>
      </w:pPr>
      <w:r>
        <w:t xml:space="preserve">The positive control (Figure 8 and Table 10) is generated using:</w:t>
      </w:r>
    </w:p>
    <w:p>
      <w:pPr>
        <w:pStyle w:val="Compact"/>
        <w:numPr>
          <w:ilvl w:val="0"/>
          <w:numId w:val="1035"/>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35"/>
        </w:numPr>
      </w:pPr>
      <w:r>
        <w:rPr>
          <w:b/>
          <w:bCs/>
        </w:rPr>
        <w:t xml:space="preserve">Initial cohort size</w:t>
      </w:r>
      <w:r>
        <w:t xml:space="preserve">: 100,000 per cohort</w:t>
      </w:r>
    </w:p>
    <w:p>
      <w:pPr>
        <w:pStyle w:val="Compact"/>
        <w:numPr>
          <w:ilvl w:val="0"/>
          <w:numId w:val="1035"/>
        </w:numPr>
      </w:pPr>
      <w:r>
        <w:rPr>
          <w:b/>
          <w:bCs/>
        </w:rPr>
        <w:t xml:space="preserve">Baseline hazard</w:t>
      </w:r>
      <w:r>
        <w:t xml:space="preserve">: 0.002 per week</w:t>
      </w:r>
    </w:p>
    <w:p>
      <w:pPr>
        <w:pStyle w:val="Compact"/>
        <w:numPr>
          <w:ilvl w:val="0"/>
          <w:numId w:val="1035"/>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35"/>
        </w:numPr>
      </w:pPr>
      <w:r>
        <w:rPr>
          <w:b/>
          <w:bCs/>
        </w:rPr>
        <w:t xml:space="preserve">Effect window</w:t>
      </w:r>
      <w:r>
        <w:t xml:space="preserve">: weeks 20–80</w:t>
      </w:r>
    </w:p>
    <w:p>
      <w:pPr>
        <w:pStyle w:val="Compact"/>
        <w:numPr>
          <w:ilvl w:val="0"/>
          <w:numId w:val="1035"/>
        </w:numPr>
      </w:pPr>
      <w:r>
        <w:rPr>
          <w:b/>
          <w:bCs/>
        </w:rPr>
        <w:t xml:space="preserve">Hazard multipliers</w:t>
      </w:r>
      <w:r>
        <w:t xml:space="preserve">:</w:t>
      </w:r>
    </w:p>
    <w:p>
      <w:pPr>
        <w:pStyle w:val="Compact"/>
        <w:numPr>
          <w:ilvl w:val="1"/>
          <w:numId w:val="1036"/>
        </w:numPr>
      </w:pPr>
      <w:r>
        <w:t xml:space="preserve">Harm scenario:</w:t>
      </w:r>
      <w:r>
        <w:t xml:space="preserve"> </w:t>
      </w:r>
      <m:oMath>
        <m:r>
          <m:t>r</m:t>
        </m:r>
        <m:r>
          <m:rPr>
            <m:sty m:val="p"/>
          </m:rPr>
          <m:t>=</m:t>
        </m:r>
        <m:r>
          <m:t>1.2</m:t>
        </m:r>
      </m:oMath>
    </w:p>
    <w:p>
      <w:pPr>
        <w:pStyle w:val="Compact"/>
        <w:numPr>
          <w:ilvl w:val="1"/>
          <w:numId w:val="1036"/>
        </w:numPr>
      </w:pPr>
      <w:r>
        <w:t xml:space="preserve">Benefit scenario:</w:t>
      </w:r>
      <w:r>
        <w:t xml:space="preserve"> </w:t>
      </w:r>
      <m:oMath>
        <m:r>
          <m:t>r</m:t>
        </m:r>
        <m:r>
          <m:rPr>
            <m:sty m:val="p"/>
          </m:rPr>
          <m:t>=</m:t>
        </m:r>
        <m:r>
          <m:t>0.8</m:t>
        </m:r>
      </m:oMath>
    </w:p>
    <w:p>
      <w:pPr>
        <w:pStyle w:val="Compact"/>
        <w:numPr>
          <w:ilvl w:val="0"/>
          <w:numId w:val="1035"/>
        </w:numPr>
      </w:pPr>
      <w:r>
        <w:rPr>
          <w:b/>
          <w:bCs/>
        </w:rPr>
        <w:t xml:space="preserve">Random seed</w:t>
      </w:r>
      <w:r>
        <w:t xml:space="preserve">: 42</w:t>
      </w:r>
    </w:p>
    <w:p>
      <w:pPr>
        <w:pStyle w:val="Compact"/>
        <w:numPr>
          <w:ilvl w:val="0"/>
          <w:numId w:val="1035"/>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76"/>
    <w:bookmarkStart w:id="177" w:name="b.4-sensitivity-analysis-parameters"/>
    <w:p>
      <w:pPr>
        <w:pStyle w:val="Heading4"/>
      </w:pPr>
      <w:r>
        <w:t xml:space="preserve">B.4 Sensitivity analysis parameters</w:t>
      </w:r>
    </w:p>
    <w:p>
      <w:pPr>
        <w:pStyle w:val="FirstParagraph"/>
      </w:pPr>
      <w:r>
        <w:t xml:space="preserve">The sensitivity analysis (Figure 9) varies:</w:t>
      </w:r>
    </w:p>
    <w:p>
      <w:pPr>
        <w:pStyle w:val="Compact"/>
        <w:numPr>
          <w:ilvl w:val="0"/>
          <w:numId w:val="1037"/>
        </w:numPr>
      </w:pPr>
      <w:r>
        <w:rPr>
          <w:b/>
          <w:bCs/>
        </w:rPr>
        <w:t xml:space="preserve">Baseline weeks</w:t>
      </w:r>
      <w:r>
        <w:t xml:space="preserve">: [2, 3, 4, 5, 6, 7, 8]</w:t>
      </w:r>
    </w:p>
    <w:p>
      <w:pPr>
        <w:pStyle w:val="Compact"/>
        <w:numPr>
          <w:ilvl w:val="0"/>
          <w:numId w:val="1037"/>
        </w:numPr>
      </w:pPr>
      <w:r>
        <w:rPr>
          <w:b/>
          <w:bCs/>
        </w:rPr>
        <w:t xml:space="preserve">Quiet-start offsets</w:t>
      </w:r>
      <w:r>
        <w:t xml:space="preserve">: [-12, -8, -4, 0, +4, +8, +12] weeks from 2022-24</w:t>
      </w:r>
    </w:p>
    <w:p>
      <w:pPr>
        <w:pStyle w:val="Compact"/>
        <w:numPr>
          <w:ilvl w:val="0"/>
          <w:numId w:val="1037"/>
        </w:numPr>
      </w:pPr>
      <w:r>
        <w:rPr>
          <w:b/>
          <w:bCs/>
        </w:rPr>
        <w:t xml:space="preserve">Quiet-window end</w:t>
      </w:r>
      <w:r>
        <w:t xml:space="preserve">: Fixed at 2024-16</w:t>
      </w:r>
    </w:p>
    <w:p>
      <w:pPr>
        <w:pStyle w:val="Compact"/>
        <w:numPr>
          <w:ilvl w:val="0"/>
          <w:numId w:val="1037"/>
        </w:numPr>
      </w:pPr>
      <w:r>
        <w:rPr>
          <w:b/>
          <w:bCs/>
        </w:rPr>
        <w:t xml:space="preserve">Dose pairs</w:t>
      </w:r>
      <w:r>
        <w:t xml:space="preserve">: 1 vs 0, 2 vs 0, 2 vs 1</w:t>
      </w:r>
    </w:p>
    <w:p>
      <w:pPr>
        <w:pStyle w:val="Compact"/>
        <w:numPr>
          <w:ilvl w:val="0"/>
          <w:numId w:val="1037"/>
        </w:numPr>
      </w:pPr>
      <w:r>
        <w:rPr>
          <w:b/>
          <w:bCs/>
        </w:rPr>
        <w:t xml:space="preserve">Cohorts</w:t>
      </w:r>
      <w:r>
        <w:t xml:space="preserve">: 2021_24</w:t>
      </w:r>
    </w:p>
    <w:p>
      <w:pPr>
        <w:pStyle w:val="FirstParagraph"/>
      </w:pPr>
      <w:r>
        <w:t xml:space="preserve">Output grids show KCOR(t) values for each parameter combination.</w:t>
      </w:r>
    </w:p>
    <w:bookmarkEnd w:id="177"/>
    <w:bookmarkStart w:id="178"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38"/>
        </w:numPr>
      </w:pPr>
      <w:r>
        <w:rPr>
          <w:b/>
          <w:bCs/>
        </w:rPr>
        <w:t xml:space="preserve">Mid-sampled cohort</w:t>
      </w:r>
      <w:r>
        <w:t xml:space="preserve">: frailty restricted to central quantiles (e.g., 25th–75th percentile) and renormalized to mean 1.</w:t>
      </w:r>
    </w:p>
    <w:p>
      <w:pPr>
        <w:pStyle w:val="Compact"/>
        <w:numPr>
          <w:ilvl w:val="0"/>
          <w:numId w:val="1038"/>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39"/>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39"/>
        </w:numPr>
      </w:pPr>
      <w:r>
        <w:rPr>
          <w:b/>
          <w:bCs/>
        </w:rPr>
        <w:t xml:space="preserve">Base frailty distribution</w:t>
      </w:r>
      <w:r>
        <w:t xml:space="preserve">: Log-normal with mean 1, variance 0.5</w:t>
      </w:r>
    </w:p>
    <w:p>
      <w:pPr>
        <w:pStyle w:val="Compact"/>
        <w:numPr>
          <w:ilvl w:val="0"/>
          <w:numId w:val="1039"/>
        </w:numPr>
      </w:pPr>
      <w:r>
        <w:rPr>
          <w:b/>
          <w:bCs/>
        </w:rPr>
        <w:t xml:space="preserve">Mid-quantile cohort</w:t>
      </w:r>
      <w:r>
        <w:t xml:space="preserve">: 25th–75th percentile</w:t>
      </w:r>
    </w:p>
    <w:p>
      <w:pPr>
        <w:pStyle w:val="Compact"/>
        <w:numPr>
          <w:ilvl w:val="0"/>
          <w:numId w:val="1039"/>
        </w:numPr>
      </w:pPr>
      <w:r>
        <w:rPr>
          <w:b/>
          <w:bCs/>
        </w:rPr>
        <w:t xml:space="preserve">Tail-mixture cohort</w:t>
      </w:r>
      <w:r>
        <w:t xml:space="preserve">: [0–15th] + [85th–100th] percentiles, equal weights</w:t>
      </w:r>
    </w:p>
    <w:p>
      <w:pPr>
        <w:pStyle w:val="Compact"/>
        <w:numPr>
          <w:ilvl w:val="0"/>
          <w:numId w:val="1039"/>
        </w:numPr>
      </w:pPr>
      <w:r>
        <w:rPr>
          <w:b/>
          <w:bCs/>
        </w:rPr>
        <w:t xml:space="preserve">Baseline hazard</w:t>
      </w:r>
      <w:r>
        <w:t xml:space="preserve">: 0.002 per week (constant)</w:t>
      </w:r>
    </w:p>
    <w:p>
      <w:pPr>
        <w:pStyle w:val="Compact"/>
        <w:numPr>
          <w:ilvl w:val="0"/>
          <w:numId w:val="1039"/>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39"/>
        </w:numPr>
      </w:pPr>
      <w:r>
        <w:rPr>
          <w:b/>
          <w:bCs/>
        </w:rPr>
        <w:t xml:space="preserve">Effect window</w:t>
      </w:r>
      <w:r>
        <w:t xml:space="preserve">: weeks 20–80</w:t>
      </w:r>
    </w:p>
    <w:p>
      <w:pPr>
        <w:pStyle w:val="Compact"/>
        <w:numPr>
          <w:ilvl w:val="0"/>
          <w:numId w:val="1039"/>
        </w:numPr>
      </w:pPr>
      <w:r>
        <w:rPr>
          <w:b/>
          <w:bCs/>
        </w:rPr>
        <w:t xml:space="preserve">Random seed</w:t>
      </w:r>
      <w:r>
        <w:t xml:space="preserve">: 42</w:t>
      </w:r>
    </w:p>
    <w:bookmarkEnd w:id="178"/>
    <w:bookmarkStart w:id="185"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179"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179"/>
    <w:bookmarkStart w:id="180" w:name="frailty-structure"/>
    <w:p>
      <w:pPr>
        <w:pStyle w:val="Heading5"/>
      </w:pPr>
      <w:r>
        <w:t xml:space="preserve">Frailty structure</w:t>
      </w:r>
    </w:p>
    <w:p>
      <w:pPr>
        <w:pStyle w:val="Compact"/>
        <w:numPr>
          <w:ilvl w:val="0"/>
          <w:numId w:val="1040"/>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40"/>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180"/>
    <w:bookmarkStart w:id="181"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41"/>
        </w:numPr>
      </w:pPr>
      <w:r>
        <w:t xml:space="preserve">Step change (constant multiplicative factor),</w:t>
      </w:r>
    </w:p>
    <w:p>
      <w:pPr>
        <w:pStyle w:val="Compact"/>
        <w:numPr>
          <w:ilvl w:val="0"/>
          <w:numId w:val="1041"/>
        </w:numPr>
      </w:pPr>
      <w:r>
        <w:t xml:space="preserve">Linear ramp,</w:t>
      </w:r>
    </w:p>
    <w:p>
      <w:pPr>
        <w:pStyle w:val="Compact"/>
        <w:numPr>
          <w:ilvl w:val="0"/>
          <w:numId w:val="1041"/>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181"/>
    <w:bookmarkStart w:id="182"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182"/>
    <w:bookmarkStart w:id="183"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42"/>
        </w:numPr>
      </w:pPr>
      <w:r>
        <w:t xml:space="preserve">KCOR(t) remains approximately flat and near unity during the quiet window,</w:t>
      </w:r>
    </w:p>
    <w:p>
      <w:pPr>
        <w:pStyle w:val="Compact"/>
        <w:numPr>
          <w:ilvl w:val="0"/>
          <w:numId w:val="1042"/>
        </w:numPr>
      </w:pPr>
      <w:r>
        <w:t xml:space="preserve">KCOR(t) deviates in the correct direction and magnitude during the treatment window,</w:t>
      </w:r>
    </w:p>
    <w:p>
      <w:pPr>
        <w:pStyle w:val="Compact"/>
        <w:numPr>
          <w:ilvl w:val="0"/>
          <w:numId w:val="1042"/>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183"/>
    <w:bookmarkStart w:id="184"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184"/>
    <w:bookmarkEnd w:id="185"/>
    <w:bookmarkEnd w:id="186"/>
    <w:bookmarkStart w:id="191" w:name="X3fb27f9d14d988b0afc4c757bd6d2a45d2ae0b5"/>
    <w:p>
      <w:pPr>
        <w:pStyle w:val="Heading3"/>
      </w:pPr>
      <w:r>
        <w:t xml:space="preserve">Appendix C. Additional figures and diagnostics</w:t>
      </w:r>
    </w:p>
    <w:bookmarkStart w:id="187"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43"/>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43"/>
        </w:numPr>
      </w:pPr>
      <w:r>
        <w:rPr>
          <w:b/>
          <w:bCs/>
        </w:rPr>
        <w:t xml:space="preserve">Fitted parameters</w:t>
      </w:r>
      <w:r>
        <w:t xml:space="preserve">: baseline hazard level and frailty variance. Very small frailty variance (&lt; 0.01) indicates minimal detected depletion; very large values (&gt; 5) may indicate model stress.</w:t>
      </w:r>
    </w:p>
    <w:p>
      <w:pPr>
        <w:pStyle w:val="Compact"/>
        <w:numPr>
          <w:ilvl w:val="0"/>
          <w:numId w:val="1043"/>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KCOR_FIT,EnrollmentDate=2021_24,YoB=1950,Dose=0,</w:t>
      </w:r>
      <w:r>
        <w:br/>
      </w:r>
      <w:r>
        <w:rPr>
          <w:rStyle w:val="VerbatimChar"/>
        </w:rPr>
        <w:t xml:space="preserve">  k_hat=4.29e-03,theta_hat=8.02e-01,</w:t>
      </w:r>
      <w:r>
        <w:br/>
      </w:r>
      <w:r>
        <w:rPr>
          <w:rStyle w:val="VerbatimChar"/>
        </w:rPr>
        <w:t xml:space="preserve">  RMSE_Hobs=3.37e-03,n_obs=97,success=1</w:t>
      </w:r>
    </w:p>
    <w:bookmarkEnd w:id="187"/>
    <w:bookmarkStart w:id="188" w:name="c.2-residual-analysis"/>
    <w:p>
      <w:pPr>
        <w:pStyle w:val="Heading4"/>
      </w:pPr>
      <w:r>
        <w:t xml:space="preserve">C.2 Residual analysis</w:t>
      </w:r>
    </w:p>
    <w:p>
      <w:pPr>
        <w:pStyle w:val="FirstParagraph"/>
      </w:pPr>
      <w:r>
        <w:t xml:space="preserve">Fit residuals should be examined for. Define residuals:</w:t>
      </w:r>
    </w:p>
    <w:p>
      <w:pPr>
        <w:pStyle w:val="BodyText"/>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Compact"/>
        <w:numPr>
          <w:ilvl w:val="0"/>
          <w:numId w:val="1044"/>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44"/>
        </w:numPr>
      </w:pPr>
      <w:r>
        <w:rPr>
          <w:b/>
          <w:bCs/>
        </w:rPr>
        <w:t xml:space="preserve">Outliers</w:t>
      </w:r>
      <w:r>
        <w:t xml:space="preserve">: Individual weeks with large residuals may indicate data quality issues or external shocks.</w:t>
      </w:r>
    </w:p>
    <w:p>
      <w:pPr>
        <w:pStyle w:val="Compact"/>
        <w:numPr>
          <w:ilvl w:val="0"/>
          <w:numId w:val="1044"/>
        </w:numPr>
      </w:pPr>
      <w:r>
        <w:rPr>
          <w:b/>
          <w:bCs/>
        </w:rPr>
        <w:t xml:space="preserve">Autocorrelation</w:t>
      </w:r>
      <w:r>
        <w:t xml:space="preserve">: Strong autocorrelation in residuals suggests the model is missing time-varying structure.</w:t>
      </w:r>
    </w:p>
    <w:bookmarkEnd w:id="188"/>
    <w:bookmarkStart w:id="189" w:name="c.3-parameter-stability-checks"/>
    <w:p>
      <w:pPr>
        <w:pStyle w:val="Heading4"/>
      </w:pPr>
      <w:r>
        <w:t xml:space="preserve">C.3 Parameter stability checks</w:t>
      </w:r>
    </w:p>
    <w:p>
      <w:pPr>
        <w:pStyle w:val="FirstParagraph"/>
      </w:pPr>
      <w:r>
        <w:t xml:space="preserve">Robustness of fitted parameters should be assessed by:</w:t>
      </w:r>
    </w:p>
    <w:p>
      <w:pPr>
        <w:pStyle w:val="Compact"/>
        <w:numPr>
          <w:ilvl w:val="0"/>
          <w:numId w:val="1045"/>
        </w:numPr>
      </w:pPr>
      <w:r>
        <w:rPr>
          <w:b/>
          <w:bCs/>
        </w:rPr>
        <w:t xml:space="preserve">Quiet-window perturbation</w:t>
      </w:r>
      <w:r>
        <w:t xml:space="preserve">: Shift the quiet-window start/end by ±4 weeks and re-fit. Stable parameters should vary by &lt; 10%.</w:t>
      </w:r>
    </w:p>
    <w:p>
      <w:pPr>
        <w:pStyle w:val="Compact"/>
        <w:numPr>
          <w:ilvl w:val="0"/>
          <w:numId w:val="1045"/>
        </w:numPr>
      </w:pPr>
      <w:r>
        <w:rPr>
          <w:b/>
          <w:bCs/>
        </w:rPr>
        <w:t xml:space="preserve">Skip-weeks sensitivity</w:t>
      </w:r>
      <w:r>
        <w:t xml:space="preserve">: Vary SKIP_WEEKS from 0 to 8 and verify KCOR(t) trajectories remain qualitatively similar.</w:t>
      </w:r>
    </w:p>
    <w:p>
      <w:pPr>
        <w:pStyle w:val="Compact"/>
        <w:numPr>
          <w:ilvl w:val="0"/>
          <w:numId w:val="1045"/>
        </w:numPr>
      </w:pPr>
      <w:r>
        <w:rPr>
          <w:b/>
          <w:bCs/>
        </w:rPr>
        <w:t xml:space="preserve">Baseline-shape alternatives</w:t>
      </w:r>
      <w:r>
        <w:t xml:space="preserve">: Compare the default constant baseline over the fit window to mild linear trends and verify normalization is not sensitive to this choice.</w:t>
      </w:r>
    </w:p>
    <w:p>
      <w:pPr>
        <w:pStyle w:val="FirstParagraph"/>
      </w:pPr>
      <w:r>
        <w:t xml:space="preserve">The sensitivity analysis (§3.3 and Figure 9) provides a systematic assessment of parameter stability.</w:t>
      </w:r>
    </w:p>
    <w:bookmarkEnd w:id="189"/>
    <w:bookmarkStart w:id="190"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46"/>
        </w:numPr>
      </w:pPr>
      <w:r>
        <w:t xml:space="preserve">Avoid major epidemic waves or external mortality shocks</w:t>
      </w:r>
    </w:p>
    <w:p>
      <w:pPr>
        <w:pStyle w:val="Compact"/>
        <w:numPr>
          <w:ilvl w:val="0"/>
          <w:numId w:val="1046"/>
        </w:numPr>
      </w:pPr>
      <w:r>
        <w:t xml:space="preserve">Contain sufficient event counts for stable estimation</w:t>
      </w:r>
    </w:p>
    <w:p>
      <w:pPr>
        <w:pStyle w:val="Compact"/>
        <w:numPr>
          <w:ilvl w:val="0"/>
          <w:numId w:val="1046"/>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End w:id="190"/>
    <w:bookmarkEnd w:id="191"/>
    <w:bookmarkStart w:id="200" w:name="X69b5e35053b6e4d59eb22647dfb47df86b0bc52"/>
    <w:p>
      <w:pPr>
        <w:pStyle w:val="Heading3"/>
      </w:pPr>
      <w:r>
        <w:t xml:space="preserve">Appendix D — Diagnostics and Failure Modes for KCOR Assumptions</w:t>
      </w:r>
    </w:p>
    <w:p>
      <w:pPr>
        <w:pStyle w:val="FirstParagraph"/>
      </w:pPr>
      <w:r>
        <w:t xml:space="preserve">This appendix describes the</w:t>
      </w:r>
      <w:r>
        <w:t xml:space="preserve"> </w:t>
      </w:r>
      <w:r>
        <w:rPr>
          <w:b/>
          <w:bCs/>
        </w:rPr>
        <w:t xml:space="preserve">observable diagnostics and failure modes</w:t>
      </w:r>
      <w:r>
        <w:t xml:space="preserve"> </w:t>
      </w:r>
      <w:r>
        <w:t xml:space="preserve">associated with each of the five KCOR assumptions (A1–A5). No additional assumptions are introduced here. KCOR is designed to</w:t>
      </w:r>
      <w:r>
        <w:t xml:space="preserve"> </w:t>
      </w:r>
      <w:r>
        <w:rPr>
          <w:b/>
          <w:bCs/>
        </w:rPr>
        <w:t xml:space="preserve">fail transparently rather than silently</w:t>
      </w:r>
      <w:r>
        <w:t xml:space="preserve">: when an assumption is violated, the resulting lack of identifiability or model stress manifests through explicit diagnostic signals rather than spurious estimates.</w:t>
      </w:r>
    </w:p>
    <w:bookmarkStart w:id="192" w:name="Xe3738a2c16164a2ac95ac03928e5c7877b0667e"/>
    <w:p>
      <w:pPr>
        <w:pStyle w:val="Heading4"/>
      </w:pPr>
      <w:r>
        <w:t xml:space="preserve">D.1 Diagnostics for Assumption A1 (Fixed cohorts at enrollment)</w:t>
      </w:r>
    </w:p>
    <w:p>
      <w:pPr>
        <w:pStyle w:val="FirstParagraph"/>
      </w:pPr>
      <w:r>
        <w:rPr>
          <w:b/>
          <w:bCs/>
        </w:rPr>
        <w:t xml:space="preserve">Assumption A1</w:t>
      </w:r>
      <w:r>
        <w:t xml:space="preserve"> </w:t>
      </w:r>
      <w:r>
        <w:t xml:space="preserve">requires that cohorts be fixed at enrollment, with no post-enrollment switching or censoring in the primary estimand.</w:t>
      </w:r>
    </w:p>
    <w:p>
      <w:pPr>
        <w:pStyle w:val="BodyText"/>
      </w:pPr>
      <w:r>
        <w:rPr>
          <w:b/>
          <w:bCs/>
        </w:rPr>
        <w:t xml:space="preserve">Diagnostic signals of violation.</w:t>
      </w:r>
    </w:p>
    <w:p>
      <w:pPr>
        <w:pStyle w:val="Compact"/>
        <w:numPr>
          <w:ilvl w:val="0"/>
          <w:numId w:val="1047"/>
        </w:numPr>
      </w:pPr>
      <w:r>
        <w:t xml:space="preserve">Inconsistencies in cohort risk sets (e.g., unexplained increases in at-risk counts).</w:t>
      </w:r>
    </w:p>
    <w:p>
      <w:pPr>
        <w:pStyle w:val="Compact"/>
        <w:numPr>
          <w:ilvl w:val="0"/>
          <w:numId w:val="1047"/>
        </w:numPr>
      </w:pPr>
      <w:r>
        <w:t xml:space="preserve">Early-time hazard suppression or inflation inconsistent with selection or depletion geometry.</w:t>
      </w:r>
    </w:p>
    <w:p>
      <w:pPr>
        <w:pStyle w:val="Compact"/>
        <w:numPr>
          <w:ilvl w:val="0"/>
          <w:numId w:val="1047"/>
        </w:numPr>
      </w:pPr>
      <w:r>
        <w:t xml:space="preserve">Dependence of results on as-treated reclassification or censoring rules.</w:t>
      </w:r>
    </w:p>
    <w:p>
      <w:pPr>
        <w:pStyle w:val="FirstParagraph"/>
      </w:pPr>
      <w:r>
        <w:rPr>
          <w:b/>
          <w:bCs/>
        </w:rPr>
        <w:t xml:space="preserve">Interpretation.</w:t>
      </w:r>
      <w:r>
        <w:t xml:space="preserve"> </w:t>
      </w:r>
      <w:r>
        <w:t xml:space="preserve">KCOR is not defined for datasets with post-enrollment switching or informative censoring in the primary estimand. Such violations are design-level failures rather than modeling failures and indicate that KCOR should not be applied without redefining cohorts.</w:t>
      </w:r>
    </w:p>
    <w:bookmarkEnd w:id="192"/>
    <w:bookmarkStart w:id="193" w:name="X39f360dcd9bb0e6d00df4e123204743a8bdbf2a"/>
    <w:p>
      <w:pPr>
        <w:pStyle w:val="Heading4"/>
      </w:pPr>
      <w:r>
        <w:t xml:space="preserve">D.2 Diagnostics for Assumption A2 (Shared external hazard environment)</w:t>
      </w:r>
    </w:p>
    <w:p>
      <w:pPr>
        <w:pStyle w:val="FirstParagraph"/>
      </w:pPr>
      <w:r>
        <w:rPr>
          <w:b/>
          <w:bCs/>
        </w:rPr>
        <w:t xml:space="preserve">Assumption A2</w:t>
      </w:r>
      <w:r>
        <w:t xml:space="preserve"> </w:t>
      </w:r>
      <w:r>
        <w:t xml:space="preserve">requires that all cohorts experience the same calendar-time external mortality environment.</w:t>
      </w:r>
    </w:p>
    <w:p>
      <w:pPr>
        <w:pStyle w:val="BodyText"/>
      </w:pPr>
      <w:r>
        <w:rPr>
          <w:b/>
          <w:bCs/>
        </w:rPr>
        <w:t xml:space="preserve">Diagnostic signals of violation.</w:t>
      </w:r>
    </w:p>
    <w:p>
      <w:pPr>
        <w:pStyle w:val="Compact"/>
        <w:numPr>
          <w:ilvl w:val="0"/>
          <w:numId w:val="1048"/>
        </w:numPr>
      </w:pPr>
      <w:r>
        <w:t xml:space="preserve">Calendar-time hazard spikes or drops that appear in only one cohort.</w:t>
      </w:r>
    </w:p>
    <w:p>
      <w:pPr>
        <w:pStyle w:val="Compact"/>
        <w:numPr>
          <w:ilvl w:val="0"/>
          <w:numId w:val="1048"/>
        </w:numPr>
      </w:pPr>
      <w:r>
        <w:t xml:space="preserve">Misalignment of major mortality shocks (e.g., epidemic waves) across cohorts.</w:t>
      </w:r>
    </w:p>
    <w:p>
      <w:pPr>
        <w:pStyle w:val="Compact"/>
        <w:numPr>
          <w:ilvl w:val="0"/>
          <w:numId w:val="1048"/>
        </w:numPr>
      </w:pPr>
      <w:r>
        <w:t xml:space="preserve">Cohort-specific reporting artifacts or administrative discontinuities.</w:t>
      </w:r>
    </w:p>
    <w:p>
      <w:pPr>
        <w:pStyle w:val="FirstParagraph"/>
      </w:pPr>
      <w:r>
        <w:rPr>
          <w:b/>
          <w:bCs/>
        </w:rPr>
        <w:t xml:space="preserve">Interpretation.</w:t>
      </w:r>
      <w:r>
        <w:t xml:space="preserve"> </w:t>
      </w:r>
      <w:r>
        <w:t xml:space="preserve">External shocks are permitted under KCOR provided they act symmetrically across cohorts. Cohort-specific shocks violate comparability and are visible directly in calendar-time hazard overlays. When detected, such violations limit interpretation of KCOR contrasts over affected periods.</w:t>
      </w:r>
    </w:p>
    <w:bookmarkEnd w:id="193"/>
    <w:bookmarkStart w:id="194" w:name="X681d6c8e66603a33484a5fa5b4d7675a7826b35"/>
    <w:p>
      <w:pPr>
        <w:pStyle w:val="Heading4"/>
      </w:pPr>
      <w:r>
        <w:t xml:space="preserve">D.3 Diagnostics for Assumption A3 (Selection via time-invariant latent frailty)</w:t>
      </w:r>
    </w:p>
    <w:p>
      <w:pPr>
        <w:pStyle w:val="FirstParagraph"/>
      </w:pPr>
      <w:r>
        <w:rPr>
          <w:b/>
          <w:bCs/>
        </w:rPr>
        <w:t xml:space="preserve">Assumption A3</w:t>
      </w:r>
      <w:r>
        <w:t xml:space="preserve"> </w:t>
      </w:r>
      <w:r>
        <w:t xml:space="preserve">posits that selection at enrollment operates primarily through differences in a time-invariant latent frailty distribution that induces depletion of susceptibles.</w:t>
      </w:r>
    </w:p>
    <w:p>
      <w:pPr>
        <w:pStyle w:val="BodyText"/>
      </w:pPr>
      <w:r>
        <w:rPr>
          <w:b/>
          <w:bCs/>
        </w:rPr>
        <w:t xml:space="preserve">Diagnostic signals of violation.</w:t>
      </w:r>
    </w:p>
    <w:p>
      <w:pPr>
        <w:pStyle w:val="Compact"/>
        <w:numPr>
          <w:ilvl w:val="0"/>
          <w:numId w:val="1049"/>
        </w:numPr>
      </w:pPr>
      <w:r>
        <w:t xml:space="preserve">Strongly structured residuals in cumulative-hazard space inconsistent with depletion.</w:t>
      </w:r>
    </w:p>
    <w:p>
      <w:pPr>
        <w:pStyle w:val="Compact"/>
        <w:numPr>
          <w:ilvl w:val="0"/>
          <w:numId w:val="1049"/>
        </w:numPr>
      </w:pPr>
      <w:r>
        <w:t xml:space="preserve">Instability of fitted frailty parameters not attributable to window placement.</w:t>
      </w:r>
    </w:p>
    <w:p>
      <w:pPr>
        <w:pStyle w:val="Compact"/>
        <w:numPr>
          <w:ilvl w:val="0"/>
          <w:numId w:val="1049"/>
        </w:numPr>
      </w:pPr>
      <w:r>
        <w:t xml:space="preserve">Early-time transients that do not decay and are inconsistent across related cohorts.</w:t>
      </w:r>
    </w:p>
    <w:p>
      <w:pPr>
        <w:pStyle w:val="FirstParagraph"/>
      </w:pPr>
      <w:r>
        <w:rPr>
          <w:b/>
          <w:bCs/>
        </w:rPr>
        <w:t xml:space="preserve">Interpretation.</w:t>
      </w:r>
      <w:r>
        <w:t xml:space="preserve"> </w:t>
      </w:r>
      <w:r>
        <w:t xml:space="preserve">Frailty in KCOR is a geometric construct capturing unobserved heterogeneity, not a causal mechanism. If dominant time-varying individual risk unrelated to depletion is present, curvature attributed to frailty becomes unstable. Such cases are revealed by residual structure and parameter instability rather than masked by the model.</w:t>
      </w:r>
    </w:p>
    <w:bookmarkEnd w:id="194"/>
    <w:bookmarkStart w:id="195" w:name="X810b9431575fbeab7b91f5a140a669b822d9eaf"/>
    <w:p>
      <w:pPr>
        <w:pStyle w:val="Heading4"/>
      </w:pPr>
      <w:r>
        <w:t xml:space="preserve">D.4 Diagnostics for Assumption A4 (Adequacy of gamma frailty approximation)</w:t>
      </w:r>
    </w:p>
    <w:p>
      <w:pPr>
        <w:pStyle w:val="FirstParagraph"/>
      </w:pPr>
      <w:r>
        <w:rPr>
          <w:b/>
          <w:bCs/>
        </w:rPr>
        <w:t xml:space="preserve">Assumption A4</w:t>
      </w:r>
      <w:r>
        <w:t xml:space="preserve"> </w:t>
      </w:r>
      <w:r>
        <w:t xml:space="preserve">requires that gamma frailty provides an adequate approximation to the depletion geometry observed in cumulative-hazard space over the estimation window.</w:t>
      </w:r>
    </w:p>
    <w:p>
      <w:pPr>
        <w:pStyle w:val="BodyText"/>
      </w:pPr>
      <w:r>
        <w:rPr>
          <w:b/>
          <w:bCs/>
        </w:rPr>
        <w:t xml:space="preserve">Diagnostic signals of violation.</w:t>
      </w:r>
    </w:p>
    <w:p>
      <w:pPr>
        <w:pStyle w:val="Compact"/>
        <w:numPr>
          <w:ilvl w:val="0"/>
          <w:numId w:val="1050"/>
        </w:numPr>
      </w:pPr>
      <w:r>
        <w:t xml:space="preserve">Poor fit of the gamma-frailty cumulative-hazard model during the quiet window.</w:t>
      </w:r>
    </w:p>
    <w:p>
      <w:pPr>
        <w:pStyle w:val="Compact"/>
        <w:numPr>
          <w:ilvl w:val="0"/>
          <w:numId w:val="1050"/>
        </w:numPr>
      </w:pPr>
      <w:r>
        <w:t xml:space="preserve">Systematic residual curvature after frailty normalization.</w:t>
      </w:r>
    </w:p>
    <w:p>
      <w:pPr>
        <w:pStyle w:val="Compact"/>
        <w:numPr>
          <w:ilvl w:val="0"/>
          <w:numId w:val="1050"/>
        </w:numPr>
      </w:pPr>
      <w:r>
        <w:t xml:space="preserve">Strong sensitivity of results to minor model or window perturbations.</w:t>
      </w:r>
    </w:p>
    <w:p>
      <w:pPr>
        <w:pStyle w:val="FirstParagraph"/>
      </w:pPr>
      <w:r>
        <w:t xml:space="preserve">Additional internal diagnostics for Assumption A4 include the magnitude, coherence, and stability of the fitted frailty variance parameter (θ). Values of θ approaching zero are expected when cumulative hazards are approximately linear, while larger values correspond to visible depletion-induced curvature. Implausible θ estimates—such as large values in the absence of curvature, sign instability, or extreme sensitivity to small changes in the estimation window—indicate model stress or misspecification rather than substantive cohort effects.</w:t>
      </w:r>
    </w:p>
    <w:p>
      <w:pPr>
        <w:pStyle w:val="BodyText"/>
      </w:pPr>
      <w:r>
        <w:rPr>
          <w:b/>
          <w:bCs/>
        </w:rPr>
        <w:t xml:space="preserve">Interpretation.</w:t>
      </w:r>
      <w:r>
        <w:t xml:space="preserve"> </w:t>
      </w:r>
      <w:r>
        <w:t xml:space="preserve">Gamma frailty is used as a mathematically tractable approximation, not as a claim of biological truth. When depletion geometry deviates substantially from the gamma form, KCOR normalization fails visibly through poor fit and residual curvature. Such behavior indicates model inadequacy rather than supporting alternative interpretation.</w:t>
      </w:r>
    </w:p>
    <w:bookmarkEnd w:id="195"/>
    <w:bookmarkStart w:id="196" w:name="Xcaaaf1aa538be62697c3926e555dd3ad2ffc5b5"/>
    <w:p>
      <w:pPr>
        <w:pStyle w:val="Heading4"/>
      </w:pPr>
      <w:r>
        <w:t xml:space="preserve">D.5 Diagnostics for Assumption A5 (Quiet-window validity)</w:t>
      </w:r>
    </w:p>
    <w:p>
      <w:pPr>
        <w:pStyle w:val="FirstParagraph"/>
      </w:pPr>
      <w:r>
        <w:rPr>
          <w:b/>
          <w:bCs/>
        </w:rPr>
        <w:t xml:space="preserve">Assumption A5</w:t>
      </w:r>
      <w:r>
        <w:t xml:space="preserve"> </w:t>
      </w:r>
      <w:r>
        <w:t xml:space="preserve">requires the existence of a prespecified quiet window in which selection-induced depletion dominates other sources of curvature, permitting identification of frailty parameters.</w:t>
      </w:r>
    </w:p>
    <w:p>
      <w:pPr>
        <w:pStyle w:val="BodyText"/>
      </w:pPr>
      <w:r>
        <w:rPr>
          <w:b/>
          <w:bCs/>
        </w:rPr>
        <w:t xml:space="preserve">Diagnostic signals of violation.</w:t>
      </w:r>
    </w:p>
    <w:p>
      <w:pPr>
        <w:pStyle w:val="Compact"/>
        <w:numPr>
          <w:ilvl w:val="0"/>
          <w:numId w:val="1051"/>
        </w:numPr>
      </w:pPr>
      <w:r>
        <w:t xml:space="preserve">Failure of KCOR(t) trajectories to stabilize or asymptote following frailty normalization.</w:t>
      </w:r>
    </w:p>
    <w:p>
      <w:pPr>
        <w:pStyle w:val="Compact"/>
        <w:numPr>
          <w:ilvl w:val="0"/>
          <w:numId w:val="1051"/>
        </w:numPr>
      </w:pPr>
      <w:r>
        <w:t xml:space="preserve">Persistent nonzero slope in KCOR(t), indicating residual curvature after normalization.</w:t>
      </w:r>
    </w:p>
    <w:p>
      <w:pPr>
        <w:pStyle w:val="Compact"/>
        <w:numPr>
          <w:ilvl w:val="0"/>
          <w:numId w:val="1051"/>
        </w:numPr>
      </w:pPr>
      <w:r>
        <w:t xml:space="preserve">Instability of fitted frailty parameters (θ) under small perturbations of quiet-window boundaries.</w:t>
      </w:r>
    </w:p>
    <w:p>
      <w:pPr>
        <w:pStyle w:val="Compact"/>
        <w:numPr>
          <w:ilvl w:val="0"/>
          <w:numId w:val="1051"/>
        </w:numPr>
      </w:pPr>
      <w:r>
        <w:t xml:space="preserve">Failure of depletion-neutralized cumulative hazards to become approximately linear during the quiet window.</w:t>
      </w:r>
    </w:p>
    <w:p>
      <w:pPr>
        <w:pStyle w:val="Compact"/>
        <w:numPr>
          <w:ilvl w:val="0"/>
          <w:numId w:val="1051"/>
        </w:numPr>
      </w:pPr>
      <w:r>
        <w:t xml:space="preserve">Degraded cumulative-hazard fit error concentrated within the nominal quiet period.</w:t>
      </w:r>
    </w:p>
    <w:p>
      <w:pPr>
        <w:pStyle w:val="FirstParagraph"/>
      </w:pPr>
      <w:r>
        <w:rPr>
          <w:b/>
          <w:bCs/>
        </w:rPr>
        <w:t xml:space="preserve">Interpretation.</w:t>
      </w:r>
      <w:r>
        <w:t xml:space="preserve"> </w:t>
      </w:r>
      <w:r>
        <w:t xml:space="preserve">Quiet-window validity is the primary dataset-specific requirement for KCOR applicability. When this assumption fails—e.g., due to overlap with strong treatment effects or external shocks—KCOR does not amplify spurious signals. Instead, normalization becomes unstable and KCOR(t) trajectories attenuate toward unity or fail to stabilize, explicitly signaling loss of identifiability.</w:t>
      </w:r>
    </w:p>
    <w:p>
      <w:pPr>
        <w:pStyle w:val="BodyText"/>
      </w:pPr>
      <w:r>
        <w:t xml:space="preserve">Under a valid quiet window, frailty-normalized cumulative hazards are expected to be approximately linear and KCOR(t) trajectories to stabilize rather than drift. Persistent KCOR slope or θ instability indicates contamination of the quiet window by external shocks or time-varying effects and signals loss of identifiability rather than evidence of cohort differences.</w:t>
      </w:r>
    </w:p>
    <w:bookmarkEnd w:id="196"/>
    <w:bookmarkStart w:id="197" w:name="X4697312edb91442c28e4c7966c61f59d358df3d"/>
    <w:p>
      <w:pPr>
        <w:pStyle w:val="Heading4"/>
      </w:pPr>
      <w:r>
        <w:t xml:space="preserve">D.6 Diagnostic coherence across assumptions</w:t>
      </w:r>
    </w:p>
    <w:p>
      <w:pPr>
        <w:pStyle w:val="FirstParagraph"/>
      </w:pPr>
      <w:r>
        <w:t xml:space="preserve">Several diagnostics operate across assumptions A4 and A5, including stabilization of KCOR(t) trajectories and coherence of fitted θ parameters with observed cumulative-hazard curvature. These diagnostics are not assumptions of the KCOR framework; rather, they are observable consequences of successful frailty normalization. When these behaviors fail to emerge, KCOR explicitly signals reduced interpretability through residual curvature, parameter instability, or attenuation toward unity.</w:t>
      </w:r>
    </w:p>
    <w:bookmarkEnd w:id="197"/>
    <w:bookmarkStart w:id="198" w:name="d.7-identifiability-under-sparse-data"/>
    <w:p>
      <w:pPr>
        <w:pStyle w:val="Heading4"/>
      </w:pPr>
      <w:r>
        <w:t xml:space="preserve">D.7 Identifiability under sparse data</w:t>
      </w:r>
    </w:p>
    <w:p>
      <w:pPr>
        <w:pStyle w:val="FirstParagraph"/>
      </w:pPr>
      <w:r>
        <w:t xml:space="preserve">KCOR does not require large sample sizes by assumption; however, reliable estimation of frailty parameters and depletion-neutralized cumulative hazards requires sufficient event information within the identification window. When event counts are very small, frailty estimates may become unstable, resulting in noisy normalization, non-linear baseline cumulative hazards, or drifting KCOR(t) trajectories.</w:t>
      </w:r>
    </w:p>
    <w:p>
      <w:pPr>
        <w:pStyle w:val="BodyText"/>
      </w:pPr>
      <w:r>
        <w:t xml:space="preserve">Importantly, such failures are diagnosable: sparse-data regimes are characterized by instability of estimated frailty parameters under small perturbations of the quiet window, loss of post-normalization linearity, and non-stabilizing KCOR(t). In these cases, KCOR signals loss of identifiability rather than producing spurious effects. Applicability should therefore be assessed via diagnostic stability rather than nominal sample size thresholds.</w:t>
      </w:r>
    </w:p>
    <w:bookmarkEnd w:id="198"/>
    <w:bookmarkStart w:id="199" w:name="X6c73c4ccb2a4c028b15fd59c9fb7f49770df43b"/>
    <w:p>
      <w:pPr>
        <w:pStyle w:val="Heading4"/>
      </w:pPr>
      <w:r>
        <w:t xml:space="preserve">D.8 Summary: Diagnostic enforcement rather than assumption inflation</w:t>
      </w:r>
    </w:p>
    <w:p>
      <w:pPr>
        <w:pStyle w:val="FirstParagraph"/>
      </w:pPr>
      <w:r>
        <w:t xml:space="preserve">KCOR relies on exactly five assumptions (A1–A5), stated exhaustively in §2.1.1. This appendix demonstrates that each assumption has</w:t>
      </w:r>
      <w:r>
        <w:t xml:space="preserve"> </w:t>
      </w:r>
      <w:r>
        <w:rPr>
          <w:b/>
          <w:bCs/>
        </w:rPr>
        <w:t xml:space="preserve">explicit, observable diagnostics</w:t>
      </w:r>
      <w:r>
        <w:t xml:space="preserve"> </w:t>
      </w:r>
      <w:r>
        <w:t xml:space="preserve">and</w:t>
      </w:r>
      <w:r>
        <w:t xml:space="preserve"> </w:t>
      </w:r>
      <w:r>
        <w:rPr>
          <w:b/>
          <w:bCs/>
        </w:rPr>
        <w:t xml:space="preserve">well-defined failure modes</w:t>
      </w:r>
      <w:r>
        <w:t xml:space="preserve">. When assumptions are violated, KCOR signals reduced interpretability through instability, poor fit, or residual structure rather than producing misleading cumulative contrasts. This diagnostic enforcement is a core design feature of the KCOR framework.</w:t>
      </w:r>
    </w:p>
    <w:bookmarkEnd w:id="199"/>
    <w:bookmarkEnd w:id="200"/>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 Target="media/rId4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67" Target="media/rId67.png" /><Relationship Type="http://schemas.openxmlformats.org/officeDocument/2006/relationships/image" Id="rId89" Target="media/rId89.png" /><Relationship Type="http://schemas.openxmlformats.org/officeDocument/2006/relationships/image" Id="rId107" Target="media/rId107.png" /><Relationship Type="http://schemas.openxmlformats.org/officeDocument/2006/relationships/image" Id="rId130" Target="media/rId130.png" /><Relationship Type="http://schemas.openxmlformats.org/officeDocument/2006/relationships/image" Id="rId126" Target="media/rId126.png" /><Relationship Type="http://schemas.openxmlformats.org/officeDocument/2006/relationships/image" Id="rId113" Target="media/rId113.png" /><Relationship Type="http://schemas.openxmlformats.org/officeDocument/2006/relationships/image" Id="rId122" Target="media/rId122.png" /><Relationship Type="http://schemas.openxmlformats.org/officeDocument/2006/relationships/image" Id="rId118" Target="media/rId118.png" /><Relationship Type="http://schemas.openxmlformats.org/officeDocument/2006/relationships/hyperlink" Id="rId161" Target="https://doi.org/10.2147/CLEP.S468572" TargetMode="External" /><Relationship Type="http://schemas.openxmlformats.org/officeDocument/2006/relationships/hyperlink" Id="rId159" Target="https://doi.org/10.2307/2061224" TargetMode="External" /><Relationship Type="http://schemas.openxmlformats.org/officeDocument/2006/relationships/hyperlink" Id="rId152" Target="https://doi.org/10.5281/zenodo.18050329" TargetMode="External" /><Relationship Type="http://schemas.openxmlformats.org/officeDocument/2006/relationships/hyperlink" Id="rId163" Target="https://doi.org/10.7554/eLife.103690" TargetMode="External" /><Relationship Type="http://schemas.openxmlformats.org/officeDocument/2006/relationships/hyperlink" Id="rId151"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61" Target="https://doi.org/10.2147/CLEP.S468572" TargetMode="External" /><Relationship Type="http://schemas.openxmlformats.org/officeDocument/2006/relationships/hyperlink" Id="rId159" Target="https://doi.org/10.2307/2061224" TargetMode="External" /><Relationship Type="http://schemas.openxmlformats.org/officeDocument/2006/relationships/hyperlink" Id="rId152" Target="https://doi.org/10.5281/zenodo.18050329" TargetMode="External" /><Relationship Type="http://schemas.openxmlformats.org/officeDocument/2006/relationships/hyperlink" Id="rId163" Target="https://doi.org/10.7554/eLife.103690" TargetMode="External" /><Relationship Type="http://schemas.openxmlformats.org/officeDocument/2006/relationships/hyperlink" Id="rId151"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2026-01-02T07:10:38Z</dcterms:created>
  <dcterms:modified xsi:type="dcterms:W3CDTF">2026-01-02T07:10:38Z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eqLabels">
    <vt:lpwstr>arabic</vt:lpwstr>
  </property>
  <property fmtid="{D5CDD505-2E9C-101B-9397-08002B2CF9AE}" pid="16" name="eqnBlockInlineMath">
    <vt:lpwstr>True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(i)</vt:lpwstr>
  </property>
  <property fmtid="{D5CDD505-2E9C-101B-9397-08002B2CF9AE}" pid="24" name="eqnTemplate">
    <vt:lpwstr>(i)</vt:lpwstr>
  </property>
  <property fmtid="{D5CDD505-2E9C-101B-9397-08002B2CF9AE}" pid="25" name="equationNumberTeX">
    <vt:lpwstr>\qquad</vt:lpwstr>
  </property>
  <property fmtid="{D5CDD505-2E9C-101B-9397-08002B2CF9AE}" pid="26" name="figLabels">
    <vt:lpwstr>arabic</vt:lpwstr>
  </property>
  <property fmtid="{D5CDD505-2E9C-101B-9397-08002B2CF9AE}" pid="27" name="figPrefix">
    <vt:lpwstr/>
  </property>
  <property fmtid="{D5CDD505-2E9C-101B-9397-08002B2CF9AE}" pid="28" name="figPrefixTemplate">
    <vt:lpwstr>i</vt:lpwstr>
  </property>
  <property fmtid="{D5CDD505-2E9C-101B-9397-08002B2CF9AE}" pid="29" name="figureTemplate">
    <vt:lpwstr>figureTitle i. t</vt:lpwstr>
  </property>
  <property fmtid="{D5CDD505-2E9C-101B-9397-08002B2CF9AE}" pid="30" name="figureTitle">
    <vt:lpwstr>Figure</vt:lpwstr>
  </property>
  <property fmtid="{D5CDD505-2E9C-101B-9397-08002B2CF9AE}" pid="31" name="lastDelim">
    <vt:lpwstr>, </vt:lpwstr>
  </property>
  <property fmtid="{D5CDD505-2E9C-101B-9397-08002B2CF9AE}" pid="32" name="linkReferences">
    <vt:lpwstr>False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True</vt:lpwstr>
  </property>
  <property fmtid="{D5CDD505-2E9C-101B-9397-08002B2CF9AE}" pid="68" name="tableTemplate">
    <vt:lpwstr>tableTitle i.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i</vt:lpwstr>
  </property>
  <property fmtid="{D5CDD505-2E9C-101B-9397-08002B2CF9AE}" pid="73" name="titleDelim">
    <vt:lpwstr/>
  </property>
</Properties>
</file>