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92.png" ContentType="image/png"/>
  <Override PartName="/word/media/rId96.png" ContentType="image/png"/>
  <Override PartName="/word/media/rId72.png" ContentType="image/png"/>
  <Override PartName="/word/media/rId76.png" ContentType="image/png"/>
  <Override PartName="/word/media/rId66.png" ContentType="image/png"/>
  <Override PartName="/word/media/rId86.png" ContentType="image/png"/>
  <Override PartName="/word/media/rId104.png" ContentType="image/png"/>
  <Override PartName="/word/media/rId127.png" ContentType="image/png"/>
  <Override PartName="/word/media/rId123.png" ContentType="image/png"/>
  <Override PartName="/word/media/rId110.png" ContentType="image/png"/>
  <Override PartName="/word/media/rId119.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9"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2"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0"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0"/>
    <w:bookmarkStart w:id="21"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1"/>
    <w:bookmarkEnd w:id="22"/>
    <w:bookmarkStart w:id="83" w:name="methods"/>
    <w:p>
      <w:pPr>
        <w:pStyle w:val="Heading2"/>
      </w:pPr>
      <w:r>
        <w:t xml:space="preserve">2. Methods</w:t>
      </w:r>
    </w:p>
    <w:p>
      <w:pPr>
        <w:pStyle w:val="FirstParagraph"/>
      </w:pPr>
      <w:r>
        <w:t xml:space="preserve">Table tbl. 3 defines the notation used throughout this section.</w:t>
      </w:r>
    </w:p>
    <w:bookmarkStart w:id="23"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3"/>
    <w:p>
      <w:pPr>
        <w:pStyle w:val="BodyText"/>
      </w:pPr>
      <w:r>
        <w:t xml:space="preserve">For COVID-19 vaccination analyses, intervention count corresponds to the number of vaccine doses received; more generally, this can index any discrete exposure level.</w:t>
      </w:r>
    </w:p>
    <w:bookmarkStart w:id="3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4"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4"/>
    <w:bookmarkStart w:id="25"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5"/>
    <w:bookmarkStart w:id="26"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6"/>
    <w:bookmarkStart w:id="27"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7"/>
    <w:bookmarkStart w:id="28"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8"/>
    <w:bookmarkStart w:id="29"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9"/>
    <w:bookmarkEnd w:id="30"/>
    <w:bookmarkStart w:id="3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1"/>
    <w:bookmarkEnd w:id="32"/>
    <w:bookmarkStart w:id="36"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4"/>
    </w:p>
    <w:bookmarkStart w:id="35"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5"/>
    <w:bookmarkEnd w:id="36"/>
    <w:bookmarkStart w:id="49" w:name="Xe033a348c5bd6b05b57c8d9f7299f5850ccd667"/>
    <w:p>
      <w:pPr>
        <w:pStyle w:val="Heading3"/>
      </w:pPr>
      <w:r>
        <w:t xml:space="preserve">2.4 Selection model: gamma frailty and the cumulative-hazard identity</w:t>
      </w:r>
    </w:p>
    <w:bookmarkStart w:id="38"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7"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7"/>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8"/>
    <w:bookmarkStart w:id="46"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9"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9"/>
    </w:p>
    <w:p>
      <w:pPr>
        <w:pStyle w:val="FirstParagraph"/>
      </w:pPr>
      <w:r>
        <w:t xml:space="preserve">Integrating over gamma frailty yields a closed-form relationship between the observed cohort cumulative hazard and the baseline cumulative hazard:</w:t>
      </w:r>
    </w:p>
    <w:p>
      <w:pPr>
        <w:pStyle w:val="BodyText"/>
      </w:pPr>
      <w:bookmarkStart w:id="40"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40"/>
    </w:p>
    <w:p>
      <w:pPr>
        <w:pStyle w:val="FirstParagraph"/>
      </w:pPr>
      <w:r>
        <w:t xml:space="preserve">This identity can be inverted exactly:</w:t>
      </w:r>
    </w:p>
    <w:p>
      <w:pPr>
        <w:pStyle w:val="BodyText"/>
      </w:pPr>
      <w:bookmarkStart w:id="41"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1"/>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5"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3" name="Picture"/>
            <a:graphic>
              <a:graphicData uri="http://schemas.openxmlformats.org/drawingml/2006/picture">
                <pic:pic>
                  <pic:nvPicPr>
                    <pic:cNvPr descr="figures/fig1_kcor_v6_schematic.png" id="44" name="Picture"/>
                    <pic:cNvPicPr>
                      <a:picLocks noChangeArrowheads="1" noChangeAspect="1"/>
                    </pic:cNvPicPr>
                  </pic:nvPicPr>
                  <pic:blipFill>
                    <a:blip r:embed="rId42"/>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5"/>
    <w:bookmarkEnd w:id="46"/>
    <w:bookmarkStart w:id="48"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7"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7"/>
    </w:p>
    <w:p>
      <w:pPr>
        <w:pStyle w:val="FirstParagraph"/>
      </w:pPr>
      <w:r>
        <w:t xml:space="preserve">This choice minimizes degrees of freedom and forces curvature during quiet periods to be explained by selection (frailty) rather than by an explicit time-varying baseline.</w:t>
      </w:r>
    </w:p>
    <w:bookmarkEnd w:id="48"/>
    <w:bookmarkEnd w:id="49"/>
    <w:bookmarkStart w:id="54"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50"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50"/>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1"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1"/>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3"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2"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2"/>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3"/>
    <w:bookmarkEnd w:id="54"/>
    <w:bookmarkStart w:id="5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5"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5"/>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p>
      <w:pPr>
        <w:pStyle w:val="BodyText"/>
      </w:pPr>
      <w:bookmarkStart w:id="56"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6"/>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7"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7"/>
    <w:bookmarkStart w:id="58"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8"/>
    <w:bookmarkEnd w:id="59"/>
    <w:bookmarkStart w:id="6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60"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60"/>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1"/>
    <w:bookmarkStart w:id="63"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2"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2"/>
    </w:p>
    <w:p>
      <w:pPr>
        <w:pStyle w:val="FirstParagraph"/>
      </w:pPr>
      <w:r>
        <w:t xml:space="preserve">This is a cumulative comparison in hazard space after removing cohort-specific selection-induced depletion dynamics estimated during quiet periods.</w:t>
      </w:r>
    </w:p>
    <w:bookmarkEnd w:id="63"/>
    <w:bookmarkStart w:id="6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4"/>
    <w:bookmarkStart w:id="70"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65"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KCOR(t). Although the data-generating process specifies individual hazards, cumulative hazards were estimated from simulated event-time data using Nelson–Aalen to mirror the information available to analysts in observational registry studies, rather than exploiting simulator-only knowledge.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71" w:name="tbl:cox_bias_demo"/>
    <w:p>
      <w:pPr>
        <w:pStyle w:val="TableCaption"/>
      </w:pPr>
      <w:r>
        <w:t xml:space="preserve">Table 5: Cox vs KCOR under a synthetic null with increasing frailty heterogeneity. Two cohorts are simulated with identical baseline hazards and no treatment effect;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5: Cox vs KCOR under a synthetic null with increasing frailty heterogeneity. Two cohorts are simulated with identical baseline hazards and no treatment effect;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1"/>
    <w:bookmarkEnd w:id="82"/>
    <w:bookmarkEnd w:id="83"/>
    <w:bookmarkStart w:id="13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2 demonstrates selection-induced heterogeneity, unadjusted cumulative outcome contrasts are expected to conflate depletion effects with any true treatment differences; Table 3 therefore reports raw cumulative hazards solely as a pre-normalization diagnostic.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Table 3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4"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4"/>
    <w:bookmarkStart w:id="85"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5"/>
    <w:bookmarkStart w:id="102" w:name="X250d2743dd947cd04209f9dc9cf02b545517230"/>
    <w:p>
      <w:pPr>
        <w:pStyle w:val="Heading3"/>
      </w:pPr>
      <w:r>
        <w:t xml:space="preserve">3.1 Negative controls: null under selection-induced curvature</w:t>
      </w:r>
    </w:p>
    <w:bookmarkStart w:id="91"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0"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5 shows this construction.</w:t>
      </w:r>
    </w:p>
    <w:bookmarkStart w:id="89"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87" name="Picture"/>
            <a:graphic>
              <a:graphicData uri="http://schemas.openxmlformats.org/drawingml/2006/picture">
                <pic:pic>
                  <pic:nvPicPr>
                    <pic:cNvPr descr="figures/fig_neg_control_synthetic.png" id="88" name="Picture"/>
                    <pic:cNvPicPr>
                      <a:picLocks noChangeArrowheads="1" noChangeAspect="1"/>
                    </pic:cNvPicPr>
                  </pic:nvPicPr>
                  <pic:blipFill>
                    <a:blip r:embed="rId86"/>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89"/>
    <w:bookmarkEnd w:id="90"/>
    <w:bookmarkEnd w:id="91"/>
    <w:bookmarkStart w:id="101"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6 and fig.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5"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3" name="Picture"/>
            <a:graphic>
              <a:graphicData uri="http://schemas.openxmlformats.org/drawingml/2006/picture">
                <pic:pic>
                  <pic:nvPicPr>
                    <pic:cNvPr descr="figures/fig2_neg_control_10yr_age_diff.png" id="94" name="Picture"/>
                    <pic:cNvPicPr>
                      <a:picLocks noChangeArrowheads="1" noChangeAspect="1"/>
                    </pic:cNvPicPr>
                  </pic:nvPicPr>
                  <pic:blipFill>
                    <a:blip r:embed="rId9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95"/>
    <w:bookmarkStart w:id="99"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97" name="Picture"/>
            <a:graphic>
              <a:graphicData uri="http://schemas.openxmlformats.org/drawingml/2006/picture">
                <pic:pic>
                  <pic:nvPicPr>
                    <pic:cNvPr descr="figures/fig3_neg_control_20yr_age_diff.png" id="98" name="Picture"/>
                    <pic:cNvPicPr>
                      <a:picLocks noChangeArrowheads="1" noChangeAspect="1"/>
                    </pic:cNvPicPr>
                  </pic:nvPicPr>
                  <pic:blipFill>
                    <a:blip r:embed="rId96"/>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99"/>
    <w:p>
      <w:pPr>
        <w:pStyle w:val="BodyText"/>
      </w:pPr>
      <w:r>
        <w:t xml:space="preserve">Table tbl. 6 provides numeric summaries.</w:t>
      </w:r>
    </w:p>
    <w:bookmarkStart w:id="100" w:name="tbl:neg_control_summary"/>
    <w:p>
      <w:pPr>
        <w:pStyle w:val="TableCaption"/>
      </w:pPr>
      <w:r>
        <w:t xml:space="preserve">Table 6: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6: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0"/>
    <w:bookmarkEnd w:id="101"/>
    <w:bookmarkEnd w:id="102"/>
    <w:bookmarkStart w:id="109"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3"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3"/>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8 and Table tbl. 7 confirm this behavior.</w:t>
      </w:r>
    </w:p>
    <w:bookmarkStart w:id="107"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5" name="Picture"/>
            <a:graphic>
              <a:graphicData uri="http://schemas.openxmlformats.org/drawingml/2006/picture">
                <pic:pic>
                  <pic:nvPicPr>
                    <pic:cNvPr descr="figures/fig_pos_control_injected.png" id="106" name="Picture"/>
                    <pic:cNvPicPr>
                      <a:picLocks noChangeArrowheads="1" noChangeAspect="1"/>
                    </pic:cNvPicPr>
                  </pic:nvPicPr>
                  <pic:blipFill>
                    <a:blip r:embed="rId104"/>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07"/>
    <w:bookmarkStart w:id="108" w:name="tbl:pos_control_summary"/>
    <w:p>
      <w:pPr>
        <w:pStyle w:val="TableCaption"/>
      </w:pPr>
      <w:r>
        <w:t xml:space="preserve">Table 7: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7: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8"/>
    <w:bookmarkEnd w:id="109"/>
    <w:bookmarkStart w:id="11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9 summarizes KCOR stability across the parameter grid.</w:t>
      </w:r>
    </w:p>
    <w:bookmarkStart w:id="113"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11" name="Picture"/>
            <a:graphic>
              <a:graphicData uri="http://schemas.openxmlformats.org/drawingml/2006/picture">
                <pic:pic>
                  <pic:nvPicPr>
                    <pic:cNvPr descr="figures/fig_sensitivity_overview.png" id="112" name="Picture"/>
                    <pic:cNvPicPr>
                      <a:picLocks noChangeArrowheads="1" noChangeAspect="1"/>
                    </pic:cNvPicPr>
                  </pic:nvPicPr>
                  <pic:blipFill>
                    <a:blip r:embed="rId110"/>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3"/>
    <w:p>
      <w:pPr>
        <w:pStyle w:val="BodyText"/>
      </w:pPr>
      <w:r>
        <w:t xml:space="preserve">Across all tested parameter ranges, KCOR values remained within approximately ±5% of unity, indicating stability under reasonable variations in fitting choices.</w:t>
      </w:r>
    </w:p>
    <w:bookmarkEnd w:id="114"/>
    <w:bookmarkStart w:id="131"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10 and fig. 11 below.</w:t>
      </w:r>
    </w:p>
    <w:p>
      <w:pPr>
        <w:pStyle w:val="BodyText"/>
      </w:pPr>
      <w:r>
        <w:rPr>
          <w:b/>
          <w:bCs/>
        </w:rPr>
        <w:t xml:space="preserve">Joint frailty and treatment-effect simulation (S7).</w:t>
      </w:r>
      <w:r>
        <w:br/>
      </w:r>
      <w:r>
        <w:t xml:space="preserve">Figure fig.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8"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6" name="Picture"/>
            <a:graphic>
              <a:graphicData uri="http://schemas.openxmlformats.org/drawingml/2006/picture">
                <pic:pic>
                  <pic:nvPicPr>
                    <pic:cNvPr descr="figures/fig_sim_grid_overview.png" id="117" name="Picture"/>
                    <pic:cNvPicPr>
                      <a:picLocks noChangeArrowheads="1" noChangeAspect="1"/>
                    </pic:cNvPicPr>
                  </pic:nvPicPr>
                  <pic:blipFill>
                    <a:blip r:embed="rId115"/>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18"/>
    <w:bookmarkStart w:id="122"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0" name="Picture"/>
            <a:graphic>
              <a:graphicData uri="http://schemas.openxmlformats.org/drawingml/2006/picture">
                <pic:pic>
                  <pic:nvPicPr>
                    <pic:cNvPr descr="figures/fig_sim_grid_diagnostics.png" id="121" name="Picture"/>
                    <pic:cNvPicPr>
                      <a:picLocks noChangeArrowheads="1" noChangeAspect="1"/>
                    </pic:cNvPicPr>
                  </pic:nvPicPr>
                  <pic:blipFill>
                    <a:blip r:embed="rId119"/>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2"/>
    <w:bookmarkStart w:id="126"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4" name="Picture"/>
            <a:graphic>
              <a:graphicData uri="http://schemas.openxmlformats.org/drawingml/2006/picture">
                <pic:pic>
                  <pic:nvPicPr>
                    <pic:cNvPr descr="figures/fig_s7_overview.png" id="125" name="Picture"/>
                    <pic:cNvPicPr>
                      <a:picLocks noChangeArrowheads="1" noChangeAspect="1"/>
                    </pic:cNvPicPr>
                  </pic:nvPicPr>
                  <pic:blipFill>
                    <a:blip r:embed="rId123"/>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6"/>
    <w:bookmarkStart w:id="130"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28" name="Picture"/>
            <a:graphic>
              <a:graphicData uri="http://schemas.openxmlformats.org/drawingml/2006/picture">
                <pic:pic>
                  <pic:nvPicPr>
                    <pic:cNvPr descr="figures/fig_s7_diagnostics.png" id="129" name="Picture"/>
                    <pic:cNvPicPr>
                      <a:picLocks noChangeArrowheads="1" noChangeAspect="1"/>
                    </pic:cNvPicPr>
                  </pic:nvPicPr>
                  <pic:blipFill>
                    <a:blip r:embed="rId127"/>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0"/>
    <w:bookmarkEnd w:id="131"/>
    <w:bookmarkStart w:id="13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2"/>
    <w:bookmarkStart w:id="13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3"/>
    <w:bookmarkEnd w:id="134"/>
    <w:bookmarkStart w:id="139"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5"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5"/>
    <w:bookmarkStart w:id="13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6"/>
    <w:bookmarkStart w:id="13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7"/>
    <w:bookmarkStart w:id="138"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38"/>
    <w:bookmarkEnd w:id="139"/>
    <w:bookmarkStart w:id="143"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4"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4"/>
    <w:bookmarkStart w:id="155" w:name="declarations"/>
    <w:p>
      <w:pPr>
        <w:pStyle w:val="Heading2"/>
      </w:pPr>
      <w:r>
        <w:t xml:space="preserve">Declarations</w:t>
      </w:r>
    </w:p>
    <w:bookmarkStart w:id="145"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6 and fig. 7) use aggregated cohort summaries derived from Czech Republic administrative data; no record-level data are shared in this manuscript.</w:t>
      </w:r>
      <w:r>
        <w:rPr>
          <w:vertAlign w:val="superscript"/>
        </w:rPr>
        <w:t xml:space="preserve">4</w:t>
      </w:r>
    </w:p>
    <w:bookmarkEnd w:id="145"/>
    <w:bookmarkStart w:id="146" w:name="consent-for-publication"/>
    <w:p>
      <w:pPr>
        <w:pStyle w:val="Heading3"/>
      </w:pPr>
      <w:r>
        <w:t xml:space="preserve">Consent for publication</w:t>
      </w:r>
    </w:p>
    <w:p>
      <w:pPr>
        <w:pStyle w:val="FirstParagraph"/>
      </w:pPr>
      <w:r>
        <w:t xml:space="preserve">Not applicable.</w:t>
      </w:r>
    </w:p>
    <w:bookmarkEnd w:id="146"/>
    <w:bookmarkStart w:id="147"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7"/>
    <w:bookmarkStart w:id="150" w:name="code-availability"/>
    <w:p>
      <w:pPr>
        <w:pStyle w:val="Heading3"/>
      </w:pPr>
      <w:r>
        <w:t xml:space="preserve">Code availability</w:t>
      </w:r>
    </w:p>
    <w:p>
      <w:pPr>
        <w:pStyle w:val="Compact"/>
        <w:numPr>
          <w:ilvl w:val="0"/>
          <w:numId w:val="1025"/>
        </w:numPr>
      </w:pPr>
      <w:r>
        <w:t xml:space="preserve">The KCOR v6 reference implementation and complete validation suite are available in the project repository.</w:t>
      </w:r>
    </w:p>
    <w:p>
      <w:pPr>
        <w:pStyle w:val="Compact"/>
        <w:numPr>
          <w:ilvl w:val="0"/>
          <w:numId w:val="1025"/>
        </w:numPr>
      </w:pPr>
      <w:r>
        <w:t xml:space="preserve">Repository URL:</w:t>
      </w:r>
      <w:r>
        <w:t xml:space="preserve"> </w:t>
      </w:r>
      <w:hyperlink r:id="rId148">
        <w:r>
          <w:rPr>
            <w:rStyle w:val="Hyperlink"/>
          </w:rPr>
          <w:t xml:space="preserve">https://github.com/skirsch/KCOR</w:t>
        </w:r>
      </w:hyperlink>
    </w:p>
    <w:p>
      <w:pPr>
        <w:pStyle w:val="Compact"/>
        <w:numPr>
          <w:ilvl w:val="0"/>
          <w:numId w:val="1025"/>
        </w:numPr>
      </w:pPr>
      <w:r>
        <w:t xml:space="preserve">Zenodo DOI:</w:t>
      </w:r>
      <w:r>
        <w:t xml:space="preserve"> </w:t>
      </w:r>
      <w:hyperlink r:id="rId149">
        <w:r>
          <w:rPr>
            <w:rStyle w:val="Hyperlink"/>
          </w:rPr>
          <w:t xml:space="preserve">10.5281/zenodo.18050329</w:t>
        </w:r>
      </w:hyperlink>
    </w:p>
    <w:bookmarkEnd w:id="150"/>
    <w:bookmarkStart w:id="151" w:name="competing-interests"/>
    <w:p>
      <w:pPr>
        <w:pStyle w:val="Heading3"/>
      </w:pPr>
      <w:r>
        <w:t xml:space="preserve">Competing interests</w:t>
      </w:r>
    </w:p>
    <w:p>
      <w:pPr>
        <w:pStyle w:val="FirstParagraph"/>
      </w:pPr>
      <w:r>
        <w:t xml:space="preserve">The author is a board member of the Vaccine Safety Research Foundation.</w:t>
      </w:r>
    </w:p>
    <w:bookmarkEnd w:id="151"/>
    <w:bookmarkStart w:id="152" w:name="funding"/>
    <w:p>
      <w:pPr>
        <w:pStyle w:val="Heading3"/>
      </w:pPr>
      <w:r>
        <w:t xml:space="preserve">Funding</w:t>
      </w:r>
    </w:p>
    <w:p>
      <w:pPr>
        <w:pStyle w:val="FirstParagraph"/>
      </w:pPr>
      <w:r>
        <w:t xml:space="preserve">This research received no external funding.</w:t>
      </w:r>
    </w:p>
    <w:bookmarkEnd w:id="152"/>
    <w:bookmarkStart w:id="153"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3"/>
    <w:bookmarkStart w:id="154"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4"/>
    <w:bookmarkEnd w:id="155"/>
    <w:bookmarkStart w:id="164" w:name="references"/>
    <w:p>
      <w:pPr>
        <w:pStyle w:val="Heading2"/>
      </w:pPr>
      <w:r>
        <w:t xml:space="preserve">References</w:t>
      </w:r>
    </w:p>
    <w:bookmarkStart w:id="163" w:name="refs"/>
    <w:bookmarkStart w:id="157"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6">
        <w:r>
          <w:rPr>
            <w:rStyle w:val="Hyperlink"/>
          </w:rPr>
          <w:t xml:space="preserve">10.2307/2061224</w:t>
        </w:r>
      </w:hyperlink>
    </w:p>
    <w:bookmarkEnd w:id="157"/>
    <w:bookmarkStart w:id="159"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8">
        <w:r>
          <w:rPr>
            <w:rStyle w:val="Hyperlink"/>
          </w:rPr>
          <w:t xml:space="preserve">10.2147/CLEP.S468572</w:t>
        </w:r>
      </w:hyperlink>
    </w:p>
    <w:bookmarkEnd w:id="159"/>
    <w:bookmarkStart w:id="161"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0">
        <w:r>
          <w:rPr>
            <w:rStyle w:val="Hyperlink"/>
          </w:rPr>
          <w:t xml:space="preserve">10.7554/eLife.103690</w:t>
        </w:r>
      </w:hyperlink>
    </w:p>
    <w:bookmarkEnd w:id="161"/>
    <w:bookmarkStart w:id="162"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2"/>
    <w:bookmarkEnd w:id="163"/>
    <w:bookmarkEnd w:id="164"/>
    <w:bookmarkStart w:id="19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0" w:name="appendix-a.-mathematical-derivations"/>
    <w:p>
      <w:pPr>
        <w:pStyle w:val="Heading3"/>
      </w:pPr>
      <w:r>
        <w:t xml:space="preserve">Appendix A. Mathematical derivations</w:t>
      </w:r>
    </w:p>
    <w:bookmarkStart w:id="16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5"/>
    <w:bookmarkStart w:id="16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66"/>
    <w:bookmarkStart w:id="16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67"/>
    <w:bookmarkStart w:id="168"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68"/>
    <w:bookmarkStart w:id="169"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69"/>
    <w:bookmarkEnd w:id="170"/>
    <w:bookmarkStart w:id="183" w:name="appendix-b.-control-test-specifications"/>
    <w:p>
      <w:pPr>
        <w:pStyle w:val="Heading3"/>
      </w:pPr>
      <w:r>
        <w:t xml:space="preserve">Appendix B. Control-test specifications</w:t>
      </w:r>
    </w:p>
    <w:bookmarkStart w:id="171" w:name="X2180becb792c7366d1a2d9abe674c7e8eb8a3b6"/>
    <w:p>
      <w:pPr>
        <w:pStyle w:val="Heading4"/>
      </w:pPr>
      <w:r>
        <w:t xml:space="preserve">B.1 Negative control: synthetic gamma-frailty null</w:t>
      </w:r>
    </w:p>
    <w:p>
      <w:pPr>
        <w:pStyle w:val="FirstParagraph"/>
      </w:pPr>
      <w:r>
        <w:t xml:space="preserve">The synthetic negative control (Figure fig.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1"/>
    <w:bookmarkStart w:id="172" w:name="X6ca5a97e85e9ee460a15280db933ceb5c1ed112"/>
    <w:p>
      <w:pPr>
        <w:pStyle w:val="Heading4"/>
      </w:pPr>
      <w:r>
        <w:t xml:space="preserve">B.2 Negative control: empirical age-shift construction</w:t>
      </w:r>
    </w:p>
    <w:p>
      <w:pPr>
        <w:pStyle w:val="FirstParagraph"/>
      </w:pPr>
      <w:r>
        <w:t xml:space="preserve">The empirical negative control (Figures fig. 6 and fig.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2"/>
    <w:bookmarkStart w:id="173" w:name="b.3-positive-control-injected-effect"/>
    <w:p>
      <w:pPr>
        <w:pStyle w:val="Heading4"/>
      </w:pPr>
      <w:r>
        <w:t xml:space="preserve">B.3 Positive control: injected effect</w:t>
      </w:r>
    </w:p>
    <w:p>
      <w:pPr>
        <w:pStyle w:val="FirstParagraph"/>
      </w:pPr>
      <w:r>
        <w:t xml:space="preserve">The positive control (Figure fig. 8 and Table tbl. 7)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3"/>
    <w:bookmarkStart w:id="174" w:name="b.4-sensitivity-analysis-parameters"/>
    <w:p>
      <w:pPr>
        <w:pStyle w:val="Heading4"/>
      </w:pPr>
      <w:r>
        <w:t xml:space="preserve">B.4 Sensitivity analysis parameters</w:t>
      </w:r>
    </w:p>
    <w:p>
      <w:pPr>
        <w:pStyle w:val="FirstParagraph"/>
      </w:pPr>
      <w:r>
        <w:t xml:space="preserve">The sensitivity analysis (Figure fig.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4"/>
    <w:bookmarkStart w:id="17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5"/>
    <w:bookmarkStart w:id="18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6"/>
    <w:bookmarkStart w:id="177"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77"/>
    <w:bookmarkStart w:id="17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78"/>
    <w:bookmarkStart w:id="17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79"/>
    <w:bookmarkStart w:id="18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0"/>
    <w:bookmarkStart w:id="18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1"/>
    <w:bookmarkEnd w:id="182"/>
    <w:bookmarkEnd w:id="183"/>
    <w:bookmarkStart w:id="188" w:name="X3fb27f9d14d988b0afc4c757bd6d2a45d2ae0b5"/>
    <w:p>
      <w:pPr>
        <w:pStyle w:val="Heading3"/>
      </w:pPr>
      <w:r>
        <w:t xml:space="preserve">Appendix C. Additional figures and diagnostics</w:t>
      </w:r>
    </w:p>
    <w:bookmarkStart w:id="18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84"/>
    <w:bookmarkStart w:id="18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5"/>
    <w:bookmarkStart w:id="18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9) provides a systematic assessment of parameter stability.</w:t>
      </w:r>
    </w:p>
    <w:bookmarkEnd w:id="186"/>
    <w:bookmarkStart w:id="18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87"/>
    <w:bookmarkEnd w:id="188"/>
    <w:bookmarkStart w:id="19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8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89"/>
    <w:bookmarkStart w:id="19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0"/>
    <w:bookmarkStart w:id="19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1"/>
    <w:bookmarkStart w:id="19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2"/>
    <w:bookmarkStart w:id="19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3"/>
    <w:bookmarkStart w:id="19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4"/>
    <w:bookmarkStart w:id="19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5"/>
    <w:bookmarkStart w:id="19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6"/>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6" Target="media/rId86.png" /><Relationship Type="http://schemas.openxmlformats.org/officeDocument/2006/relationships/image" Id="rId104" Target="media/rId104.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10" Target="media/rId110.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2025-12-31T08:46:19Z</dcterms:created>
  <dcterms:modified xsi:type="dcterms:W3CDTF">2025-12-31T08:46:19Z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