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94.png" ContentType="image/png"/>
  <Override PartName="/word/media/rId68.png" ContentType="image/png"/>
  <Override PartName="/word/media/rId72.png" ContentType="image/png"/>
  <Override PartName="/word/media/rId63.png" ContentType="image/png"/>
  <Override PartName="/word/media/rId84.png" ContentType="image/png"/>
  <Override PartName="/word/media/rId101.png" ContentType="image/png"/>
  <Override PartName="/word/media/rId124.png" ContentType="image/png"/>
  <Override PartName="/word/media/rId120.png" ContentType="image/png"/>
  <Override PartName="/word/media/rId106.png" ContentType="image/png"/>
  <Override PartName="/word/media/rId116.png" ContentType="image/png"/>
  <Override PartName="/word/media/rId112.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main"/>
    <w:bookmarkStart w:id="197" w:name="X8a6fbe8a8e8f2531b7e9694650a4d74c0ac5545"/>
    <w:p>
      <w:pPr>
        <w:pStyle w:val="Heading1"/>
      </w:pPr>
      <w:r>
        <w:t xml:space="preserve">KCOR: A Depletion-Neutralized Cohort Comparison Framework Using Gamma-Frailty Normalization Under Selection-Induced Cumulative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generate non-proportional hazards that invalidate standard survival estimands. We introduce the Kirsch Cumulative Outcomes Ratio (KCOR), a normalization-and-comparison framework designed to remove selection-induced depletion curvature from cumulative hazards prior to cohort comparison using minimal registry data (dates of birth, intervention, and event).</w:t>
      </w:r>
    </w:p>
    <w:p>
      <w:pPr>
        <w:pStyle w:val="BodyText"/>
      </w:pPr>
      <w:r>
        <w:t xml:space="preserve">KCOR estimates cohort-specific depletion parameters during prespecified epidemiologically quiet periods, transforms observed cumulative hazards into a depletion-neutralized space via gamma-frailty inversion, and defines a cumulative hazard ratio as the target estimand. Using simulation studies that vary frailty heterogeneity and selection strength, we evaluate KCOR alongside commonly used hazard- and survival-based estimands under both null and non-null conditions. Under selection-only regimes, KCOR remains centered near the null with stable trajectories, whereas Cox regression and related estimands exhibit systematic non-null behavior driven by residual depletion effects.</w:t>
      </w:r>
    </w:p>
    <w:p>
      <w:pPr>
        <w:pStyle w:val="BodyText"/>
      </w:pPr>
      <w:r>
        <w:t xml:space="preserve">KCOR is presented as a diagnostic and normalization framework rather than a causal identification strategy. Interpretation of KCOR trajectories is conditional on stated assumptions and validated through prespecified simulations, negative controls, and internal diagnostics.</w:t>
      </w:r>
    </w:p>
    <w:bookmarkEnd w:id="10"/>
    <w:bookmarkStart w:id="12"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rates and convert to discrete-time hazards using a midpoint approximation (Equation {#eq:hazard-from-mr-improved}).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{#eq:nls-objective}).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{#eq:normalized-cumhazard})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numPr>
          <w:ilvl w:val="0"/>
          <w:numId w:val="1002"/>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2"/>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2"/>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r>
        <w:pict>
          <v:rect style="width:0;height:1.5pt" o:hralign="center" o:hrstd="t" o:hr="t"/>
        </w:pict>
      </w:r>
    </w:p>
    <w:bookmarkEnd w:id="11"/>
    <w:bookmarkEnd w:id="12"/>
    <w:bookmarkStart w:id="27"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3"/>
        </w:numPr>
      </w:pPr>
      <w:r>
        <w:rPr>
          <w:b/>
          <w:bCs/>
        </w:rPr>
        <w:t xml:space="preserve">Cox PH</w:t>
      </w:r>
      <w:r>
        <w:t xml:space="preserve">: assumes hazards differ by a time-invariant multiplicative factor (proportional hazards).</w:t>
      </w:r>
    </w:p>
    <w:p>
      <w:pPr>
        <w:pStyle w:val="Compact"/>
        <w:numPr>
          <w:ilvl w:val="0"/>
          <w:numId w:val="1003"/>
        </w:numPr>
      </w:pPr>
      <w:r>
        <w:rPr>
          <w:b/>
          <w:bCs/>
        </w:rPr>
        <w:t xml:space="preserve">IPTW / matching</w:t>
      </w:r>
      <w:r>
        <w:t xml:space="preserve">: can balance measured covariates yet fail to balance unmeasured frailty and the resulting depletion dynamics.</w:t>
      </w:r>
    </w:p>
    <w:p>
      <w:pPr>
        <w:pStyle w:val="Compact"/>
        <w:numPr>
          <w:ilvl w:val="0"/>
          <w:numId w:val="1003"/>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4"/>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4"/>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The target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See Table 1.</w:t>
      </w:r>
    </w:p>
    <w:bookmarkEnd w:id="21"/>
    <w:bookmarkEnd w:id="22"/>
    <w:bookmarkStart w:id="23"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p>
      <w:pPr>
        <w:pStyle w:val="BodyText"/>
      </w:pPr>
      <w:r>
        <w:t xml:space="preserve">See Table 2.</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p>
      <w:pPr>
        <w:pStyle w:val="BodyText"/>
      </w:pPr>
      <w:r>
        <w:t xml:space="preserve">See Table 3.</w:t>
      </w:r>
    </w:p>
    <w:bookmarkEnd w:id="23"/>
    <w:bookmarkStart w:id="24"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w:t>
      </w:r>
      <w:r>
        <w:t xml:space="preserve"> </w:t>
      </w:r>
      <w:r>
        <w:t xml:space="preserve">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4"/>
    <w:bookmarkStart w:id="25"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5"/>
    <w:bookmarkStart w:id="26"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6"/>
    <w:bookmarkEnd w:id="27"/>
    <w:bookmarkStart w:id="28"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See Table 4.</w:t>
      </w:r>
    </w:p>
    <w:p>
      <w:pPr>
        <w:pStyle w:val="BodyText"/>
      </w:pPr>
      <w:r>
        <w:t xml:space="preserve">For COVID-19 vaccination analyses, intervention count corresponds to the number of vaccine doses received; more generally, this can index any discrete exposure level.</w:t>
      </w:r>
    </w:p>
    <w:bookmarkEnd w:id="28"/>
    <w:bookmarkStart w:id="32"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0"/>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0"/>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1"/>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1"/>
        </w:numPr>
      </w:pPr>
      <w:r>
        <w:rPr>
          <w:b/>
          <w:bCs/>
        </w:rPr>
        <w:t xml:space="preserve">Map observed cumulative hazards into a depletion-neutralized space</w:t>
      </w:r>
      <w:r>
        <w:t xml:space="preserve"> </w:t>
      </w:r>
      <w:r>
        <w:t xml:space="preserve">by inverting that geometry.</w:t>
      </w:r>
    </w:p>
    <w:p>
      <w:pPr>
        <w:pStyle w:val="Compact"/>
        <w:numPr>
          <w:ilvl w:val="0"/>
          <w:numId w:val="1011"/>
        </w:numPr>
      </w:pPr>
      <w:r>
        <w:rPr>
          <w:b/>
          <w:bCs/>
        </w:rPr>
        <w:t xml:space="preserve">Compare cohorts only after normalization</w:t>
      </w:r>
      <w:r>
        <w:t xml:space="preserve">, using a cumulative-hazard ratio defined on the depletion-neutralized scale.</w:t>
      </w:r>
    </w:p>
    <w:bookmarkStart w:id="30"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29"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29"/>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0"/>
    <w:bookmarkStart w:id="31"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2"/>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2"/>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2"/>
        </w:numPr>
      </w:pPr>
      <w:r>
        <w:t xml:space="preserve">absence of systematic residual structure in cumulative-hazard space.</w:t>
      </w:r>
    </w:p>
    <w:p>
      <w:r>
        <w:pict>
          <v:rect style="width:0;height:1.5pt" o:hralign="center" o:hrstd="t" o:hr="t"/>
        </w:pict>
      </w:r>
    </w:p>
    <w:bookmarkEnd w:id="31"/>
    <w:bookmarkEnd w:id="32"/>
    <w:bookmarkStart w:id="33"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3"/>
        </w:numPr>
      </w:pPr>
      <w:r>
        <w:rPr>
          <w:b/>
          <w:bCs/>
        </w:rPr>
        <w:t xml:space="preserve">No post-enrollment switching</w:t>
      </w:r>
      <w:r>
        <w:t xml:space="preserve"> </w:t>
      </w:r>
      <w:r>
        <w:t xml:space="preserve">is allowed (individuals remain in their enrollment cohort),</w:t>
      </w:r>
    </w:p>
    <w:p>
      <w:pPr>
        <w:pStyle w:val="Compact"/>
        <w:numPr>
          <w:ilvl w:val="0"/>
          <w:numId w:val="1013"/>
        </w:numPr>
      </w:pPr>
      <w:r>
        <w:rPr>
          <w:b/>
          <w:bCs/>
        </w:rPr>
        <w:t xml:space="preserve">No censoring</w:t>
      </w:r>
      <w:r>
        <w:t xml:space="preserve"> </w:t>
      </w:r>
      <w:r>
        <w:t xml:space="preserve">is applied (other than administrative end of follow-up),</w:t>
      </w:r>
    </w:p>
    <w:p>
      <w:pPr>
        <w:pStyle w:val="Compact"/>
        <w:numPr>
          <w:ilvl w:val="0"/>
          <w:numId w:val="1013"/>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3"/>
    <w:bookmarkStart w:id="36"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4"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4"/>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5"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5"/>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6"/>
    <w:bookmarkStart w:id="83" w:name="Xac986e115b315a486d7d296f1ed82bc5da7c6c5"/>
    <w:p>
      <w:pPr>
        <w:pStyle w:val="Heading2"/>
      </w:pPr>
      <w:r>
        <w:t xml:space="preserve">2.4 Selection model: gamma frailty and depletion normalization</w:t>
      </w:r>
    </w:p>
    <w:bookmarkStart w:id="38"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37"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37"/>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38"/>
    <w:bookmarkStart w:id="42" w:name="gamma-frailty-identity-and-inversion"/>
    <w:p>
      <w:pPr>
        <w:pStyle w:val="Heading3"/>
      </w:pPr>
      <w:r>
        <w:t xml:space="preserve">2.4.2 Gamma-frailty identity and inversion</w:t>
      </w:r>
    </w:p>
    <w:p>
      <w:pPr>
        <w:pStyle w:val="FirstParagraph"/>
      </w:pPr>
      <w:r>
        <w:t xml:space="preserve">Let</w:t>
      </w:r>
    </w:p>
    <w:bookmarkStart w:id="39"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39"/>
    <w:p>
      <w:pPr>
        <w:pStyle w:val="BodyText"/>
      </w:pPr>
      <w:r>
        <w:t xml:space="preserve">denote the baseline cumulative hazard. Integrating over gamma frailty yields the gamma-frailty identity</w:t>
      </w:r>
    </w:p>
    <w:bookmarkStart w:id="40"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0"/>
    <w:p>
      <w:pPr>
        <w:pStyle w:val="BodyText"/>
      </w:pPr>
      <w:r>
        <w:t xml:space="preserve">which can be inverted exactly as</w:t>
      </w:r>
    </w:p>
    <w:bookmarkStart w:id="41"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1"/>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2"/>
    <w:bookmarkStart w:id="44"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3"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3"/>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4"/>
    <w:bookmarkStart w:id="46"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5"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4"/>
        </w:numPr>
      </w:pPr>
      <w:r>
        <w:t xml:space="preserve">Calendar-time hazard curves exhibit approximate linearity with no sustained trend breaks.</w:t>
      </w:r>
    </w:p>
    <w:p>
      <w:pPr>
        <w:pStyle w:val="Compact"/>
        <w:numPr>
          <w:ilvl w:val="0"/>
          <w:numId w:val="1014"/>
        </w:numPr>
      </w:pPr>
      <w:r>
        <w:t xml:space="preserve">Periods containing epidemic waves, reporting artifacts, or policy shocks are excluded.</w:t>
      </w:r>
    </w:p>
    <w:p>
      <w:pPr>
        <w:pStyle w:val="Compact"/>
        <w:numPr>
          <w:ilvl w:val="0"/>
          <w:numId w:val="1014"/>
        </w:numPr>
      </w:pPr>
      <w:r>
        <w:t xml:space="preserve">The window spans a minimum duration sufficient for stable slope estimation.</w:t>
      </w:r>
    </w:p>
    <w:p>
      <w:pPr>
        <w:pStyle w:val="Compact"/>
        <w:numPr>
          <w:ilvl w:val="0"/>
          <w:numId w:val="1014"/>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5"/>
    <w:bookmarkEnd w:id="46"/>
    <w:bookmarkStart w:id="51"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7"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7"/>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48"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48"/>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0"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5"/>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5"/>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5"/>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49"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49"/>
    <w:p>
      <w:pPr>
        <w:pStyle w:val="BodyText"/>
      </w:pPr>
      <w:r>
        <w:t xml:space="preserve">Equation {#eq:hazard-from-mr-improved}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6"/>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6"/>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0"/>
    <w:bookmarkEnd w:id="51"/>
    <w:bookmarkStart w:id="5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2"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2"/>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3"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3"/>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4"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4"/>
    <w:bookmarkStart w:id="55"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7"/>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7"/>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8"/>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9"/>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5"/>
    <w:bookmarkEnd w:id="56"/>
    <w:bookmarkStart w:id="5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7"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57"/>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58"/>
    <w:bookmarkStart w:id="60"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59"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59"/>
    <w:p>
      <w:pPr>
        <w:pStyle w:val="BodyText"/>
      </w:pPr>
      <w:r>
        <w:t xml:space="preserve">This is a cumulative comparison in hazard space after removing cohort-specific selection-induced depletion dynamics estimated during quiet periods.</w:t>
      </w:r>
    </w:p>
    <w:bookmarkEnd w:id="60"/>
    <w:bookmarkStart w:id="62"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1"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0"/>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0"/>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0"/>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0"/>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0"/>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1"/>
    <w:bookmarkEnd w:id="62"/>
    <w:bookmarkStart w:id="67" w:name="Xf552aaad3b83b889e2d08c64d65c17176bae771"/>
    <w:p>
      <w:pPr>
        <w:pStyle w:val="Heading3"/>
      </w:pPr>
      <w:r>
        <w:t xml:space="preserve">2.10 Algorithm summary and reproducibility checklist</w:t>
      </w:r>
    </w:p>
    <w:p>
      <w:pPr>
        <w:pStyle w:val="FirstParagraph"/>
      </w:pPr>
      <w:r>
        <w:t xml:space="preserve">See Table 5.</w:t>
      </w:r>
    </w:p>
    <w:bookmarkStart w:id="66"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4" name="Picture"/>
            <a:graphic>
              <a:graphicData uri="http://schemas.openxmlformats.org/drawingml/2006/picture">
                <pic:pic>
                  <pic:nvPicPr>
                    <pic:cNvPr descr="figures/fig_kcor_workflow.png" id="65" name="Picture"/>
                    <pic:cNvPicPr>
                      <a:picLocks noChangeArrowheads="1" noChangeAspect="1"/>
                    </pic:cNvPicPr>
                  </pic:nvPicPr>
                  <pic:blipFill>
                    <a:blip r:embed="rId63"/>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6"/>
    <w:bookmarkEnd w:id="67"/>
    <w:bookmarkStart w:id="78"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76"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1"/>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1"/>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p>
      <w:pPr>
        <w:pStyle w:val="BodyText"/>
      </w:pPr>
      <w:r>
        <w:t xml:space="preserve">See Table 6.</w:t>
      </w:r>
    </w:p>
    <w:bookmarkStart w:id="71"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69" name="Picture"/>
            <a:graphic>
              <a:graphicData uri="http://schemas.openxmlformats.org/drawingml/2006/picture">
                <pic:pic>
                  <pic:nvPicPr>
                    <pic:cNvPr descr="figures/fig_cox_bias_hr_vs_theta.png" id="70" name="Picture"/>
                    <pic:cNvPicPr>
                      <a:picLocks noChangeArrowheads="1" noChangeAspect="1"/>
                    </pic:cNvPicPr>
                  </pic:nvPicPr>
                  <pic:blipFill>
                    <a:blip r:embed="rId6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1"/>
    <w:bookmarkStart w:id="75"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3" name="Picture"/>
            <a:graphic>
              <a:graphicData uri="http://schemas.openxmlformats.org/drawingml/2006/picture">
                <pic:pic>
                  <pic:nvPicPr>
                    <pic:cNvPr descr="figures/fig_cox_bias_kco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5"/>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76"/>
    <w:bookmarkStart w:id="77"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77"/>
    <w:bookmarkEnd w:id="78"/>
    <w:bookmarkStart w:id="79"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79"/>
    <w:bookmarkStart w:id="80"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0"/>
    <w:bookmarkStart w:id="81"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Supplementary Material.</w:t>
      </w:r>
    </w:p>
    <w:bookmarkEnd w:id="81"/>
    <w:bookmarkStart w:id="82" w:name="use-of-artificial-intelligence-tools"/>
    <w:p>
      <w:pPr>
        <w:pStyle w:val="Heading3"/>
      </w:pPr>
      <w:r>
        <w:t xml:space="preserve">2.15 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section.</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82"/>
    <w:bookmarkEnd w:id="83"/>
    <w:bookmarkStart w:id="135"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2"/>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2"/>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99" w:name="X250d2743dd947cd04209f9dc9cf02b545517230"/>
    <w:p>
      <w:pPr>
        <w:pStyle w:val="Heading3"/>
      </w:pPr>
      <w:r>
        <w:t xml:space="preserve">3.1 Negative controls: null under selection-induced curvature</w:t>
      </w:r>
    </w:p>
    <w:bookmarkStart w:id="8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3"/>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3"/>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3"/>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8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4"/>
        </w:numPr>
      </w:pPr>
      <w:r>
        <w:t xml:space="preserve">Time unit: weeks.</w:t>
      </w:r>
    </w:p>
    <w:p>
      <w:pPr>
        <w:pStyle w:val="Compact"/>
        <w:numPr>
          <w:ilvl w:val="0"/>
          <w:numId w:val="1024"/>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4"/>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4"/>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87"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5" name="Picture"/>
            <a:graphic>
              <a:graphicData uri="http://schemas.openxmlformats.org/drawingml/2006/picture">
                <pic:pic>
                  <pic:nvPicPr>
                    <pic:cNvPr descr="figures/fig_neg_control_synthetic.png" id="86" name="Picture"/>
                    <pic:cNvPicPr>
                      <a:picLocks noChangeArrowheads="1" noChangeAspect="1"/>
                    </pic:cNvPicPr>
                  </pic:nvPicPr>
                  <pic:blipFill>
                    <a:blip r:embed="rId8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87"/>
    <w:bookmarkEnd w:id="88"/>
    <w:bookmarkEnd w:id="89"/>
    <w:bookmarkStart w:id="98"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3"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91" name="Picture"/>
            <a:graphic>
              <a:graphicData uri="http://schemas.openxmlformats.org/drawingml/2006/picture">
                <pic:pic>
                  <pic:nvPicPr>
                    <pic:cNvPr descr="figures/fig2_neg_control_10yr_age_diff.png" id="92" name="Picture"/>
                    <pic:cNvPicPr>
                      <a:picLocks noChangeArrowheads="1" noChangeAspect="1"/>
                    </pic:cNvPicPr>
                  </pic:nvPicPr>
                  <pic:blipFill>
                    <a:blip r:embed="rId9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3"/>
    <w:bookmarkStart w:id="97"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95" name="Picture"/>
            <a:graphic>
              <a:graphicData uri="http://schemas.openxmlformats.org/drawingml/2006/picture">
                <pic:pic>
                  <pic:nvPicPr>
                    <pic:cNvPr descr="figures/fig3_neg_control_20yr_age_diff.png" id="96" name="Picture"/>
                    <pic:cNvPicPr>
                      <a:picLocks noChangeArrowheads="1" noChangeAspect="1"/>
                    </pic:cNvPicPr>
                  </pic:nvPicPr>
                  <pic:blipFill>
                    <a:blip r:embed="rId9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97"/>
    <w:p>
      <w:pPr>
        <w:pStyle w:val="BodyText"/>
      </w:pPr>
      <w:r>
        <w:t xml:space="preserve">See Table 7.</w:t>
      </w:r>
    </w:p>
    <w:bookmarkEnd w:id="98"/>
    <w:bookmarkEnd w:id="99"/>
    <w:bookmarkStart w:id="105"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0"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0"/>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4"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2" name="Picture"/>
            <a:graphic>
              <a:graphicData uri="http://schemas.openxmlformats.org/drawingml/2006/picture">
                <pic:pic>
                  <pic:nvPicPr>
                    <pic:cNvPr descr="figures/fig_pos_control_injected.png" id="103" name="Picture"/>
                    <pic:cNvPicPr>
                      <a:picLocks noChangeArrowheads="1" noChangeAspect="1"/>
                    </pic:cNvPicPr>
                  </pic:nvPicPr>
                  <pic:blipFill>
                    <a:blip r:embed="rId101"/>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4"/>
    <w:bookmarkEnd w:id="105"/>
    <w:bookmarkStart w:id="111"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5"/>
        </w:numPr>
      </w:pPr>
      <w:r>
        <w:t xml:space="preserve">Quiet-window selection (calendar ISO-week bounds)</w:t>
      </w:r>
    </w:p>
    <w:p>
      <w:pPr>
        <w:pStyle w:val="Compact"/>
        <w:numPr>
          <w:ilvl w:val="0"/>
          <w:numId w:val="1025"/>
        </w:numPr>
      </w:pPr>
      <w:r>
        <w:t xml:space="preserve">Stabilization skip (early-bin handling)</w:t>
      </w:r>
    </w:p>
    <w:p>
      <w:pPr>
        <w:pStyle w:val="Compact"/>
        <w:numPr>
          <w:ilvl w:val="0"/>
          <w:numId w:val="1025"/>
        </w:numPr>
      </w:pPr>
      <w:r>
        <w:t xml:space="preserve">Time-binning resolution</w:t>
      </w:r>
    </w:p>
    <w:p>
      <w:pPr>
        <w:pStyle w:val="Compact"/>
        <w:numPr>
          <w:ilvl w:val="0"/>
          <w:numId w:val="1025"/>
        </w:numPr>
      </w:pPr>
      <w:r>
        <w:t xml:space="preserve">Age stratification and/or stratified analyses where appropriate</w:t>
      </w:r>
    </w:p>
    <w:p>
      <w:pPr>
        <w:pStyle w:val="Compact"/>
        <w:numPr>
          <w:ilvl w:val="0"/>
          <w:numId w:val="1025"/>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09"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07" name="Picture"/>
            <a:graphic>
              <a:graphicData uri="http://schemas.openxmlformats.org/drawingml/2006/picture">
                <pic:pic>
                  <pic:nvPicPr>
                    <pic:cNvPr descr="figures/fig_sensitivity_overview.png" id="108" name="Picture"/>
                    <pic:cNvPicPr>
                      <a:picLocks noChangeArrowheads="1" noChangeAspect="1"/>
                    </pic:cNvPicPr>
                  </pic:nvPicPr>
                  <pic:blipFill>
                    <a:blip r:embed="rId106"/>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09"/>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0"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6"/>
        </w:numPr>
      </w:pPr>
      <w:r>
        <w:rPr>
          <w:b/>
          <w:bCs/>
        </w:rPr>
        <w:t xml:space="preserve">Gamma</w:t>
      </w:r>
      <w:r>
        <w:t xml:space="preserve"> </w:t>
      </w:r>
      <w:r>
        <w:t xml:space="preserve">(baseline reference)</w:t>
      </w:r>
    </w:p>
    <w:p>
      <w:pPr>
        <w:pStyle w:val="Compact"/>
        <w:numPr>
          <w:ilvl w:val="0"/>
          <w:numId w:val="1026"/>
        </w:numPr>
      </w:pPr>
      <w:r>
        <w:rPr>
          <w:b/>
          <w:bCs/>
        </w:rPr>
        <w:t xml:space="preserve">Lognormal</w:t>
      </w:r>
      <w:r>
        <w:t xml:space="preserve"> </w:t>
      </w:r>
      <w:r>
        <w:t xml:space="preserve">frailty</w:t>
      </w:r>
    </w:p>
    <w:p>
      <w:pPr>
        <w:pStyle w:val="Compact"/>
        <w:numPr>
          <w:ilvl w:val="0"/>
          <w:numId w:val="1026"/>
        </w:numPr>
      </w:pPr>
      <w:r>
        <w:rPr>
          <w:b/>
          <w:bCs/>
        </w:rPr>
        <w:t xml:space="preserve">Two-point mixture</w:t>
      </w:r>
      <w:r>
        <w:t xml:space="preserve"> </w:t>
      </w:r>
      <w:r>
        <w:t xml:space="preserve">(discrete frailty)</w:t>
      </w:r>
    </w:p>
    <w:p>
      <w:pPr>
        <w:pStyle w:val="Compact"/>
        <w:numPr>
          <w:ilvl w:val="0"/>
          <w:numId w:val="1026"/>
        </w:numPr>
      </w:pPr>
      <w:r>
        <w:rPr>
          <w:b/>
          <w:bCs/>
        </w:rPr>
        <w:t xml:space="preserve">Bimodal</w:t>
      </w:r>
      <w:r>
        <w:t xml:space="preserve"> </w:t>
      </w:r>
      <w:r>
        <w:t xml:space="preserve">frailty distributions</w:t>
      </w:r>
    </w:p>
    <w:p>
      <w:pPr>
        <w:pStyle w:val="Compact"/>
        <w:numPr>
          <w:ilvl w:val="0"/>
          <w:numId w:val="1026"/>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0"/>
    <w:bookmarkEnd w:id="111"/>
    <w:bookmarkStart w:id="132"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15"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3" name="Picture"/>
            <a:graphic>
              <a:graphicData uri="http://schemas.openxmlformats.org/drawingml/2006/picture">
                <pic:pic>
                  <pic:nvPicPr>
                    <pic:cNvPr descr="figures/fig_sim_grid_overview.png" id="114" name="Picture"/>
                    <pic:cNvPicPr>
                      <a:picLocks noChangeArrowheads="1" noChangeAspect="1"/>
                    </pic:cNvPicPr>
                  </pic:nvPicPr>
                  <pic:blipFill>
                    <a:blip r:embed="rId112"/>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15"/>
    <w:bookmarkStart w:id="119"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17" name="Picture"/>
            <a:graphic>
              <a:graphicData uri="http://schemas.openxmlformats.org/drawingml/2006/picture">
                <pic:pic>
                  <pic:nvPicPr>
                    <pic:cNvPr descr="figures/fig_sim_grid_diagnostics.png" id="118" name="Picture"/>
                    <pic:cNvPicPr>
                      <a:picLocks noChangeArrowheads="1" noChangeAspect="1"/>
                    </pic:cNvPicPr>
                  </pic:nvPicPr>
                  <pic:blipFill>
                    <a:blip r:embed="rId116"/>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19"/>
    <w:bookmarkStart w:id="123"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1" name="Picture"/>
            <a:graphic>
              <a:graphicData uri="http://schemas.openxmlformats.org/drawingml/2006/picture">
                <pic:pic>
                  <pic:nvPicPr>
                    <pic:cNvPr descr="figures/fig_s7_overview.png" id="122" name="Picture"/>
                    <pic:cNvPicPr>
                      <a:picLocks noChangeArrowheads="1" noChangeAspect="1"/>
                    </pic:cNvPicPr>
                  </pic:nvPicPr>
                  <pic:blipFill>
                    <a:blip r:embed="rId120"/>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3"/>
    <w:bookmarkStart w:id="127"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25" name="Picture"/>
            <a:graphic>
              <a:graphicData uri="http://schemas.openxmlformats.org/drawingml/2006/picture">
                <pic:pic>
                  <pic:nvPicPr>
                    <pic:cNvPr descr="figures/fig_s7_diagnostics.png" id="126" name="Picture"/>
                    <pic:cNvPicPr>
                      <a:picLocks noChangeArrowheads="1" noChangeAspect="1"/>
                    </pic:cNvPicPr>
                  </pic:nvPicPr>
                  <pic:blipFill>
                    <a:blip r:embed="rId124"/>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27"/>
    <w:bookmarkStart w:id="131"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29" name="Picture"/>
            <a:graphic>
              <a:graphicData uri="http://schemas.openxmlformats.org/drawingml/2006/picture">
                <pic:pic>
                  <pic:nvPicPr>
                    <pic:cNvPr descr="figures/fig_skip_weeks_sensitivity.png" id="130" name="Picture"/>
                    <pic:cNvPicPr>
                      <a:picLocks noChangeArrowheads="1" noChangeAspect="1"/>
                    </pic:cNvPicPr>
                  </pic:nvPicPr>
                  <pic:blipFill>
                    <a:blip r:embed="rId128"/>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1"/>
    <w:p>
      <w:pPr>
        <w:pStyle w:val="BodyText"/>
      </w:pPr>
      <w:r>
        <w:t xml:space="preserve">See Table 9.</w:t>
      </w:r>
    </w:p>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p>
      <w:pPr>
        <w:pStyle w:val="BodyText"/>
      </w:pPr>
      <w:r>
        <w:t xml:space="preserve">See Table 10 and Table 11.</w:t>
      </w:r>
    </w:p>
    <w:bookmarkEnd w:id="132"/>
    <w:bookmarkStart w:id="133"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3"/>
    <w:bookmarkStart w:id="134"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34"/>
    <w:bookmarkEnd w:id="135"/>
    <w:bookmarkStart w:id="141"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6"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36"/>
    <w:bookmarkStart w:id="137"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7"/>
        </w:numPr>
      </w:pPr>
      <w:r>
        <w:t xml:space="preserve">selection-induced depletion dynamics can be estimated during quiet periods using a gamma-frailty mixture model, and</w:t>
      </w:r>
    </w:p>
    <w:p>
      <w:pPr>
        <w:pStyle w:val="Compact"/>
        <w:numPr>
          <w:ilvl w:val="0"/>
          <w:numId w:val="102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37"/>
    <w:bookmarkStart w:id="138"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8"/>
    <w:bookmarkStart w:id="139"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8"/>
        </w:numPr>
      </w:pPr>
      <w:r>
        <w:t xml:space="preserve">Enrollment definition and justification</w:t>
      </w:r>
    </w:p>
    <w:p>
      <w:pPr>
        <w:pStyle w:val="Compact"/>
        <w:numPr>
          <w:ilvl w:val="0"/>
          <w:numId w:val="1028"/>
        </w:numPr>
      </w:pPr>
      <w:r>
        <w:t xml:space="preserve">Risk set definitions and event-time binning</w:t>
      </w:r>
    </w:p>
    <w:p>
      <w:pPr>
        <w:pStyle w:val="Compact"/>
        <w:numPr>
          <w:ilvl w:val="0"/>
          <w:numId w:val="1028"/>
        </w:numPr>
      </w:pPr>
      <w:r>
        <w:t xml:space="preserve">Quiet-window definition and justification</w:t>
      </w:r>
    </w:p>
    <w:p>
      <w:pPr>
        <w:pStyle w:val="Compact"/>
        <w:numPr>
          <w:ilvl w:val="0"/>
          <w:numId w:val="1028"/>
        </w:numPr>
      </w:pPr>
      <w:r>
        <w:t xml:space="preserve">Baseline-shape choice (default constant baseline over the fit window) and fit diagnostics</w:t>
      </w:r>
    </w:p>
    <w:p>
      <w:pPr>
        <w:pStyle w:val="Compact"/>
        <w:numPr>
          <w:ilvl w:val="0"/>
          <w:numId w:val="1028"/>
        </w:numPr>
      </w:pPr>
      <w:r>
        <w:t xml:space="preserve">Skip/stabilization rule and robustness to nearby values</w:t>
      </w:r>
    </w:p>
    <w:p>
      <w:pPr>
        <w:pStyle w:val="Compact"/>
        <w:numPr>
          <w:ilvl w:val="0"/>
          <w:numId w:val="1028"/>
        </w:numPr>
      </w:pPr>
      <w:r>
        <w:t xml:space="preserve">Predefined negative/positive controls used for validation</w:t>
      </w:r>
    </w:p>
    <w:p>
      <w:pPr>
        <w:pStyle w:val="Compact"/>
        <w:numPr>
          <w:ilvl w:val="0"/>
          <w:numId w:val="1028"/>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39"/>
    <w:bookmarkStart w:id="140"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0"/>
    <w:bookmarkEnd w:id="141"/>
    <w:bookmarkStart w:id="145" w:name="limitations"/>
    <w:p>
      <w:pPr>
        <w:pStyle w:val="Heading2"/>
      </w:pPr>
      <w:r>
        <w:t xml:space="preserve">5. Limitations</w:t>
      </w:r>
    </w:p>
    <w:p>
      <w:pPr>
        <w:pStyle w:val="Compact"/>
        <w:numPr>
          <w:ilvl w:val="0"/>
          <w:numId w:val="102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9"/>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9"/>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9"/>
        </w:numPr>
      </w:pPr>
      <w:r>
        <w:rPr>
          <w:b/>
          <w:bCs/>
        </w:rPr>
        <w:t xml:space="preserve">Sparse events</w:t>
      </w:r>
      <w:r>
        <w:t xml:space="preserve">: When event counts are small, hazard estimation and parameter fitting can be unstable.</w:t>
      </w:r>
    </w:p>
    <w:p>
      <w:pPr>
        <w:pStyle w:val="Compact"/>
        <w:numPr>
          <w:ilvl w:val="0"/>
          <w:numId w:val="102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2"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0"/>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0"/>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1"/>
        </w:numPr>
      </w:pPr>
      <w:r>
        <w:rPr>
          <w:b/>
          <w:bCs/>
        </w:rPr>
        <w:t xml:space="preserve">Sensitivity analyses</w:t>
      </w:r>
      <w:r>
        <w:t xml:space="preserve"> </w:t>
      </w:r>
      <w:r>
        <w:t xml:space="preserve">over plausible quiet windows and skip-weeks values.</w:t>
      </w:r>
    </w:p>
    <w:p>
      <w:pPr>
        <w:pStyle w:val="Compact"/>
        <w:numPr>
          <w:ilvl w:val="0"/>
          <w:numId w:val="1031"/>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2"/>
    <w:bookmarkStart w:id="143"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3"/>
    <w:bookmarkStart w:id="144"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4"/>
    <w:bookmarkEnd w:id="145"/>
    <w:bookmarkStart w:id="146"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6"/>
    <w:bookmarkStart w:id="157" w:name="declarations"/>
    <w:p>
      <w:pPr>
        <w:pStyle w:val="Heading2"/>
      </w:pPr>
      <w:r>
        <w:t xml:space="preserve">Declarations</w:t>
      </w:r>
    </w:p>
    <w:bookmarkStart w:id="147"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47"/>
    <w:bookmarkStart w:id="148" w:name="consent-for-publication"/>
    <w:p>
      <w:pPr>
        <w:pStyle w:val="Heading3"/>
      </w:pPr>
      <w:r>
        <w:t xml:space="preserve">Consent for publication</w:t>
      </w:r>
    </w:p>
    <w:p>
      <w:pPr>
        <w:pStyle w:val="FirstParagraph"/>
      </w:pPr>
      <w:r>
        <w:t xml:space="preserve">Not applicable.</w:t>
      </w:r>
    </w:p>
    <w:bookmarkEnd w:id="148"/>
    <w:bookmarkStart w:id="149"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2"/>
        </w:numPr>
      </w:pPr>
      <w:r>
        <w:t xml:space="preserve">The reference implementation includes example datasets in KCOR_CMR format for reproducibility.</w:t>
      </w:r>
    </w:p>
    <w:p>
      <w:pPr>
        <w:pStyle w:val="Compact"/>
        <w:numPr>
          <w:ilvl w:val="0"/>
          <w:numId w:val="103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9"/>
    <w:bookmarkStart w:id="152" w:name="code-availability"/>
    <w:p>
      <w:pPr>
        <w:pStyle w:val="Heading3"/>
      </w:pPr>
      <w:r>
        <w:t xml:space="preserve">Code availability</w:t>
      </w:r>
    </w:p>
    <w:p>
      <w:pPr>
        <w:pStyle w:val="Compact"/>
        <w:numPr>
          <w:ilvl w:val="0"/>
          <w:numId w:val="1033"/>
        </w:numPr>
      </w:pPr>
      <w:r>
        <w:t xml:space="preserve">The KCOR reference implementation and complete validation suite are available in the project repository.</w:t>
      </w:r>
    </w:p>
    <w:p>
      <w:pPr>
        <w:pStyle w:val="Compact"/>
        <w:numPr>
          <w:ilvl w:val="0"/>
          <w:numId w:val="1033"/>
        </w:numPr>
      </w:pPr>
      <w:r>
        <w:t xml:space="preserve">Repository URL:</w:t>
      </w:r>
      <w:r>
        <w:t xml:space="preserve"> </w:t>
      </w:r>
      <w:hyperlink r:id="rId150">
        <w:r>
          <w:rPr>
            <w:rStyle w:val="Hyperlink"/>
          </w:rPr>
          <w:t xml:space="preserve">https://github.com/skirsch/KCOR</w:t>
        </w:r>
      </w:hyperlink>
    </w:p>
    <w:p>
      <w:pPr>
        <w:pStyle w:val="Compact"/>
        <w:numPr>
          <w:ilvl w:val="0"/>
          <w:numId w:val="1033"/>
        </w:numPr>
      </w:pPr>
      <w:r>
        <w:t xml:space="preserve">Zenodo DOI:</w:t>
      </w:r>
      <w:r>
        <w:t xml:space="preserve"> </w:t>
      </w:r>
      <w:hyperlink r:id="rId151">
        <w:r>
          <w:rPr>
            <w:rStyle w:val="Hyperlink"/>
          </w:rPr>
          <w:t xml:space="preserve">10.5281/zenodo.18050329</w:t>
        </w:r>
      </w:hyperlink>
    </w:p>
    <w:p>
      <w:pPr>
        <w:pStyle w:val="Compact"/>
        <w:numPr>
          <w:ilvl w:val="0"/>
          <w:numId w:val="1033"/>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2"/>
    <w:bookmarkStart w:id="153" w:name="competing-interests"/>
    <w:p>
      <w:pPr>
        <w:pStyle w:val="Heading3"/>
      </w:pPr>
      <w:r>
        <w:t xml:space="preserve">Competing interests</w:t>
      </w:r>
    </w:p>
    <w:p>
      <w:pPr>
        <w:pStyle w:val="FirstParagraph"/>
      </w:pPr>
      <w:r>
        <w:t xml:space="preserve">The author is a board member of the Vaccine Safety Research Foundation.</w:t>
      </w:r>
    </w:p>
    <w:bookmarkEnd w:id="153"/>
    <w:bookmarkStart w:id="154" w:name="funding"/>
    <w:p>
      <w:pPr>
        <w:pStyle w:val="Heading3"/>
      </w:pPr>
      <w:r>
        <w:t xml:space="preserve">Funding</w:t>
      </w:r>
    </w:p>
    <w:p>
      <w:pPr>
        <w:pStyle w:val="FirstParagraph"/>
      </w:pPr>
      <w:r>
        <w:t xml:space="preserve">This research received no external funding.</w:t>
      </w:r>
    </w:p>
    <w:bookmarkEnd w:id="154"/>
    <w:bookmarkStart w:id="155"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5"/>
    <w:bookmarkStart w:id="156"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56"/>
    <w:bookmarkEnd w:id="157"/>
    <w:bookmarkStart w:id="182" w:name="references"/>
    <w:p>
      <w:pPr>
        <w:pStyle w:val="Heading2"/>
      </w:pPr>
      <w:r>
        <w:t xml:space="preserve">References</w:t>
      </w:r>
    </w:p>
    <w:bookmarkStart w:id="181" w:name="refs"/>
    <w:bookmarkStart w:id="159"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8">
        <w:r>
          <w:rPr>
            <w:rStyle w:val="Hyperlink"/>
          </w:rPr>
          <w:t xml:space="preserve">10.2307/2061224</w:t>
        </w:r>
      </w:hyperlink>
    </w:p>
    <w:bookmarkEnd w:id="159"/>
    <w:bookmarkStart w:id="161"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0">
        <w:r>
          <w:rPr>
            <w:rStyle w:val="Hyperlink"/>
          </w:rPr>
          <w:t xml:space="preserve">10.2147/CLEP.S468572</w:t>
        </w:r>
      </w:hyperlink>
    </w:p>
    <w:bookmarkEnd w:id="161"/>
    <w:bookmarkStart w:id="163"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2">
        <w:r>
          <w:rPr>
            <w:rStyle w:val="Hyperlink"/>
          </w:rPr>
          <w:t xml:space="preserve">10.7554/eLife.103690</w:t>
        </w:r>
      </w:hyperlink>
    </w:p>
    <w:bookmarkEnd w:id="163"/>
    <w:bookmarkStart w:id="165"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64">
        <w:r>
          <w:rPr>
            <w:rStyle w:val="Hyperlink"/>
          </w:rPr>
          <w:t xml:space="preserve">10.1093/biomet/81.3.515</w:t>
        </w:r>
      </w:hyperlink>
    </w:p>
    <w:bookmarkEnd w:id="165"/>
    <w:bookmarkStart w:id="167"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66">
        <w:r>
          <w:rPr>
            <w:rStyle w:val="Hyperlink"/>
          </w:rPr>
          <w:t xml:space="preserve">10.1214/aos/1176345976</w:t>
        </w:r>
      </w:hyperlink>
    </w:p>
    <w:bookmarkEnd w:id="167"/>
    <w:bookmarkStart w:id="169"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68">
        <w:r>
          <w:rPr>
            <w:rStyle w:val="Hyperlink"/>
          </w:rPr>
          <w:t xml:space="preserve">10.1002/sim.1203</w:t>
        </w:r>
      </w:hyperlink>
    </w:p>
    <w:bookmarkEnd w:id="169"/>
    <w:bookmarkStart w:id="171"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0">
        <w:r>
          <w:rPr>
            <w:rStyle w:val="Hyperlink"/>
          </w:rPr>
          <w:t xml:space="preserve">10.1002/sim.4780080803</w:t>
        </w:r>
      </w:hyperlink>
    </w:p>
    <w:bookmarkEnd w:id="171"/>
    <w:bookmarkStart w:id="173"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2">
        <w:r>
          <w:rPr>
            <w:rStyle w:val="Hyperlink"/>
          </w:rPr>
          <w:t xml:space="preserve">10.1093/biomet/81.1.61</w:t>
        </w:r>
      </w:hyperlink>
    </w:p>
    <w:bookmarkEnd w:id="173"/>
    <w:bookmarkStart w:id="175"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74">
        <w:r>
          <w:rPr>
            <w:rStyle w:val="Hyperlink"/>
          </w:rPr>
          <w:t xml:space="preserve">10.1111/j.1467-9469.2006.00529.x</w:t>
        </w:r>
      </w:hyperlink>
    </w:p>
    <w:bookmarkEnd w:id="175"/>
    <w:bookmarkStart w:id="177"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76">
        <w:r>
          <w:rPr>
            <w:rStyle w:val="Hyperlink"/>
          </w:rPr>
          <w:t xml:space="preserve">10.1097/00001648-200009000-00011</w:t>
        </w:r>
      </w:hyperlink>
    </w:p>
    <w:bookmarkEnd w:id="177"/>
    <w:bookmarkStart w:id="179"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78">
        <w:r>
          <w:rPr>
            <w:rStyle w:val="Hyperlink"/>
          </w:rPr>
          <w:t xml:space="preserve">10.1093/aje/kwn164</w:t>
        </w:r>
      </w:hyperlink>
    </w:p>
    <w:bookmarkEnd w:id="179"/>
    <w:bookmarkStart w:id="180"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0"/>
    <w:bookmarkEnd w:id="181"/>
    <w:bookmarkEnd w:id="182"/>
    <w:bookmarkStart w:id="196" w:name="tables"/>
    <w:p>
      <w:pPr>
        <w:pStyle w:val="Heading2"/>
      </w:pPr>
      <w:r>
        <w:t xml:space="preserve">Tables</w:t>
      </w:r>
    </w:p>
    <w:bookmarkStart w:id="183"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w:t>
            </w:r>
            <w:r>
              <w:t xml:space="preserve"> </w:t>
            </w:r>
            <w:r>
              <w:t xml:space="preserve">“negative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83"/>
    <w:p/>
    <w:bookmarkStart w:id="184"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4"/>
    <w:p/>
    <w:bookmarkStart w:id="185"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185"/>
    <w:p/>
    <w:bookmarkStart w:id="186"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186"/>
    <w:p/>
    <w:bookmarkStart w:id="187"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187"/>
    <w:p/>
    <w:bookmarkStart w:id="188"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188"/>
    <w:p/>
    <w:bookmarkStart w:id="189"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89"/>
    <w:p/>
    <w:bookmarkStart w:id="190"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90"/>
    <w:p/>
    <w:bookmarkStart w:id="191"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91"/>
    <w:p/>
    <w:bookmarkStart w:id="192"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92"/>
    <w:p/>
    <w:bookmarkStart w:id="193"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93"/>
    <w:p/>
    <w:bookmarkStart w:id="194" w:name="tbl:frailty_diagnostics"/>
    <w:p>
      <w:pPr>
        <w:pStyle w:val="TableCaption"/>
      </w:pPr>
      <w:r>
        <w:t xml:space="preserve">Table 12.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2.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194"/>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14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195" w:name="tbl:czech_diagnostic_gate"/>
    <w:p>
      <w:pPr>
        <w:pStyle w:val="TableCaption"/>
      </w:pPr>
      <w:r>
        <w:t xml:space="preserve">Table 13.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3.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195"/>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63" Target="media/rId63.png" /><Relationship Type="http://schemas.openxmlformats.org/officeDocument/2006/relationships/image" Id="rId84" Target="media/rId84.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12" Target="media/rId112.png" /><Relationship Type="http://schemas.openxmlformats.org/officeDocument/2006/relationships/image" Id="rId128" Target="media/rId128.png" /><Relationship Type="http://schemas.openxmlformats.org/officeDocument/2006/relationships/hyperlink" Id="rId168" Target="https://doi.org/10.1002/sim.1203" TargetMode="External" /><Relationship Type="http://schemas.openxmlformats.org/officeDocument/2006/relationships/hyperlink" Id="rId170" Target="https://doi.org/10.1002/sim.4780080803" TargetMode="External" /><Relationship Type="http://schemas.openxmlformats.org/officeDocument/2006/relationships/hyperlink" Id="rId178" Target="https://doi.org/10.1093/aje/kwn164" TargetMode="External" /><Relationship Type="http://schemas.openxmlformats.org/officeDocument/2006/relationships/hyperlink" Id="rId172" Target="https://doi.org/10.1093/biomet/81.1.61" TargetMode="External" /><Relationship Type="http://schemas.openxmlformats.org/officeDocument/2006/relationships/hyperlink" Id="rId164" Target="https://doi.org/10.1093/biomet/81.3.515" TargetMode="External" /><Relationship Type="http://schemas.openxmlformats.org/officeDocument/2006/relationships/hyperlink" Id="rId176" Target="https://doi.org/10.1097/00001648-200009000-00011" TargetMode="External" /><Relationship Type="http://schemas.openxmlformats.org/officeDocument/2006/relationships/hyperlink" Id="rId174" Target="https://doi.org/10.1111/j.1467-9469.2006.00529.x" TargetMode="External" /><Relationship Type="http://schemas.openxmlformats.org/officeDocument/2006/relationships/hyperlink" Id="rId166" Target="https://doi.org/10.1214/aos/1176345976" TargetMode="External" /><Relationship Type="http://schemas.openxmlformats.org/officeDocument/2006/relationships/hyperlink" Id="rId160" Target="https://doi.org/10.2147/CLEP.S468572" TargetMode="External" /><Relationship Type="http://schemas.openxmlformats.org/officeDocument/2006/relationships/hyperlink" Id="rId158" Target="https://doi.org/10.2307/2061224" TargetMode="External" /><Relationship Type="http://schemas.openxmlformats.org/officeDocument/2006/relationships/hyperlink" Id="rId151" Target="https://doi.org/10.5281/zenodo.18050329" TargetMode="External" /><Relationship Type="http://schemas.openxmlformats.org/officeDocument/2006/relationships/hyperlink" Id="rId162" Target="https://doi.org/10.7554/eLife.103690" TargetMode="External" /><Relationship Type="http://schemas.openxmlformats.org/officeDocument/2006/relationships/hyperlink" Id="rId150"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8" Target="https://doi.org/10.1002/sim.1203" TargetMode="External" /><Relationship Type="http://schemas.openxmlformats.org/officeDocument/2006/relationships/hyperlink" Id="rId170" Target="https://doi.org/10.1002/sim.4780080803" TargetMode="External" /><Relationship Type="http://schemas.openxmlformats.org/officeDocument/2006/relationships/hyperlink" Id="rId178" Target="https://doi.org/10.1093/aje/kwn164" TargetMode="External" /><Relationship Type="http://schemas.openxmlformats.org/officeDocument/2006/relationships/hyperlink" Id="rId172" Target="https://doi.org/10.1093/biomet/81.1.61" TargetMode="External" /><Relationship Type="http://schemas.openxmlformats.org/officeDocument/2006/relationships/hyperlink" Id="rId164" Target="https://doi.org/10.1093/biomet/81.3.515" TargetMode="External" /><Relationship Type="http://schemas.openxmlformats.org/officeDocument/2006/relationships/hyperlink" Id="rId176" Target="https://doi.org/10.1097/00001648-200009000-00011" TargetMode="External" /><Relationship Type="http://schemas.openxmlformats.org/officeDocument/2006/relationships/hyperlink" Id="rId174" Target="https://doi.org/10.1111/j.1467-9469.2006.00529.x" TargetMode="External" /><Relationship Type="http://schemas.openxmlformats.org/officeDocument/2006/relationships/hyperlink" Id="rId166" Target="https://doi.org/10.1214/aos/1176345976" TargetMode="External" /><Relationship Type="http://schemas.openxmlformats.org/officeDocument/2006/relationships/hyperlink" Id="rId160" Target="https://doi.org/10.2147/CLEP.S468572" TargetMode="External" /><Relationship Type="http://schemas.openxmlformats.org/officeDocument/2006/relationships/hyperlink" Id="rId158" Target="https://doi.org/10.2307/2061224" TargetMode="External" /><Relationship Type="http://schemas.openxmlformats.org/officeDocument/2006/relationships/hyperlink" Id="rId151" Target="https://doi.org/10.5281/zenodo.18050329" TargetMode="External" /><Relationship Type="http://schemas.openxmlformats.org/officeDocument/2006/relationships/hyperlink" Id="rId162" Target="https://doi.org/10.7554/eLife.103690" TargetMode="External" /><Relationship Type="http://schemas.openxmlformats.org/officeDocument/2006/relationships/hyperlink" Id="rId150"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2026-01-07T21:12:11Z</dcterms:created>
  <dcterms:modified xsi:type="dcterms:W3CDTF">2026-01-07T21:12:11Z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supp</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