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supp"/>
    <w:bookmarkStart w:id="64"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15" w:name="appendix-a.-mathematical-derivations"/>
    <w:p>
      <w:pPr>
        <w:pStyle w:val="Heading3"/>
      </w:pPr>
      <w:r>
        <w:t xml:space="preserve">Appendix A. Mathematical derivations</w:t>
      </w:r>
    </w:p>
    <w:bookmarkStart w:id="9"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9"/>
    <w:bookmarkStart w:id="1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0"/>
    <w:bookmarkStart w:id="11"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1"/>
    <w:bookmarkStart w:id="1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2"/>
    <w:bookmarkStart w:id="13"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3"/>
    <w:bookmarkStart w:id="14"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4"/>
    <w:bookmarkEnd w:id="15"/>
    <w:bookmarkStart w:id="28" w:name="appendix-b.-control-test-specifications"/>
    <w:p>
      <w:pPr>
        <w:pStyle w:val="Heading3"/>
      </w:pPr>
      <w:r>
        <w:t xml:space="preserve">Appendix B. Control-test specifications</w:t>
      </w:r>
    </w:p>
    <w:bookmarkStart w:id="16"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6"/>
    <w:bookmarkStart w:id="17"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
    <w:bookmarkStart w:id="18"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8"/>
    <w:bookmarkStart w:id="19"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2022-24</w:t>
      </w:r>
    </w:p>
    <w:p>
      <w:pPr>
        <w:pStyle w:val="Compact"/>
        <w:numPr>
          <w:ilvl w:val="0"/>
          <w:numId w:val="1006"/>
        </w:numPr>
      </w:pPr>
      <w:r>
        <w:rPr>
          <w:b/>
          <w:bCs/>
        </w:rPr>
        <w:t xml:space="preserve">Quiet-window end</w:t>
      </w:r>
      <w:r>
        <w:t xml:space="preserve">: Fixed at 2024-16</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19"/>
    <w:bookmarkStart w:id="2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20"/>
    <w:bookmarkStart w:id="2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1"/>
    <w:bookmarkStart w:id="22"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2"/>
    <w:bookmarkStart w:id="2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3"/>
    <w:bookmarkStart w:id="2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4"/>
    <w:bookmarkStart w:id="2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5"/>
    <w:bookmarkStart w:id="2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6"/>
    <w:bookmarkEnd w:id="27"/>
    <w:bookmarkEnd w:id="28"/>
    <w:bookmarkStart w:id="46" w:name="X3fb27f9d14d988b0afc4c757bd6d2a45d2ae0b5"/>
    <w:p>
      <w:pPr>
        <w:pStyle w:val="Heading3"/>
      </w:pPr>
      <w:r>
        <w:t xml:space="preserve">Appendix C. Additional figures and diagnostics</w:t>
      </w:r>
    </w:p>
    <w:bookmarkStart w:id="2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9"/>
    <w:bookmarkStart w:id="3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30"/>
    <w:bookmarkStart w:id="3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31"/>
    <w:bookmarkStart w:id="3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32"/>
    <w:bookmarkStart w:id="45" w:name="c.5-robustness-to-age-stratification"/>
    <w:p>
      <w:pPr>
        <w:pStyle w:val="Heading4"/>
      </w:pPr>
      <w:r>
        <w:t xml:space="preserve">C.5 Robustness to age stratification</w:t>
      </w:r>
    </w:p>
    <w:bookmarkStart w:id="36"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4" name="Picture"/>
            <a:graphic>
              <a:graphicData uri="http://schemas.openxmlformats.org/drawingml/2006/picture">
                <pic:pic>
                  <pic:nvPicPr>
                    <pic:cNvPr descr="figures/supplement/kcor_realdata_yob1930_enroll2022w26_eval2023.png" id="35" name="Picture"/>
                    <pic:cNvPicPr>
                      <a:picLocks noChangeArrowheads="1" noChangeAspect="1"/>
                    </pic:cNvPicPr>
                  </pic:nvPicPr>
                  <pic:blipFill>
                    <a:blip r:embed="rId3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36"/>
    <w:bookmarkStart w:id="40"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8" name="Picture"/>
            <a:graphic>
              <a:graphicData uri="http://schemas.openxmlformats.org/drawingml/2006/picture">
                <pic:pic>
                  <pic:nvPicPr>
                    <pic:cNvPr descr="figures/supplement/kcor_realdata_yob1940_enroll2022w26_eval2023.png" id="39" name="Picture"/>
                    <pic:cNvPicPr>
                      <a:picLocks noChangeArrowheads="1" noChangeAspect="1"/>
                    </pic:cNvPicPr>
                  </pic:nvPicPr>
                  <pic:blipFill>
                    <a:blip r:embed="rId3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0"/>
    <w:bookmarkStart w:id="44"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42" name="Picture"/>
            <a:graphic>
              <a:graphicData uri="http://schemas.openxmlformats.org/drawingml/2006/picture">
                <pic:pic>
                  <pic:nvPicPr>
                    <pic:cNvPr descr="figures/supplement/kcor_realdata_yob1950_enroll2022w26_eval2023.png" id="43" name="Picture"/>
                    <pic:cNvPicPr>
                      <a:picLocks noChangeArrowheads="1" noChangeAspect="1"/>
                    </pic:cNvPicPr>
                  </pic:nvPicPr>
                  <pic:blipFill>
                    <a:blip r:embed="rId41"/>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4"/>
    <w:bookmarkEnd w:id="45"/>
    <w:bookmarkEnd w:id="46"/>
    <w:bookmarkStart w:id="54"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47"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47"/>
    <w:bookmarkStart w:id="48"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See Table 12 and Table 13.</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see Table 14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48"/>
    <w:bookmarkStart w:id="53"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52"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50" name="Picture"/>
            <a:graphic>
              <a:graphicData uri="http://schemas.openxmlformats.org/drawingml/2006/picture">
                <pic:pic>
                  <pic:nvPicPr>
                    <pic:cNvPr descr="figures/kcor_realdata_allages_enroll2022w26_eval2023.png" id="51" name="Picture"/>
                    <pic:cNvPicPr>
                      <a:picLocks noChangeArrowheads="1" noChangeAspect="1"/>
                    </pic:cNvPicPr>
                  </pic:nvPicPr>
                  <pic:blipFill>
                    <a:blip r:embed="rId49"/>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52"/>
    <w:bookmarkEnd w:id="53"/>
    <w:bookmarkEnd w:id="54"/>
    <w:bookmarkStart w:id="63"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55"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55"/>
    <w:bookmarkStart w:id="56"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56"/>
    <w:bookmarkStart w:id="57"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57"/>
    <w:bookmarkStart w:id="58"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58"/>
    <w:bookmarkStart w:id="59"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59"/>
    <w:bookmarkStart w:id="60"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60"/>
    <w:bookmarkStart w:id="61"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61"/>
    <w:bookmarkStart w:id="62"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62"/>
    <w:bookmarkEnd w:id="63"/>
    <w:bookmarkEnd w:id="64"/>
    <w:bookmarkStart w:id="66" w:name="supplementary-tables"/>
    <w:p>
      <w:pPr>
        <w:pStyle w:val="Heading2"/>
      </w:pPr>
      <w:r>
        <w:t xml:space="preserve">Supplementary Tables</w:t>
      </w:r>
    </w:p>
    <w:bookmarkStart w:id="65"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65"/>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2026-01-07T21:12:12Z</dcterms:created>
  <dcterms:modified xsi:type="dcterms:W3CDTF">2026-01-07T21:12:12Z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