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0.png" ContentType="image/png"/>
  <Override PartName="/word/media/rId94.png" ContentType="image/png"/>
  <Override PartName="/word/media/rId71.png" ContentType="image/png"/>
  <Override PartName="/word/media/rId75.png" ContentType="image/png"/>
  <Override PartName="/word/media/rId65.png" ContentType="image/png"/>
  <Override PartName="/word/media/rId84.png" ContentType="image/png"/>
  <Override PartName="/word/media/rId102.png" ContentType="image/png"/>
  <Override PartName="/word/media/rId125.png" ContentType="image/png"/>
  <Override PartName="/word/media/rId121.png" ContentType="image/png"/>
  <Override PartName="/word/media/rId108.png" ContentType="image/png"/>
  <Override PartName="/word/media/rId117.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7"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21"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9"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8"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1.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19"/>
    <w:bookmarkStart w:id="20"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r>
        <w:pict>
          <v:rect style="width:0;height:1.5pt" o:hralign="center" o:hrstd="t" o:hr="t"/>
        </w:pict>
      </w:r>
    </w:p>
    <w:p>
      <w:pPr>
        <w:pStyle w:val="FirstParagraph"/>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p>
      <w:r>
        <w:pict>
          <v:rect style="width:0;height:1.5pt" o:hralign="center" o:hrstd="t" o:hr="t"/>
        </w:pict>
      </w:r>
    </w:p>
    <w:bookmarkEnd w:id="20"/>
    <w:bookmarkEnd w:id="21"/>
    <w:bookmarkStart w:id="82" w:name="methods"/>
    <w:p>
      <w:pPr>
        <w:pStyle w:val="Heading2"/>
      </w:pPr>
      <w:r>
        <w:t xml:space="preserve">2. Methods</w:t>
      </w:r>
    </w:p>
    <w:p>
      <w:pPr>
        <w:pStyle w:val="FirstParagraph"/>
      </w:pPr>
      <w:r>
        <w:t xml:space="preserve">Table tbl. 3 defines the notation used throughout this section.</w:t>
      </w:r>
    </w:p>
    <w:bookmarkStart w:id="22"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2"/>
    <w:p>
      <w:pPr>
        <w:pStyle w:val="BodyText"/>
      </w:pPr>
      <w:r>
        <w:t xml:space="preserve">For COVID-19 vaccination analyses, intervention count corresponds to the number of vaccine doses received; more generally, this can index any discrete exposure level.</w:t>
      </w:r>
    </w:p>
    <w:bookmarkStart w:id="29"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3"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bookmarkEnd w:id="23"/>
    <w:bookmarkStart w:id="24"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limits the scope of inference but does not invalidate the KCOR estimator itself. Formal diagnostics underlying these checks, including frailty-parameter coherence and stability, are detailed in Appendix D.</w:t>
      </w:r>
    </w:p>
    <w:bookmarkEnd w:id="24"/>
    <w:bookmarkStart w:id="25"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5"/>
    <w:bookmarkStart w:id="26"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6"/>
    <w:bookmarkStart w:id="27"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7"/>
    <w:bookmarkStart w:id="28"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28"/>
    <w:bookmarkEnd w:id="29"/>
    <w:bookmarkStart w:id="3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0"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0"/>
    <w:bookmarkEnd w:id="31"/>
    <w:bookmarkStart w:id="35"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3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3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3"/>
    </w:p>
    <w:bookmarkStart w:id="34"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4"/>
    <w:bookmarkEnd w:id="35"/>
    <w:bookmarkStart w:id="48" w:name="Xe033a348c5bd6b05b57c8d9f7299f5850ccd667"/>
    <w:p>
      <w:pPr>
        <w:pStyle w:val="Heading3"/>
      </w:pPr>
      <w:r>
        <w:t xml:space="preserve">2.4 Selection model: gamma frailty and the cumulative-hazard identity</w:t>
      </w:r>
    </w:p>
    <w:bookmarkStart w:id="37"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6"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6"/>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7"/>
    <w:bookmarkStart w:id="45"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8"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8"/>
    </w:p>
    <w:p>
      <w:pPr>
        <w:pStyle w:val="FirstParagraph"/>
      </w:pPr>
      <w:r>
        <w:t xml:space="preserve">Integrating over gamma frailty yields a closed-form relationship between the observed cohort cumulative hazard and the baseline cumulative hazard:</w:t>
      </w:r>
    </w:p>
    <w:p>
      <w:pPr>
        <w:pStyle w:val="BodyText"/>
      </w:pPr>
      <w:bookmarkStart w:id="39"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9"/>
    </w:p>
    <w:p>
      <w:pPr>
        <w:pStyle w:val="FirstParagraph"/>
      </w:pPr>
      <w:r>
        <w:t xml:space="preserve">This identity can be inverted exactly:</w:t>
      </w:r>
    </w:p>
    <w:p>
      <w:pPr>
        <w:pStyle w:val="BodyText"/>
      </w:pPr>
      <w:bookmarkStart w:id="40"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40"/>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44"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42" name="Picture"/>
            <a:graphic>
              <a:graphicData uri="http://schemas.openxmlformats.org/drawingml/2006/picture">
                <pic:pic>
                  <pic:nvPicPr>
                    <pic:cNvPr descr="figures/fig1_kcor_v6_schematic.png" id="43" name="Picture"/>
                    <pic:cNvPicPr>
                      <a:picLocks noChangeArrowheads="1" noChangeAspect="1"/>
                    </pic:cNvPicPr>
                  </pic:nvPicPr>
                  <pic:blipFill>
                    <a:blip r:embed="rId41"/>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4"/>
    <w:bookmarkEnd w:id="45"/>
    <w:bookmarkStart w:id="47"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6"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6"/>
    </w:p>
    <w:p>
      <w:pPr>
        <w:pStyle w:val="FirstParagraph"/>
      </w:pPr>
      <w:r>
        <w:t xml:space="preserve">This choice minimizes degrees of freedom and forces curvature during quiet periods to be explained by selection (frailty) rather than by an explicit time-varying baseline.</w:t>
      </w:r>
    </w:p>
    <w:bookmarkEnd w:id="47"/>
    <w:bookmarkEnd w:id="48"/>
    <w:bookmarkStart w:id="5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9"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9"/>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50"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50"/>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51"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51"/>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2"/>
    <w:bookmarkEnd w:id="53"/>
    <w:bookmarkStart w:id="58"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4"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4"/>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55"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5"/>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6"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6"/>
    <w:bookmarkStart w:id="57"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7"/>
    <w:bookmarkEnd w:id="58"/>
    <w:bookmarkStart w:id="60"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9"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9"/>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60"/>
    <w:bookmarkStart w:id="62"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61"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61"/>
    </w:p>
    <w:p>
      <w:pPr>
        <w:pStyle w:val="FirstParagraph"/>
      </w:pPr>
      <w:r>
        <w:t xml:space="preserve">This is a cumulative comparison in hazard space after removing cohort-specific selection-induced depletion dynamics estimated during quiet periods.</w:t>
      </w:r>
    </w:p>
    <w:bookmarkEnd w:id="62"/>
    <w:bookmarkStart w:id="63"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3"/>
    <w:bookmarkStart w:id="69"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64"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4"/>
    <w:p>
      <w:r>
        <w:pict>
          <v:rect style="width:0;height:1.5pt" o:hralign="center" o:hrstd="t" o:hr="t"/>
        </w:pict>
      </w:r>
    </w:p>
    <w:bookmarkStart w:id="68"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6" name="Picture"/>
            <a:graphic>
              <a:graphicData uri="http://schemas.openxmlformats.org/drawingml/2006/picture">
                <pic:pic>
                  <pic:nvPicPr>
                    <pic:cNvPr descr="figures/fig_kcor_workflow.png" id="67" name="Picture"/>
                    <pic:cNvPicPr>
                      <a:picLocks noChangeArrowheads="1" noChangeAspect="1"/>
                    </pic:cNvPicPr>
                  </pic:nvPicPr>
                  <pic:blipFill>
                    <a:blip r:embed="rId65"/>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8"/>
    <w:bookmarkEnd w:id="69"/>
    <w:bookmarkStart w:id="81"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Start w:id="79" w:name="X3af45993d90b0829bcc5fa36f447ebd1f6c3bc8"/>
    <w:p>
      <w:pPr>
        <w:pStyle w:val="Heading4"/>
      </w:pPr>
      <w:r>
        <w:t xml:space="preserve">2.11.1 Demonstration: Cox bias under frailty heterogeneity with no treatment effect</w:t>
      </w:r>
    </w:p>
    <w:p>
      <w:pPr>
        <w:pStyle w:val="FirstParagraph"/>
      </w:pPr>
      <w:r>
        <w:t xml:space="preserve">To illustrate the behavior of Cox proportional hazards regression in the presence of selection-induced depletion, we conducted a controlled synthetic experiment in which the</w:t>
      </w:r>
      <w:r>
        <w:t xml:space="preserve"> </w:t>
      </w:r>
      <w:r>
        <w:rPr>
          <w:b/>
          <w:bCs/>
        </w:rPr>
        <w:t xml:space="preserve">true causal effect is known to be zero by construction</w:t>
      </w:r>
      <w:r>
        <w:t xml:space="preserve">. This demonstration isolates the effect of latent frailty heterogeneity on standard Cox estimates and contrasts it with KCOR under identical conditions.</w:t>
      </w:r>
    </w:p>
    <w:p>
      <w:pPr>
        <w:pStyle w:val="BodyText"/>
      </w:pPr>
      <w:r>
        <w:rPr>
          <w:b/>
          <w:bCs/>
        </w:rPr>
        <w:t xml:space="preserve">Data-generating process.</w:t>
      </w:r>
    </w:p>
    <w:p>
      <w:pPr>
        <w:pStyle w:val="BodyText"/>
      </w:pPr>
      <w:r>
        <w:t xml:space="preserve">We simulated two cohorts of equal size exposed to the same baseline hazard function over time. Individual event times were generated from a shared baseline hazard</w:t>
      </w:r>
      <w:r>
        <w:t xml:space="preserve"> </w:t>
      </w:r>
      <m:oMath>
        <m:sSub>
          <m:e>
            <m:r>
              <m:t>h</m:t>
            </m:r>
          </m:e>
          <m:sub>
            <m:r>
              <m:t>0</m:t>
            </m:r>
          </m:sub>
        </m:sSub>
        <m:r>
          <m:rPr>
            <m:sty m:val="p"/>
          </m:rPr>
          <m:t>(</m:t>
        </m:r>
        <m:r>
          <m:t>t</m:t>
        </m:r>
        <m:r>
          <m:rPr>
            <m:sty m:val="p"/>
          </m:rPr>
          <m:t>)</m:t>
        </m:r>
      </m:oMath>
      <w:r>
        <w:t xml:space="preserve">, optionally Gompertz or constant, multiplied by an individual-specific frailty term</w:t>
      </w:r>
      <w:r>
        <w:t xml:space="preserve"> </w:t>
      </w:r>
      <m:oMath>
        <m:r>
          <m:t>z</m:t>
        </m:r>
      </m:oMath>
      <w:r>
        <w:t xml:space="preserve">, where</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regression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were included.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w:t>
      </w:r>
      <w:r>
        <w:t xml:space="preserve"> </w:t>
      </w:r>
      <m:oMath>
        <m:acc>
          <m:accPr>
            <m:chr m:val="̂"/>
          </m:accPr>
          <m:e>
            <m:r>
              <m:t>H</m:t>
            </m:r>
          </m:e>
        </m:acc>
        <m:r>
          <m:rPr>
            <m:sty m:val="p"/>
          </m:rPr>
          <m:t>(</m:t>
        </m:r>
        <m:r>
          <m:t>t</m:t>
        </m:r>
        <m:r>
          <m:rPr>
            <m:sty m:val="p"/>
          </m:rPr>
          <m:t>)</m:t>
        </m:r>
      </m:oMath>
      <w:r>
        <w:t xml:space="preserve"> </w:t>
      </w:r>
      <w:r>
        <w:t xml:space="preserve">were estimated nonparametrically using the Nelson–Aalen estimator, then mapped to depletion-neutralized baseline cumulative hazards via the gamma-frailty inversion prior to computing KCOR(t). Although the data-generating process specifies individual hazards, cumulative hazards were estimated from simulated event-time data using Nelson–Aalen to mirror the information available to analysts in observational registry studies, rather than exploiting simulator-only knowledge. Frailty parameters were estimated during a prespecified quiet window, followed by cumulative-hazard normalization and computation of KCOR(t).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despite the absence of any causal effect.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even when no treatment effect exists, while KCOR correctly returns a null result under the same conditions.</w:t>
      </w:r>
    </w:p>
    <w:bookmarkStart w:id="70" w:name="tbl:cox_bias_demo"/>
    <w:p>
      <w:pPr>
        <w:pStyle w:val="TableCaption"/>
      </w:pPr>
      <w:r>
        <w:t xml:space="preserve">Table 5: Cox vs KCOR under a synthetic null with increasing frailty heterogeneity. Two cohorts are simulated with identical baseline hazards and no treatment effect;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5: Cox vs KCOR under a synthetic null with increasing frailty heterogeneity. Two cohorts are simulated with identical baseline hazards and no treatment effect; cohorts differ only in gamma frailty variance (\theta). Despite the true hazard ratio being 1 by construction, Cox regression produces increasingly non-null hazard ratios as \theta increases, reflecting depletion-induced non-proportional hazards. KCOR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0"/>
    <w:bookmarkStart w:id="74"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2" name="Picture"/>
            <a:graphic>
              <a:graphicData uri="http://schemas.openxmlformats.org/drawingml/2006/picture">
                <pic:pic>
                  <pic:nvPicPr>
                    <pic:cNvPr descr="figures/fig_cox_bias_hr_vs_theta.png" id="73" name="Picture"/>
                    <pic:cNvPicPr>
                      <a:picLocks noChangeArrowheads="1" noChangeAspect="1"/>
                    </pic:cNvPicPr>
                  </pic:nvPicPr>
                  <pic:blipFill>
                    <a:blip r:embed="rId71"/>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4"/>
    <w:bookmarkStart w:id="78" w:name="fig:cox_bias_kcor"/>
    <w:p>
      <w:pPr>
        <w:pStyle w:val="CaptionedFigure"/>
      </w:pPr>
      <w:r>
        <w:drawing>
          <wp:inline>
            <wp:extent cx="5334000" cy="3975680"/>
            <wp:effectExtent b="0" l="0" r="0" t="0"/>
            <wp:docPr descr="Figure 4: KCOR remains null under a synthetic null across increasing frailty heterogeneity. KCOR asymptotes remain near 1 across \theta in the same simulations, consistent with correct null behavior after depletion normalization." title="" id="76" name="Picture"/>
            <a:graphic>
              <a:graphicData uri="http://schemas.openxmlformats.org/drawingml/2006/picture">
                <pic:pic>
                  <pic:nvPicPr>
                    <pic:cNvPr descr="figures/fig_cox_bias_kcor_vs_theta.png" id="77" name="Picture"/>
                    <pic:cNvPicPr>
                      <a:picLocks noChangeArrowheads="1" noChangeAspect="1"/>
                    </pic:cNvPicPr>
                  </pic:nvPicPr>
                  <pic:blipFill>
                    <a:blip r:embed="rId75"/>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 remains null under a synthetic null across increasing frailty heterogeneity. KCOR asymptotes remain near 1 across</w:t>
      </w:r>
      <w:r>
        <w:t xml:space="preserve"> </w:t>
      </w:r>
      <m:oMath>
        <m:r>
          <m:t>θ</m:t>
        </m:r>
      </m:oMath>
      <w:r>
        <w:t xml:space="preserve"> </w:t>
      </w:r>
      <w:r>
        <w:t xml:space="preserve">in the same simulations, consistent with correct null behavior after depletion normalization.</w:t>
      </w:r>
    </w:p>
    <w:bookmarkEnd w:id="78"/>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bookmarkEnd w:id="79"/>
    <w:bookmarkStart w:id="80"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0"/>
    <w:bookmarkEnd w:id="81"/>
    <w:bookmarkEnd w:id="82"/>
    <w:bookmarkStart w:id="132"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t xml:space="preserve">Table 2. Estimated gamma-frailty variance (</w:t>
      </w:r>
      <m:oMath>
        <m:acc>
          <m:accPr>
            <m:chr m:val="̂"/>
          </m:accPr>
          <m:e>
            <m:r>
              <m:t>θ</m:t>
            </m:r>
          </m:e>
        </m:acc>
      </m:oMath>
      <w:r>
        <w:t xml:space="preserve">) by age band and vaccination status for Czech cohorts enrolled in 2021_24. {#tbl:frailty_diagnostics}</w:t>
      </w:r>
    </w:p>
    <w:p>
      <w:pPr>
        <w:pStyle w:val="BodyText"/>
      </w:pP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 The</w:t>
      </w:r>
      <w:r>
        <w:t xml:space="preserve"> </w:t>
      </w:r>
      <w:r>
        <w:t xml:space="preserve">“All ages (full population)”</w:t>
      </w:r>
      <w:r>
        <w:t xml:space="preserve"> </w:t>
      </w:r>
      <w:r>
        <w:t xml:space="preserve">row corresponds to an independent fit over the full pooled age range. The</w:t>
      </w:r>
      <w:r>
        <w:t xml:space="preserve"> </w:t>
      </w:r>
      <w:r>
        <w:t xml:space="preserve">“All ages (full population)”</w:t>
      </w:r>
      <w:r>
        <w:t xml:space="preserve"> </w:t>
      </w:r>
      <w:r>
        <w:t xml:space="preserve">row is included as a global diagnostic; Table 3 reports raw outcome contrasts for ages 40+ (YOB ≤ 1980) where event counts are stable.</w:t>
      </w:r>
    </w:p>
    <w:p>
      <w:pPr>
        <w:pStyle w:val="BodyText"/>
      </w:pPr>
      <w:r>
        <w:t xml:space="preserve">Table 2 satisfies all pre-specified KCOR sanity checks:</w:t>
      </w:r>
    </w:p>
    <w:p>
      <w:pPr>
        <w:pStyle w:val="Compact"/>
        <w:numPr>
          <w:ilvl w:val="0"/>
          <w:numId w:val="1016"/>
        </w:numPr>
      </w:pPr>
      <w:r>
        <w:rPr>
          <w:b/>
          <w:bCs/>
        </w:rPr>
        <w:t xml:space="preserve">Dose ordering:</w:t>
      </w:r>
      <w:r>
        <w:t xml:space="preserve"> </w:t>
      </w:r>
      <m:oMath>
        <m:acc>
          <m:accPr>
            <m:chr m:val="̂"/>
          </m:accPr>
          <m:e>
            <m:r>
              <m:t>θ</m:t>
            </m:r>
          </m:e>
        </m:acc>
      </m:oMath>
      <w:r>
        <w:t xml:space="preserve"> </w:t>
      </w:r>
      <w:r>
        <w:t xml:space="preserve">is large and positive for Dose 0 and collapses toward zero for Dose 2 across all age strata, consistent with strong selective uptake.</w:t>
      </w:r>
    </w:p>
    <w:p>
      <w:pPr>
        <w:pStyle w:val="Compact"/>
        <w:numPr>
          <w:ilvl w:val="0"/>
          <w:numId w:val="1016"/>
        </w:numPr>
      </w:pPr>
      <w:r>
        <w:rPr>
          <w:b/>
          <w:bCs/>
        </w:rPr>
        <w:t xml:space="preserve">Magnitude separation:</w:t>
      </w:r>
      <w:r>
        <w:t xml:space="preserve"> </w:t>
      </w:r>
      <w:r>
        <w:t xml:space="preserve">Dose 2 estimates are effectively zero relative to Dose 0, indicating near-linear cumulative hazards rather than forced curvature.</w:t>
      </w:r>
    </w:p>
    <w:p>
      <w:pPr>
        <w:pStyle w:val="Compact"/>
        <w:numPr>
          <w:ilvl w:val="0"/>
          <w:numId w:val="1016"/>
        </w:numPr>
      </w:pP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p>
    <w:p>
      <w:pPr>
        <w:pStyle w:val="Compact"/>
        <w:numPr>
          <w:ilvl w:val="0"/>
          <w:numId w:val="1016"/>
        </w:numPr>
      </w:pPr>
      <w:r>
        <w:rPr>
          <w:b/>
          <w:bCs/>
        </w:rPr>
        <w:t xml:space="preserve">Stability:</w:t>
      </w:r>
      <w:r>
        <w:t xml:space="preserve"> </w:t>
      </w:r>
      <w:r>
        <w:t xml:space="preserve">No sign reversals, boundary pathologies, or numerical instabilities are observed.</w:t>
      </w:r>
    </w:p>
    <w:p>
      <w:pPr>
        <w:pStyle w:val="Compact"/>
        <w:numPr>
          <w:ilvl w:val="0"/>
          <w:numId w:val="1016"/>
        </w:numPr>
      </w:pPr>
      <w:r>
        <w:rPr>
          <w:b/>
          <w:bCs/>
        </w:rPr>
        <w:t xml:space="preserve">Falsifiability:</w:t>
      </w:r>
      <w:r>
        <w:t xml:space="preserve"> </w:t>
      </w:r>
      <w:r>
        <w:t xml:space="preserve">Failure of any one of these checks would constitute evidence against model adequacy.</w:t>
      </w:r>
    </w:p>
    <w:p>
      <w:pPr>
        <w:pStyle w:val="Compact"/>
        <w:numPr>
          <w:ilvl w:val="0"/>
          <w:numId w:val="1016"/>
        </w:numPr>
      </w:pPr>
      <w:r>
        <w:rPr>
          <w:b/>
          <w:bCs/>
        </w:rPr>
        <w:t xml:space="preserve">Implication for raw contrasts:</w:t>
      </w:r>
      <w:r>
        <w:t xml:space="preserve"> </w:t>
      </w:r>
      <w:r>
        <w:t xml:space="preserve">Because Table 2 demonstrates substantial selection-induced heterogeneity, unadjusted cumulative outcome contrasts are expected to conflate depletion effects with any true treatment differences; Table 3 therefore reports raw cumulative hazards solely as a pre-normalization diagnostic.</w:t>
      </w:r>
    </w:p>
    <w:p>
      <w:pPr>
        <w:pStyle w:val="FirstParagraph"/>
      </w:pPr>
      <w:r>
        <w:t xml:space="preserve">As shown in Table 2, unvaccinated cohorts exhibit substantial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strong selective uptake prior to follow-up. Frailty variance is largest at younger ages, where low baseline mortality amplifies the impact of heterogeneity on cumulative hazard curvature, and declines at older ages where mortality is compressed and survivors are more homogeneous. No diagnostic reversals or instabilities are observed.</w:t>
      </w:r>
    </w:p>
    <w:p>
      <w:pPr>
        <w:pStyle w:val="BodyText"/>
      </w:pPr>
      <w:r>
        <w:t xml:space="preserve">Table 2 establishes strong selection-induced heterogeneity; Table 3 therefore reports raw cumulative outcome contrasts prior to normalization.</w:t>
      </w:r>
    </w:p>
    <w:p>
      <w:pPr>
        <w:pStyle w:val="BodyText"/>
      </w:pPr>
      <w:r>
        <w:t xml:space="preserve">Given the strong frailty heterogeneity shown in Table 2, raw cumulative outcome contrasts (Table 3) are expected to reflect both selection-induced depletion effects and any underlying treatment differences. KCOR normalization removes the depletion component, enabling interpretable comparison of the remaining differences.</w:t>
      </w:r>
    </w:p>
    <w:tbl>
      <w:tblPr>
        <w:tblStyle w:val="Table"/>
        <w:tblW w:type="pct" w:w="5000"/>
        <w:tblLayout w:type="fixed"/>
        <w:tblLook w:firstRow="1" w:lastRow="0" w:firstColumn="0" w:lastColumn="0" w:noHBand="0" w:noVBand="0" w:val="0020"/>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0.022731</w:t>
            </w:r>
          </w:p>
        </w:tc>
        <w:tc>
          <w:tcPr/>
          <w:p>
            <w:pPr>
              <w:pStyle w:val="Compact"/>
              <w:jc w:val="right"/>
            </w:pPr>
            <w:r>
              <w:t xml:space="preserve">0.012510</w:t>
            </w:r>
          </w:p>
        </w:tc>
        <w:tc>
          <w:tcPr/>
          <w:p>
            <w:pPr>
              <w:pStyle w:val="Compact"/>
              <w:jc w:val="right"/>
            </w:pPr>
            <w:r>
              <w:t xml:space="preserve">1.8171</w:t>
            </w:r>
          </w:p>
        </w:tc>
      </w:tr>
      <w:tr>
        <w:tc>
          <w:tcPr/>
          <w:p>
            <w:pPr>
              <w:pStyle w:val="Compact"/>
            </w:pPr>
            <w:r>
              <w:t xml:space="preserve">50–59</w:t>
            </w:r>
          </w:p>
        </w:tc>
        <w:tc>
          <w:tcPr/>
          <w:p>
            <w:pPr>
              <w:pStyle w:val="Compact"/>
              <w:jc w:val="right"/>
            </w:pPr>
            <w:r>
              <w:t xml:space="preserve">0.060750</w:t>
            </w:r>
          </w:p>
        </w:tc>
        <w:tc>
          <w:tcPr/>
          <w:p>
            <w:pPr>
              <w:pStyle w:val="Compact"/>
              <w:jc w:val="right"/>
            </w:pPr>
            <w:r>
              <w:t xml:space="preserve">0.035750</w:t>
            </w:r>
          </w:p>
        </w:tc>
        <w:tc>
          <w:tcPr/>
          <w:p>
            <w:pPr>
              <w:pStyle w:val="Compact"/>
              <w:jc w:val="right"/>
            </w:pPr>
            <w:r>
              <w:t xml:space="preserve">1.6993</w:t>
            </w:r>
          </w:p>
        </w:tc>
      </w:tr>
      <w:tr>
        <w:tc>
          <w:tcPr/>
          <w:p>
            <w:pPr>
              <w:pStyle w:val="Compact"/>
            </w:pPr>
            <w:r>
              <w:t xml:space="preserve">60–69</w:t>
            </w:r>
          </w:p>
        </w:tc>
        <w:tc>
          <w:tcPr/>
          <w:p>
            <w:pPr>
              <w:pStyle w:val="Compact"/>
              <w:jc w:val="right"/>
            </w:pPr>
            <w:r>
              <w:t xml:space="preserve">0.204957</w:t>
            </w:r>
          </w:p>
        </w:tc>
        <w:tc>
          <w:tcPr/>
          <w:p>
            <w:pPr>
              <w:pStyle w:val="Compact"/>
              <w:jc w:val="right"/>
            </w:pPr>
            <w:r>
              <w:t xml:space="preserve">0.083450</w:t>
            </w:r>
          </w:p>
        </w:tc>
        <w:tc>
          <w:tcPr/>
          <w:p>
            <w:pPr>
              <w:pStyle w:val="Compact"/>
              <w:jc w:val="right"/>
            </w:pPr>
            <w:r>
              <w:t xml:space="preserve">2.4561</w:t>
            </w:r>
          </w:p>
        </w:tc>
      </w:tr>
      <w:tr>
        <w:tc>
          <w:tcPr/>
          <w:p>
            <w:pPr>
              <w:pStyle w:val="Compact"/>
            </w:pPr>
            <w:r>
              <w:t xml:space="preserve">70+</w:t>
            </w:r>
          </w:p>
        </w:tc>
        <w:tc>
          <w:tcPr/>
          <w:p>
            <w:pPr>
              <w:pStyle w:val="Compact"/>
              <w:jc w:val="right"/>
            </w:pPr>
            <w:r>
              <w:t xml:space="preserve">1.347411</w:t>
            </w:r>
          </w:p>
        </w:tc>
        <w:tc>
          <w:tcPr/>
          <w:p>
            <w:pPr>
              <w:pStyle w:val="Compact"/>
              <w:jc w:val="right"/>
            </w:pPr>
            <w:r>
              <w:t xml:space="preserve">0.869921</w:t>
            </w:r>
          </w:p>
        </w:tc>
        <w:tc>
          <w:tcPr/>
          <w:p>
            <w:pPr>
              <w:pStyle w:val="Compact"/>
              <w:jc w:val="right"/>
            </w:pPr>
            <w:r>
              <w:t xml:space="preserve">1.5489</w:t>
            </w:r>
          </w:p>
        </w:tc>
      </w:tr>
    </w:tbl>
    <w:p>
      <w:pPr>
        <w:pStyle w:val="BodyText"/>
      </w:pPr>
      <w:r>
        <w:t xml:space="preserve">Table 3. Ratio of observed cumulative mortality hazards for unvaccinated (Dose 0) versus fully vaccinated (Dose 2) Czech cohorts enrolled in 2021_24. {#tbl:raw_cumulative_outcomes}</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3"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3"/>
    <w:bookmarkStart w:id="100" w:name="X250d2743dd947cd04209f9dc9cf02b545517230"/>
    <w:p>
      <w:pPr>
        <w:pStyle w:val="Heading3"/>
      </w:pPr>
      <w:r>
        <w:t xml:space="preserve">3.1 Negative controls: null under selection-induced curvature</w:t>
      </w:r>
    </w:p>
    <w:bookmarkStart w:id="8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7"/>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7"/>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7"/>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8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8"/>
        </w:numPr>
      </w:pPr>
      <w:r>
        <w:t xml:space="preserve">Time unit: weeks.</w:t>
      </w:r>
    </w:p>
    <w:p>
      <w:pPr>
        <w:pStyle w:val="Compact"/>
        <w:numPr>
          <w:ilvl w:val="0"/>
          <w:numId w:val="1018"/>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8"/>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8"/>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5 shows this construction.</w:t>
      </w:r>
    </w:p>
    <w:bookmarkStart w:id="87" w:name="fig:neg_control_synthetic"/>
    <w:p>
      <w:pPr>
        <w:pStyle w:val="CaptionedFigure"/>
      </w:pPr>
      <w:r>
        <w:drawing>
          <wp:inline>
            <wp:extent cx="5334000" cy="3852333"/>
            <wp:effectExtent b="0" l="0" r="0" t="0"/>
            <wp:docPr descr="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85" name="Picture"/>
            <a:graphic>
              <a:graphicData uri="http://schemas.openxmlformats.org/drawingml/2006/picture">
                <pic:pic>
                  <pic:nvPicPr>
                    <pic:cNvPr descr="figures/fig_neg_control_synthetic.png" id="86" name="Picture"/>
                    <pic:cNvPicPr>
                      <a:picLocks noChangeArrowheads="1" noChangeAspect="1"/>
                    </pic:cNvPicPr>
                  </pic:nvPicPr>
                  <pic:blipFill>
                    <a:blip r:embed="rId8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87"/>
    <w:bookmarkEnd w:id="88"/>
    <w:bookmarkEnd w:id="89"/>
    <w:bookmarkStart w:id="9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6 and fig.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3"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91" name="Picture"/>
            <a:graphic>
              <a:graphicData uri="http://schemas.openxmlformats.org/drawingml/2006/picture">
                <pic:pic>
                  <pic:nvPicPr>
                    <pic:cNvPr descr="figures/fig2_neg_control_10yr_age_diff.png" id="92" name="Picture"/>
                    <pic:cNvPicPr>
                      <a:picLocks noChangeArrowheads="1" noChangeAspect="1"/>
                    </pic:cNvPicPr>
                  </pic:nvPicPr>
                  <pic:blipFill>
                    <a:blip r:embed="rId9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93"/>
    <w:bookmarkStart w:id="97"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95" name="Picture"/>
            <a:graphic>
              <a:graphicData uri="http://schemas.openxmlformats.org/drawingml/2006/picture">
                <pic:pic>
                  <pic:nvPicPr>
                    <pic:cNvPr descr="figures/fig3_neg_control_20yr_age_diff.png" id="96" name="Picture"/>
                    <pic:cNvPicPr>
                      <a:picLocks noChangeArrowheads="1" noChangeAspect="1"/>
                    </pic:cNvPicPr>
                  </pic:nvPicPr>
                  <pic:blipFill>
                    <a:blip r:embed="rId9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97"/>
    <w:p>
      <w:pPr>
        <w:pStyle w:val="BodyText"/>
      </w:pPr>
      <w:r>
        <w:t xml:space="preserve">Table tbl. 6 provides numeric summaries.</w:t>
      </w:r>
    </w:p>
    <w:bookmarkStart w:id="98" w:name="tbl:neg_control_summary"/>
    <w:p>
      <w:pPr>
        <w:pStyle w:val="TableCaption"/>
      </w:pPr>
      <w:r>
        <w:t xml:space="preserve">Table 6: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6: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98"/>
    <w:bookmarkEnd w:id="99"/>
    <w:bookmarkEnd w:id="100"/>
    <w:bookmarkStart w:id="107"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10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10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8 and Table tbl. 7 confirm this behavior.</w:t>
      </w:r>
    </w:p>
    <w:bookmarkStart w:id="105"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03" name="Picture"/>
            <a:graphic>
              <a:graphicData uri="http://schemas.openxmlformats.org/drawingml/2006/picture">
                <pic:pic>
                  <pic:nvPicPr>
                    <pic:cNvPr descr="figures/fig_pos_control_injected.png" id="104" name="Picture"/>
                    <pic:cNvPicPr>
                      <a:picLocks noChangeArrowheads="1" noChangeAspect="1"/>
                    </pic:cNvPicPr>
                  </pic:nvPicPr>
                  <pic:blipFill>
                    <a:blip r:embed="rId10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05"/>
    <w:bookmarkStart w:id="106" w:name="tbl:pos_control_summary"/>
    <w:p>
      <w:pPr>
        <w:pStyle w:val="TableCaption"/>
      </w:pPr>
      <w:r>
        <w:t xml:space="preserve">Table 7: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7: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06"/>
    <w:bookmarkEnd w:id="107"/>
    <w:bookmarkStart w:id="11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9"/>
        </w:numPr>
      </w:pPr>
      <w:r>
        <w:t xml:space="preserve">Quiet-window selection (calendar ISO-week bounds)</w:t>
      </w:r>
    </w:p>
    <w:p>
      <w:pPr>
        <w:pStyle w:val="Compact"/>
        <w:numPr>
          <w:ilvl w:val="0"/>
          <w:numId w:val="1019"/>
        </w:numPr>
      </w:pPr>
      <w:r>
        <w:t xml:space="preserve">Stabilization skip (early-bin handling)</w:t>
      </w:r>
    </w:p>
    <w:p>
      <w:pPr>
        <w:pStyle w:val="Compact"/>
        <w:numPr>
          <w:ilvl w:val="0"/>
          <w:numId w:val="1019"/>
        </w:numPr>
      </w:pPr>
      <w:r>
        <w:t xml:space="preserve">Time-binning resolution</w:t>
      </w:r>
    </w:p>
    <w:p>
      <w:pPr>
        <w:pStyle w:val="Compact"/>
        <w:numPr>
          <w:ilvl w:val="0"/>
          <w:numId w:val="1019"/>
        </w:numPr>
      </w:pPr>
      <w:r>
        <w:t xml:space="preserve">Age stratification and/or stratified analyses where appropriate</w:t>
      </w:r>
    </w:p>
    <w:p>
      <w:pPr>
        <w:pStyle w:val="Compact"/>
        <w:numPr>
          <w:ilvl w:val="0"/>
          <w:numId w:val="1019"/>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9 summarizes KCOR stability across the parameter grid.</w:t>
      </w:r>
    </w:p>
    <w:bookmarkStart w:id="111" w:name="fig:sensitivity_overview"/>
    <w:p>
      <w:pPr>
        <w:pStyle w:val="CaptionedFigure"/>
      </w:pPr>
      <w:r>
        <w:drawing>
          <wp:inline>
            <wp:extent cx="5334000" cy="1571483"/>
            <wp:effectExtent b="0" l="0" r="0" t="0"/>
            <wp:docPr descr="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109" name="Picture"/>
            <a:graphic>
              <a:graphicData uri="http://schemas.openxmlformats.org/drawingml/2006/picture">
                <pic:pic>
                  <pic:nvPicPr>
                    <pic:cNvPr descr="figures/fig_sensitivity_overview.png" id="110" name="Picture"/>
                    <pic:cNvPicPr>
                      <a:picLocks noChangeArrowheads="1" noChangeAspect="1"/>
                    </pic:cNvPicPr>
                  </pic:nvPicPr>
                  <pic:blipFill>
                    <a:blip r:embed="rId10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111"/>
    <w:p>
      <w:pPr>
        <w:pStyle w:val="BodyText"/>
      </w:pPr>
      <w:r>
        <w:t xml:space="preserve">Across all tested parameter ranges, KCOR values remained within approximately ±5% of unity, indicating stability under reasonable variations in fitting choices.</w:t>
      </w:r>
    </w:p>
    <w:bookmarkEnd w:id="112"/>
    <w:bookmarkStart w:id="129"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10 and fig. 11 below.</w:t>
      </w:r>
    </w:p>
    <w:p>
      <w:pPr>
        <w:pStyle w:val="BodyText"/>
      </w:pPr>
      <w:r>
        <w:rPr>
          <w:b/>
          <w:bCs/>
        </w:rPr>
        <w:t xml:space="preserve">Joint frailty and treatment-effect simulation (S7).</w:t>
      </w:r>
      <w:r>
        <w:br/>
      </w:r>
      <w:r>
        <w:t xml:space="preserve">Figure fig.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6"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114" name="Picture"/>
            <a:graphic>
              <a:graphicData uri="http://schemas.openxmlformats.org/drawingml/2006/picture">
                <pic:pic>
                  <pic:nvPicPr>
                    <pic:cNvPr descr="figures/fig_sim_grid_overview.png" id="115" name="Picture"/>
                    <pic:cNvPicPr>
                      <a:picLocks noChangeArrowheads="1" noChangeAspect="1"/>
                    </pic:cNvPicPr>
                  </pic:nvPicPr>
                  <pic:blipFill>
                    <a:blip r:embed="rId113"/>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16"/>
    <w:bookmarkStart w:id="120"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18" name="Picture"/>
            <a:graphic>
              <a:graphicData uri="http://schemas.openxmlformats.org/drawingml/2006/picture">
                <pic:pic>
                  <pic:nvPicPr>
                    <pic:cNvPr descr="figures/fig_sim_grid_diagnostics.png" id="119" name="Picture"/>
                    <pic:cNvPicPr>
                      <a:picLocks noChangeArrowheads="1" noChangeAspect="1"/>
                    </pic:cNvPicPr>
                  </pic:nvPicPr>
                  <pic:blipFill>
                    <a:blip r:embed="rId117"/>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20"/>
    <w:bookmarkStart w:id="124"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22" name="Picture"/>
            <a:graphic>
              <a:graphicData uri="http://schemas.openxmlformats.org/drawingml/2006/picture">
                <pic:pic>
                  <pic:nvPicPr>
                    <pic:cNvPr descr="figures/fig_s7_overview.png" id="123" name="Picture"/>
                    <pic:cNvPicPr>
                      <a:picLocks noChangeArrowheads="1" noChangeAspect="1"/>
                    </pic:cNvPicPr>
                  </pic:nvPicPr>
                  <pic:blipFill>
                    <a:blip r:embed="rId121"/>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24"/>
    <w:bookmarkStart w:id="128"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26" name="Picture"/>
            <a:graphic>
              <a:graphicData uri="http://schemas.openxmlformats.org/drawingml/2006/picture">
                <pic:pic>
                  <pic:nvPicPr>
                    <pic:cNvPr descr="figures/fig_s7_diagnostics.png" id="127" name="Picture"/>
                    <pic:cNvPicPr>
                      <a:picLocks noChangeArrowheads="1" noChangeAspect="1"/>
                    </pic:cNvPicPr>
                  </pic:nvPicPr>
                  <pic:blipFill>
                    <a:blip r:embed="rId125"/>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28"/>
    <w:bookmarkEnd w:id="129"/>
    <w:bookmarkStart w:id="130"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30"/>
    <w:bookmarkStart w:id="131"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r>
        <w:pict>
          <v:rect style="width:0;height:1.5pt" o:hralign="center" o:hrstd="t" o:hr="t"/>
        </w:pict>
      </w:r>
    </w:p>
    <w:bookmarkEnd w:id="131"/>
    <w:bookmarkEnd w:id="132"/>
    <w:bookmarkStart w:id="137"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3"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0"/>
        </w:numPr>
      </w:pPr>
      <w:r>
        <w:t xml:space="preserve">selection-induced depletion dynamics can be estimated during quiet periods using a gamma-frailty mixture model, and</w:t>
      </w:r>
    </w:p>
    <w:p>
      <w:pPr>
        <w:pStyle w:val="Compact"/>
        <w:numPr>
          <w:ilvl w:val="0"/>
          <w:numId w:val="1020"/>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3"/>
    <w:bookmarkStart w:id="134"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4"/>
    <w:bookmarkStart w:id="135"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1"/>
        </w:numPr>
      </w:pPr>
      <w:r>
        <w:t xml:space="preserve">Enrollment definition and justification</w:t>
      </w:r>
    </w:p>
    <w:p>
      <w:pPr>
        <w:pStyle w:val="Compact"/>
        <w:numPr>
          <w:ilvl w:val="0"/>
          <w:numId w:val="1021"/>
        </w:numPr>
      </w:pPr>
      <w:r>
        <w:t xml:space="preserve">Risk set definitions and event-time binning</w:t>
      </w:r>
    </w:p>
    <w:p>
      <w:pPr>
        <w:pStyle w:val="Compact"/>
        <w:numPr>
          <w:ilvl w:val="0"/>
          <w:numId w:val="1021"/>
        </w:numPr>
      </w:pPr>
      <w:r>
        <w:t xml:space="preserve">Quiet-window definition and justification</w:t>
      </w:r>
    </w:p>
    <w:p>
      <w:pPr>
        <w:pStyle w:val="Compact"/>
        <w:numPr>
          <w:ilvl w:val="0"/>
          <w:numId w:val="1021"/>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1"/>
        </w:numPr>
      </w:pPr>
      <w:r>
        <w:t xml:space="preserve">Skip/stabilization rule and robustness to nearby values</w:t>
      </w:r>
    </w:p>
    <w:p>
      <w:pPr>
        <w:pStyle w:val="Compact"/>
        <w:numPr>
          <w:ilvl w:val="0"/>
          <w:numId w:val="1021"/>
        </w:numPr>
      </w:pPr>
      <w:r>
        <w:t xml:space="preserve">Predefined negative/positive controls used for validation</w:t>
      </w:r>
    </w:p>
    <w:p>
      <w:pPr>
        <w:pStyle w:val="Compact"/>
        <w:numPr>
          <w:ilvl w:val="0"/>
          <w:numId w:val="1021"/>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35"/>
    <w:bookmarkStart w:id="136"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p>
      <w:r>
        <w:pict>
          <v:rect style="width:0;height:1.5pt" o:hralign="center" o:hrstd="t" o:hr="t"/>
        </w:pict>
      </w:r>
    </w:p>
    <w:bookmarkEnd w:id="136"/>
    <w:bookmarkEnd w:id="137"/>
    <w:bookmarkStart w:id="141" w:name="limitations"/>
    <w:p>
      <w:pPr>
        <w:pStyle w:val="Heading2"/>
      </w:pPr>
      <w:r>
        <w:t xml:space="preserve">5. Limitations</w:t>
      </w:r>
    </w:p>
    <w:p>
      <w:pPr>
        <w:pStyle w:val="Compact"/>
        <w:numPr>
          <w:ilvl w:val="0"/>
          <w:numId w:val="1022"/>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2"/>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2"/>
        </w:numPr>
      </w:pPr>
      <w:r>
        <w:rPr>
          <w:b/>
          <w:bCs/>
        </w:rPr>
        <w:t xml:space="preserve">Sparse events</w:t>
      </w:r>
      <w:r>
        <w:t xml:space="preserve">: When event counts are small, hazard estimation and parameter fitting can be unstable.</w:t>
      </w:r>
    </w:p>
    <w:p>
      <w:pPr>
        <w:pStyle w:val="Compact"/>
        <w:numPr>
          <w:ilvl w:val="0"/>
          <w:numId w:val="1022"/>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2"/>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2"/>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38"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3"/>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3"/>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3"/>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3"/>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4"/>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4"/>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4"/>
        </w:numPr>
      </w:pPr>
      <w:r>
        <w:rPr>
          <w:b/>
          <w:bCs/>
        </w:rPr>
        <w:t xml:space="preserve">Sensitivity analyses</w:t>
      </w:r>
      <w:r>
        <w:t xml:space="preserve"> </w:t>
      </w:r>
      <w:r>
        <w:t xml:space="preserve">over plausible quiet windows and skip-weeks values.</w:t>
      </w:r>
    </w:p>
    <w:p>
      <w:pPr>
        <w:pStyle w:val="Compact"/>
        <w:numPr>
          <w:ilvl w:val="0"/>
          <w:numId w:val="1024"/>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38"/>
    <w:bookmarkStart w:id="139"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39"/>
    <w:bookmarkStart w:id="140"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40"/>
    <w:bookmarkEnd w:id="141"/>
    <w:bookmarkStart w:id="142"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p>
      <w:r>
        <w:pict>
          <v:rect style="width:0;height:1.5pt" o:hralign="center" o:hrstd="t" o:hr="t"/>
        </w:pict>
      </w:r>
    </w:p>
    <w:bookmarkEnd w:id="142"/>
    <w:bookmarkStart w:id="153" w:name="declarations-journal-requirements"/>
    <w:p>
      <w:pPr>
        <w:pStyle w:val="Heading2"/>
      </w:pPr>
      <w:r>
        <w:t xml:space="preserve">Declarations (journal requirements)</w:t>
      </w:r>
    </w:p>
    <w:bookmarkStart w:id="143"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6 and fig. 7) use aggregated cohort summaries derived from Czech Republic administrative data; no record-level data are shared in this manuscript.</w:t>
      </w:r>
      <w:r>
        <w:rPr>
          <w:vertAlign w:val="superscript"/>
        </w:rPr>
        <w:t xml:space="preserve">4</w:t>
      </w:r>
    </w:p>
    <w:bookmarkEnd w:id="143"/>
    <w:bookmarkStart w:id="144" w:name="consent-for-publication"/>
    <w:p>
      <w:pPr>
        <w:pStyle w:val="Heading3"/>
      </w:pPr>
      <w:r>
        <w:t xml:space="preserve">Consent for publication</w:t>
      </w:r>
    </w:p>
    <w:p>
      <w:pPr>
        <w:pStyle w:val="FirstParagraph"/>
      </w:pPr>
      <w:r>
        <w:t xml:space="preserve">Not applicable.</w:t>
      </w:r>
    </w:p>
    <w:bookmarkEnd w:id="144"/>
    <w:bookmarkStart w:id="145" w:name="data-availability"/>
    <w:p>
      <w:pPr>
        <w:pStyle w:val="Heading3"/>
      </w:pPr>
      <w:r>
        <w:t xml:space="preserve">Data availability</w:t>
      </w:r>
    </w:p>
    <w:p>
      <w:pPr>
        <w:pStyle w:val="Compact"/>
        <w:numPr>
          <w:ilvl w:val="0"/>
          <w:numId w:val="1025"/>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5"/>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5"/>
        </w:numPr>
      </w:pPr>
      <w:r>
        <w:t xml:space="preserve">The reference implementation includes example datasets in KCOR_CMR format for reproducibility.</w:t>
      </w:r>
    </w:p>
    <w:p>
      <w:pPr>
        <w:pStyle w:val="Compact"/>
        <w:numPr>
          <w:ilvl w:val="0"/>
          <w:numId w:val="1025"/>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5"/>
    <w:bookmarkStart w:id="148" w:name="code-availability"/>
    <w:p>
      <w:pPr>
        <w:pStyle w:val="Heading3"/>
      </w:pPr>
      <w:r>
        <w:t xml:space="preserve">Code availability</w:t>
      </w:r>
    </w:p>
    <w:p>
      <w:pPr>
        <w:pStyle w:val="Compact"/>
        <w:numPr>
          <w:ilvl w:val="0"/>
          <w:numId w:val="1026"/>
        </w:numPr>
      </w:pPr>
      <w:r>
        <w:t xml:space="preserve">The KCOR v6 reference implementation and complete validation suite are available in the project repository.</w:t>
      </w:r>
    </w:p>
    <w:p>
      <w:pPr>
        <w:pStyle w:val="Compact"/>
        <w:numPr>
          <w:ilvl w:val="0"/>
          <w:numId w:val="1026"/>
        </w:numPr>
      </w:pPr>
      <w:r>
        <w:t xml:space="preserve">Repository URL:</w:t>
      </w:r>
      <w:r>
        <w:t xml:space="preserve"> </w:t>
      </w:r>
      <w:hyperlink r:id="rId146">
        <w:r>
          <w:rPr>
            <w:rStyle w:val="Hyperlink"/>
          </w:rPr>
          <w:t xml:space="preserve">https://github.com/skirsch/KCOR</w:t>
        </w:r>
      </w:hyperlink>
    </w:p>
    <w:p>
      <w:pPr>
        <w:pStyle w:val="Compact"/>
        <w:numPr>
          <w:ilvl w:val="0"/>
          <w:numId w:val="1026"/>
        </w:numPr>
      </w:pPr>
      <w:r>
        <w:t xml:space="preserve">Zenodo DOI:</w:t>
      </w:r>
      <w:r>
        <w:t xml:space="preserve"> </w:t>
      </w:r>
      <w:hyperlink r:id="rId147">
        <w:r>
          <w:rPr>
            <w:rStyle w:val="Hyperlink"/>
          </w:rPr>
          <w:t xml:space="preserve">10.5281/zenodo.18050329</w:t>
        </w:r>
      </w:hyperlink>
    </w:p>
    <w:bookmarkEnd w:id="148"/>
    <w:bookmarkStart w:id="149" w:name="competing-interests"/>
    <w:p>
      <w:pPr>
        <w:pStyle w:val="Heading3"/>
      </w:pPr>
      <w:r>
        <w:t xml:space="preserve">Competing interests</w:t>
      </w:r>
    </w:p>
    <w:p>
      <w:pPr>
        <w:pStyle w:val="FirstParagraph"/>
      </w:pPr>
      <w:r>
        <w:t xml:space="preserve">The author is a board member of the Vaccine Safety Research Foundation.</w:t>
      </w:r>
    </w:p>
    <w:bookmarkEnd w:id="149"/>
    <w:bookmarkStart w:id="150" w:name="funding"/>
    <w:p>
      <w:pPr>
        <w:pStyle w:val="Heading3"/>
      </w:pPr>
      <w:r>
        <w:t xml:space="preserve">Funding</w:t>
      </w:r>
    </w:p>
    <w:p>
      <w:pPr>
        <w:pStyle w:val="FirstParagraph"/>
      </w:pPr>
      <w:r>
        <w:t xml:space="preserve">This research received no external funding.</w:t>
      </w:r>
    </w:p>
    <w:bookmarkEnd w:id="150"/>
    <w:bookmarkStart w:id="151"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1"/>
    <w:bookmarkStart w:id="152"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p>
      <w:r>
        <w:pict>
          <v:rect style="width:0;height:1.5pt" o:hralign="center" o:hrstd="t" o:hr="t"/>
        </w:pict>
      </w:r>
    </w:p>
    <w:bookmarkEnd w:id="152"/>
    <w:bookmarkEnd w:id="153"/>
    <w:bookmarkStart w:id="187"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59" w:name="appendix-a.-mathematical-derivations"/>
    <w:p>
      <w:pPr>
        <w:pStyle w:val="Heading3"/>
      </w:pPr>
      <w:r>
        <w:t xml:space="preserve">Appendix A. Mathematical derivations</w:t>
      </w:r>
    </w:p>
    <w:bookmarkStart w:id="154"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54"/>
    <w:bookmarkStart w:id="155"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55"/>
    <w:bookmarkStart w:id="156"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56"/>
    <w:bookmarkStart w:id="157"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57"/>
    <w:bookmarkStart w:id="158"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58"/>
    <w:bookmarkEnd w:id="159"/>
    <w:bookmarkStart w:id="172" w:name="appendix-b.-control-test-specifications"/>
    <w:p>
      <w:pPr>
        <w:pStyle w:val="Heading3"/>
      </w:pPr>
      <w:r>
        <w:t xml:space="preserve">Appendix B. Control-test specifications</w:t>
      </w:r>
    </w:p>
    <w:bookmarkStart w:id="160" w:name="X2180becb792c7366d1a2d9abe674c7e8eb8a3b6"/>
    <w:p>
      <w:pPr>
        <w:pStyle w:val="Heading4"/>
      </w:pPr>
      <w:r>
        <w:t xml:space="preserve">B.1 Negative control: synthetic gamma-frailty null</w:t>
      </w:r>
    </w:p>
    <w:p>
      <w:pPr>
        <w:pStyle w:val="FirstParagraph"/>
      </w:pPr>
      <w:r>
        <w:t xml:space="preserve">The synthetic negative control (Figure fig. 5) is generated using:</w:t>
      </w:r>
    </w:p>
    <w:p>
      <w:pPr>
        <w:pStyle w:val="Compact"/>
        <w:numPr>
          <w:ilvl w:val="0"/>
          <w:numId w:val="1027"/>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7"/>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7"/>
        </w:numPr>
      </w:pPr>
      <w:r>
        <w:rPr>
          <w:b/>
          <w:bCs/>
        </w:rPr>
        <w:t xml:space="preserve">Cohort A weights</w:t>
      </w:r>
      <w:r>
        <w:t xml:space="preserve">: Equal weights across 5 frailty groups (0.2 each)</w:t>
      </w:r>
    </w:p>
    <w:p>
      <w:pPr>
        <w:pStyle w:val="Compact"/>
        <w:numPr>
          <w:ilvl w:val="0"/>
          <w:numId w:val="1027"/>
        </w:numPr>
      </w:pPr>
      <w:r>
        <w:rPr>
          <w:b/>
          <w:bCs/>
        </w:rPr>
        <w:t xml:space="preserve">Cohort B weights</w:t>
      </w:r>
      <w:r>
        <w:t xml:space="preserve">: Shifted weights [0.30, 0.20, 0.20, 0.20, 0.10]</w:t>
      </w:r>
    </w:p>
    <w:p>
      <w:pPr>
        <w:pStyle w:val="Compact"/>
        <w:numPr>
          <w:ilvl w:val="0"/>
          <w:numId w:val="1027"/>
        </w:numPr>
      </w:pPr>
      <w:r>
        <w:rPr>
          <w:b/>
          <w:bCs/>
        </w:rPr>
        <w:t xml:space="preserve">Frailty values</w:t>
      </w:r>
      <w:r>
        <w:t xml:space="preserve">: [1, 2, 4, 6, 10] (relative frailty multipliers)</w:t>
      </w:r>
    </w:p>
    <w:p>
      <w:pPr>
        <w:pStyle w:val="Compact"/>
        <w:numPr>
          <w:ilvl w:val="0"/>
          <w:numId w:val="1027"/>
        </w:numPr>
      </w:pPr>
      <w:r>
        <w:rPr>
          <w:b/>
          <w:bCs/>
        </w:rPr>
        <w:t xml:space="preserve">Base weekly probability</w:t>
      </w:r>
      <w:r>
        <w:t xml:space="preserve">: 0.01</w:t>
      </w:r>
    </w:p>
    <w:p>
      <w:pPr>
        <w:pStyle w:val="Compact"/>
        <w:numPr>
          <w:ilvl w:val="0"/>
          <w:numId w:val="1027"/>
        </w:numPr>
      </w:pPr>
      <w:r>
        <w:rPr>
          <w:b/>
          <w:bCs/>
        </w:rPr>
        <w:t xml:space="preserve">Weekly log-slope</w:t>
      </w:r>
      <w:r>
        <w:t xml:space="preserve">: 0.0 (constant baseline during quiet periods)</w:t>
      </w:r>
    </w:p>
    <w:p>
      <w:pPr>
        <w:pStyle w:val="Compact"/>
        <w:numPr>
          <w:ilvl w:val="0"/>
          <w:numId w:val="1027"/>
        </w:numPr>
      </w:pPr>
      <w:r>
        <w:rPr>
          <w:b/>
          <w:bCs/>
        </w:rPr>
        <w:t xml:space="preserve">Skip weeks</w:t>
      </w:r>
      <w:r>
        <w:t xml:space="preserve">: 2</w:t>
      </w:r>
    </w:p>
    <w:p>
      <w:pPr>
        <w:pStyle w:val="Compact"/>
        <w:numPr>
          <w:ilvl w:val="0"/>
          <w:numId w:val="1027"/>
        </w:numPr>
      </w:pPr>
      <w:r>
        <w:rPr>
          <w:b/>
          <w:bCs/>
        </w:rPr>
        <w:t xml:space="preserve">Normalization weeks</w:t>
      </w:r>
      <w:r>
        <w:t xml:space="preserve">: 4</w:t>
      </w:r>
    </w:p>
    <w:p>
      <w:pPr>
        <w:pStyle w:val="Compact"/>
        <w:numPr>
          <w:ilvl w:val="0"/>
          <w:numId w:val="1027"/>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60"/>
    <w:bookmarkStart w:id="161" w:name="X6ca5a97e85e9ee460a15280db933ceb5c1ed112"/>
    <w:p>
      <w:pPr>
        <w:pStyle w:val="Heading4"/>
      </w:pPr>
      <w:r>
        <w:t xml:space="preserve">B.2 Negative control: empirical age-shift construction</w:t>
      </w:r>
    </w:p>
    <w:p>
      <w:pPr>
        <w:pStyle w:val="FirstParagraph"/>
      </w:pPr>
      <w:r>
        <w:t xml:space="preserve">The empirical negative control (Figures fig. 6 and fig. 7) is generated using:</w:t>
      </w:r>
    </w:p>
    <w:p>
      <w:pPr>
        <w:pStyle w:val="Compact"/>
        <w:numPr>
          <w:ilvl w:val="0"/>
          <w:numId w:val="1028"/>
        </w:numPr>
      </w:pPr>
      <w:r>
        <w:rPr>
          <w:b/>
          <w:bCs/>
        </w:rPr>
        <w:t xml:space="preserve">Data source</w:t>
      </w:r>
      <w:r>
        <w:t xml:space="preserve">: Czech Republic administrative mortality and vaccination data, aggregated into KCOR_CMR format</w:t>
      </w:r>
    </w:p>
    <w:p>
      <w:pPr>
        <w:pStyle w:val="Compact"/>
        <w:numPr>
          <w:ilvl w:val="0"/>
          <w:numId w:val="1028"/>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8"/>
        </w:numPr>
      </w:pPr>
      <w:r>
        <w:rPr>
          <w:b/>
          <w:bCs/>
        </w:rPr>
        <w:t xml:space="preserve">Construction</w:t>
      </w:r>
      <w:r>
        <w:t xml:space="preserve">: Age strata remapped to pseudo-doses within same vaccination category</w:t>
      </w:r>
    </w:p>
    <w:p>
      <w:pPr>
        <w:pStyle w:val="Compact"/>
        <w:numPr>
          <w:ilvl w:val="0"/>
          <w:numId w:val="1028"/>
        </w:numPr>
      </w:pPr>
      <w:r>
        <w:rPr>
          <w:b/>
          <w:bCs/>
        </w:rPr>
        <w:t xml:space="preserve">Age mapping</w:t>
      </w:r>
      <w:r>
        <w:t xml:space="preserve">:</w:t>
      </w:r>
    </w:p>
    <w:p>
      <w:pPr>
        <w:pStyle w:val="Compact"/>
        <w:numPr>
          <w:ilvl w:val="1"/>
          <w:numId w:val="1029"/>
        </w:numPr>
      </w:pPr>
      <w:r>
        <w:t xml:space="preserve">Dose 0 → YoB {1930, 1935}</w:t>
      </w:r>
    </w:p>
    <w:p>
      <w:pPr>
        <w:pStyle w:val="Compact"/>
        <w:numPr>
          <w:ilvl w:val="1"/>
          <w:numId w:val="1029"/>
        </w:numPr>
      </w:pPr>
      <w:r>
        <w:t xml:space="preserve">Dose 1 → YoB {1940, 1945}</w:t>
      </w:r>
    </w:p>
    <w:p>
      <w:pPr>
        <w:pStyle w:val="Compact"/>
        <w:numPr>
          <w:ilvl w:val="1"/>
          <w:numId w:val="1029"/>
        </w:numPr>
      </w:pPr>
      <w:r>
        <w:t xml:space="preserve">Dose 2 → YoB {1950, 1955}</w:t>
      </w:r>
    </w:p>
    <w:p>
      <w:pPr>
        <w:pStyle w:val="Compact"/>
        <w:numPr>
          <w:ilvl w:val="0"/>
          <w:numId w:val="1028"/>
        </w:numPr>
      </w:pPr>
      <w:r>
        <w:rPr>
          <w:b/>
          <w:bCs/>
        </w:rPr>
        <w:t xml:space="preserve">Output YoB</w:t>
      </w:r>
      <w:r>
        <w:t xml:space="preserve">: Fixed at 1950 (unvax cohort) or 1940 (vax cohort)</w:t>
      </w:r>
    </w:p>
    <w:p>
      <w:pPr>
        <w:pStyle w:val="Compact"/>
        <w:numPr>
          <w:ilvl w:val="0"/>
          <w:numId w:val="1028"/>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61"/>
    <w:bookmarkStart w:id="162" w:name="b.3-positive-control-injected-effect"/>
    <w:p>
      <w:pPr>
        <w:pStyle w:val="Heading4"/>
      </w:pPr>
      <w:r>
        <w:t xml:space="preserve">B.3 Positive control: injected effect</w:t>
      </w:r>
    </w:p>
    <w:p>
      <w:pPr>
        <w:pStyle w:val="FirstParagraph"/>
      </w:pPr>
      <w:r>
        <w:t xml:space="preserve">The positive control (Figure fig. 8 and Table tbl. 7) is generated using:</w:t>
      </w:r>
    </w:p>
    <w:p>
      <w:pPr>
        <w:pStyle w:val="Compact"/>
        <w:numPr>
          <w:ilvl w:val="0"/>
          <w:numId w:val="1030"/>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0"/>
        </w:numPr>
      </w:pPr>
      <w:r>
        <w:rPr>
          <w:b/>
          <w:bCs/>
        </w:rPr>
        <w:t xml:space="preserve">Initial cohort size</w:t>
      </w:r>
      <w:r>
        <w:t xml:space="preserve">: 100,000 per cohort</w:t>
      </w:r>
    </w:p>
    <w:p>
      <w:pPr>
        <w:pStyle w:val="Compact"/>
        <w:numPr>
          <w:ilvl w:val="0"/>
          <w:numId w:val="1030"/>
        </w:numPr>
      </w:pPr>
      <w:r>
        <w:rPr>
          <w:b/>
          <w:bCs/>
        </w:rPr>
        <w:t xml:space="preserve">Baseline hazard</w:t>
      </w:r>
      <w:r>
        <w:t xml:space="preserve">: 0.002 per week</w:t>
      </w:r>
    </w:p>
    <w:p>
      <w:pPr>
        <w:pStyle w:val="Compact"/>
        <w:numPr>
          <w:ilvl w:val="0"/>
          <w:numId w:val="1030"/>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0"/>
        </w:numPr>
      </w:pPr>
      <w:r>
        <w:rPr>
          <w:b/>
          <w:bCs/>
        </w:rPr>
        <w:t xml:space="preserve">Effect window</w:t>
      </w:r>
      <w:r>
        <w:t xml:space="preserve">: weeks 20–80</w:t>
      </w:r>
    </w:p>
    <w:p>
      <w:pPr>
        <w:pStyle w:val="Compact"/>
        <w:numPr>
          <w:ilvl w:val="0"/>
          <w:numId w:val="1030"/>
        </w:numPr>
      </w:pPr>
      <w:r>
        <w:rPr>
          <w:b/>
          <w:bCs/>
        </w:rPr>
        <w:t xml:space="preserve">Hazard multipliers</w:t>
      </w:r>
      <w:r>
        <w:t xml:space="preserve">:</w:t>
      </w:r>
    </w:p>
    <w:p>
      <w:pPr>
        <w:pStyle w:val="Compact"/>
        <w:numPr>
          <w:ilvl w:val="1"/>
          <w:numId w:val="1031"/>
        </w:numPr>
      </w:pPr>
      <w:r>
        <w:t xml:space="preserve">Harm scenario:</w:t>
      </w:r>
      <w:r>
        <w:t xml:space="preserve"> </w:t>
      </w:r>
      <m:oMath>
        <m:r>
          <m:t>r</m:t>
        </m:r>
        <m:r>
          <m:rPr>
            <m:sty m:val="p"/>
          </m:rPr>
          <m:t>=</m:t>
        </m:r>
        <m:r>
          <m:t>1.2</m:t>
        </m:r>
      </m:oMath>
    </w:p>
    <w:p>
      <w:pPr>
        <w:pStyle w:val="Compact"/>
        <w:numPr>
          <w:ilvl w:val="1"/>
          <w:numId w:val="1031"/>
        </w:numPr>
      </w:pPr>
      <w:r>
        <w:t xml:space="preserve">Benefit scenario:</w:t>
      </w:r>
      <w:r>
        <w:t xml:space="preserve"> </w:t>
      </w:r>
      <m:oMath>
        <m:r>
          <m:t>r</m:t>
        </m:r>
        <m:r>
          <m:rPr>
            <m:sty m:val="p"/>
          </m:rPr>
          <m:t>=</m:t>
        </m:r>
        <m:r>
          <m:t>0.8</m:t>
        </m:r>
      </m:oMath>
    </w:p>
    <w:p>
      <w:pPr>
        <w:pStyle w:val="Compact"/>
        <w:numPr>
          <w:ilvl w:val="0"/>
          <w:numId w:val="1030"/>
        </w:numPr>
      </w:pPr>
      <w:r>
        <w:rPr>
          <w:b/>
          <w:bCs/>
        </w:rPr>
        <w:t xml:space="preserve">Random seed</w:t>
      </w:r>
      <w:r>
        <w:t xml:space="preserve">: 42</w:t>
      </w:r>
    </w:p>
    <w:p>
      <w:pPr>
        <w:pStyle w:val="Compact"/>
        <w:numPr>
          <w:ilvl w:val="0"/>
          <w:numId w:val="1030"/>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62"/>
    <w:bookmarkStart w:id="163" w:name="b.4-sensitivity-analysis-parameters"/>
    <w:p>
      <w:pPr>
        <w:pStyle w:val="Heading4"/>
      </w:pPr>
      <w:r>
        <w:t xml:space="preserve">B.4 Sensitivity analysis parameters</w:t>
      </w:r>
    </w:p>
    <w:p>
      <w:pPr>
        <w:pStyle w:val="FirstParagraph"/>
      </w:pPr>
      <w:r>
        <w:t xml:space="preserve">The sensitivity analysis (Figure fig. 9) varies:</w:t>
      </w:r>
    </w:p>
    <w:p>
      <w:pPr>
        <w:pStyle w:val="Compact"/>
        <w:numPr>
          <w:ilvl w:val="0"/>
          <w:numId w:val="1032"/>
        </w:numPr>
      </w:pPr>
      <w:r>
        <w:rPr>
          <w:b/>
          <w:bCs/>
        </w:rPr>
        <w:t xml:space="preserve">Baseline weeks</w:t>
      </w:r>
      <w:r>
        <w:t xml:space="preserve">: [2, 3, 4, 5, 6, 7, 8]</w:t>
      </w:r>
    </w:p>
    <w:p>
      <w:pPr>
        <w:pStyle w:val="Compact"/>
        <w:numPr>
          <w:ilvl w:val="0"/>
          <w:numId w:val="1032"/>
        </w:numPr>
      </w:pPr>
      <w:r>
        <w:rPr>
          <w:b/>
          <w:bCs/>
        </w:rPr>
        <w:t xml:space="preserve">Quiet-start offsets</w:t>
      </w:r>
      <w:r>
        <w:t xml:space="preserve">: [-12, -8, -4, 0, +4, +8, +12] weeks from 2022-24</w:t>
      </w:r>
    </w:p>
    <w:p>
      <w:pPr>
        <w:pStyle w:val="Compact"/>
        <w:numPr>
          <w:ilvl w:val="0"/>
          <w:numId w:val="1032"/>
        </w:numPr>
      </w:pPr>
      <w:r>
        <w:rPr>
          <w:b/>
          <w:bCs/>
        </w:rPr>
        <w:t xml:space="preserve">Quiet-window end</w:t>
      </w:r>
      <w:r>
        <w:t xml:space="preserve">: Fixed at 2024-16</w:t>
      </w:r>
    </w:p>
    <w:p>
      <w:pPr>
        <w:pStyle w:val="Compact"/>
        <w:numPr>
          <w:ilvl w:val="0"/>
          <w:numId w:val="1032"/>
        </w:numPr>
      </w:pPr>
      <w:r>
        <w:rPr>
          <w:b/>
          <w:bCs/>
        </w:rPr>
        <w:t xml:space="preserve">Dose pairs</w:t>
      </w:r>
      <w:r>
        <w:t xml:space="preserve">: 1 vs 0, 2 vs 0, 2 vs 1</w:t>
      </w:r>
    </w:p>
    <w:p>
      <w:pPr>
        <w:pStyle w:val="Compact"/>
        <w:numPr>
          <w:ilvl w:val="0"/>
          <w:numId w:val="1032"/>
        </w:numPr>
      </w:pPr>
      <w:r>
        <w:rPr>
          <w:b/>
          <w:bCs/>
        </w:rPr>
        <w:t xml:space="preserve">Cohorts</w:t>
      </w:r>
      <w:r>
        <w:t xml:space="preserve">: 2021_24</w:t>
      </w:r>
    </w:p>
    <w:p>
      <w:pPr>
        <w:pStyle w:val="FirstParagraph"/>
      </w:pPr>
      <w:r>
        <w:t xml:space="preserve">Output grids show KCOR values for each parameter combination.</w:t>
      </w:r>
    </w:p>
    <w:bookmarkEnd w:id="163"/>
    <w:bookmarkStart w:id="164"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3"/>
        </w:numPr>
      </w:pPr>
      <w:r>
        <w:rPr>
          <w:b/>
          <w:bCs/>
        </w:rPr>
        <w:t xml:space="preserve">Mid-sampled cohort</w:t>
      </w:r>
      <w:r>
        <w:t xml:space="preserve">: frailty restricted to central quantiles (e.g., 25th–75th percentile) and renormalized to mean 1.</w:t>
      </w:r>
    </w:p>
    <w:p>
      <w:pPr>
        <w:pStyle w:val="Compact"/>
        <w:numPr>
          <w:ilvl w:val="0"/>
          <w:numId w:val="1033"/>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4"/>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4"/>
        </w:numPr>
      </w:pPr>
      <w:r>
        <w:rPr>
          <w:b/>
          <w:bCs/>
        </w:rPr>
        <w:t xml:space="preserve">Base frailty distribution</w:t>
      </w:r>
      <w:r>
        <w:t xml:space="preserve">: Log-normal with mean 1, variance 0.5</w:t>
      </w:r>
    </w:p>
    <w:p>
      <w:pPr>
        <w:pStyle w:val="Compact"/>
        <w:numPr>
          <w:ilvl w:val="0"/>
          <w:numId w:val="1034"/>
        </w:numPr>
      </w:pPr>
      <w:r>
        <w:rPr>
          <w:b/>
          <w:bCs/>
        </w:rPr>
        <w:t xml:space="preserve">Mid-quantile cohort</w:t>
      </w:r>
      <w:r>
        <w:t xml:space="preserve">: 25th–75th percentile</w:t>
      </w:r>
    </w:p>
    <w:p>
      <w:pPr>
        <w:pStyle w:val="Compact"/>
        <w:numPr>
          <w:ilvl w:val="0"/>
          <w:numId w:val="1034"/>
        </w:numPr>
      </w:pPr>
      <w:r>
        <w:rPr>
          <w:b/>
          <w:bCs/>
        </w:rPr>
        <w:t xml:space="preserve">Tail-mixture cohort</w:t>
      </w:r>
      <w:r>
        <w:t xml:space="preserve">: [0–15th] + [85th–100th] percentiles, equal weights</w:t>
      </w:r>
    </w:p>
    <w:p>
      <w:pPr>
        <w:pStyle w:val="Compact"/>
        <w:numPr>
          <w:ilvl w:val="0"/>
          <w:numId w:val="1034"/>
        </w:numPr>
      </w:pPr>
      <w:r>
        <w:rPr>
          <w:b/>
          <w:bCs/>
        </w:rPr>
        <w:t xml:space="preserve">Baseline hazard</w:t>
      </w:r>
      <w:r>
        <w:t xml:space="preserve">: 0.002 per week (constant)</w:t>
      </w:r>
    </w:p>
    <w:p>
      <w:pPr>
        <w:pStyle w:val="Compact"/>
        <w:numPr>
          <w:ilvl w:val="0"/>
          <w:numId w:val="1034"/>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4"/>
        </w:numPr>
      </w:pPr>
      <w:r>
        <w:rPr>
          <w:b/>
          <w:bCs/>
        </w:rPr>
        <w:t xml:space="preserve">Effect window</w:t>
      </w:r>
      <w:r>
        <w:t xml:space="preserve">: weeks 20–80</w:t>
      </w:r>
    </w:p>
    <w:p>
      <w:pPr>
        <w:pStyle w:val="Compact"/>
        <w:numPr>
          <w:ilvl w:val="0"/>
          <w:numId w:val="1034"/>
        </w:numPr>
      </w:pPr>
      <w:r>
        <w:rPr>
          <w:b/>
          <w:bCs/>
        </w:rPr>
        <w:t xml:space="preserve">Random seed</w:t>
      </w:r>
      <w:r>
        <w:t xml:space="preserve">: 42</w:t>
      </w:r>
    </w:p>
    <w:bookmarkEnd w:id="164"/>
    <w:bookmarkStart w:id="171"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65"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65"/>
    <w:bookmarkStart w:id="166" w:name="frailty-structure"/>
    <w:p>
      <w:pPr>
        <w:pStyle w:val="Heading5"/>
      </w:pPr>
      <w:r>
        <w:t xml:space="preserve">Frailty structure</w:t>
      </w:r>
    </w:p>
    <w:p>
      <w:pPr>
        <w:pStyle w:val="Compact"/>
        <w:numPr>
          <w:ilvl w:val="0"/>
          <w:numId w:val="1035"/>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5"/>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66"/>
    <w:bookmarkStart w:id="167"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6"/>
        </w:numPr>
      </w:pPr>
      <w:r>
        <w:t xml:space="preserve">Step change (constant multiplicative factor),</w:t>
      </w:r>
    </w:p>
    <w:p>
      <w:pPr>
        <w:pStyle w:val="Compact"/>
        <w:numPr>
          <w:ilvl w:val="0"/>
          <w:numId w:val="1036"/>
        </w:numPr>
      </w:pPr>
      <w:r>
        <w:t xml:space="preserve">Linear ramp,</w:t>
      </w:r>
    </w:p>
    <w:p>
      <w:pPr>
        <w:pStyle w:val="Compact"/>
        <w:numPr>
          <w:ilvl w:val="0"/>
          <w:numId w:val="1036"/>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67"/>
    <w:bookmarkStart w:id="168"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68"/>
    <w:bookmarkStart w:id="169"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7"/>
        </w:numPr>
      </w:pPr>
      <w:r>
        <w:t xml:space="preserve">KCOR remains approximately flat and near unity during the quiet window,</w:t>
      </w:r>
    </w:p>
    <w:p>
      <w:pPr>
        <w:pStyle w:val="Compact"/>
        <w:numPr>
          <w:ilvl w:val="0"/>
          <w:numId w:val="1037"/>
        </w:numPr>
      </w:pPr>
      <w:r>
        <w:t xml:space="preserve">KCOR deviates in the correct direction and magnitude during the treatment window,</w:t>
      </w:r>
    </w:p>
    <w:p>
      <w:pPr>
        <w:pStyle w:val="Compact"/>
        <w:numPr>
          <w:ilvl w:val="0"/>
          <w:numId w:val="1037"/>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69"/>
    <w:bookmarkStart w:id="170"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70"/>
    <w:bookmarkEnd w:id="171"/>
    <w:bookmarkEnd w:id="172"/>
    <w:bookmarkStart w:id="177" w:name="X3fb27f9d14d988b0afc4c757bd6d2a45d2ae0b5"/>
    <w:p>
      <w:pPr>
        <w:pStyle w:val="Heading3"/>
      </w:pPr>
      <w:r>
        <w:t xml:space="preserve">Appendix C. Additional figures and diagnostics</w:t>
      </w:r>
    </w:p>
    <w:bookmarkStart w:id="173"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8"/>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8"/>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8"/>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73"/>
    <w:bookmarkStart w:id="174"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9"/>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9"/>
        </w:numPr>
      </w:pPr>
      <w:r>
        <w:rPr>
          <w:b/>
          <w:bCs/>
        </w:rPr>
        <w:t xml:space="preserve">Outliers</w:t>
      </w:r>
      <w:r>
        <w:t xml:space="preserve">: Individual weeks with large residuals may indicate data quality issues or external shocks.</w:t>
      </w:r>
    </w:p>
    <w:p>
      <w:pPr>
        <w:pStyle w:val="Compact"/>
        <w:numPr>
          <w:ilvl w:val="0"/>
          <w:numId w:val="1039"/>
        </w:numPr>
      </w:pPr>
      <w:r>
        <w:rPr>
          <w:b/>
          <w:bCs/>
        </w:rPr>
        <w:t xml:space="preserve">Autocorrelation</w:t>
      </w:r>
      <w:r>
        <w:t xml:space="preserve">: Strong autocorrelation in residuals suggests the model is missing time-varying structure.</w:t>
      </w:r>
    </w:p>
    <w:bookmarkEnd w:id="174"/>
    <w:bookmarkStart w:id="175"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40"/>
        </w:numPr>
      </w:pPr>
      <w:r>
        <w:rPr>
          <w:b/>
          <w:bCs/>
        </w:rPr>
        <w:t xml:space="preserve">Quiet-window perturbation</w:t>
      </w:r>
      <w:r>
        <w:t xml:space="preserve">: Shift the quiet-window start/end by ±4 weeks and re-fit. Stable parameters should vary by &lt; 10%.</w:t>
      </w:r>
    </w:p>
    <w:p>
      <w:pPr>
        <w:pStyle w:val="Compact"/>
        <w:numPr>
          <w:ilvl w:val="0"/>
          <w:numId w:val="1040"/>
        </w:numPr>
      </w:pPr>
      <w:r>
        <w:rPr>
          <w:b/>
          <w:bCs/>
        </w:rPr>
        <w:t xml:space="preserve">Skip-weeks sensitivity</w:t>
      </w:r>
      <w:r>
        <w:t xml:space="preserve">: Vary SKIP_WEEKS from 0 to 8 and verify KCOR trajectories remain qualitatively similar.</w:t>
      </w:r>
    </w:p>
    <w:p>
      <w:pPr>
        <w:pStyle w:val="Compact"/>
        <w:numPr>
          <w:ilvl w:val="0"/>
          <w:numId w:val="1040"/>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9) provides a systematic assessment of parameter stability.</w:t>
      </w:r>
    </w:p>
    <w:bookmarkEnd w:id="175"/>
    <w:bookmarkStart w:id="176"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1"/>
        </w:numPr>
      </w:pPr>
      <w:r>
        <w:t xml:space="preserve">Avoid major epidemic waves or external mortality shocks</w:t>
      </w:r>
    </w:p>
    <w:p>
      <w:pPr>
        <w:pStyle w:val="Compact"/>
        <w:numPr>
          <w:ilvl w:val="0"/>
          <w:numId w:val="1041"/>
        </w:numPr>
      </w:pPr>
      <w:r>
        <w:t xml:space="preserve">Contain sufficient event counts for stable estimation</w:t>
      </w:r>
    </w:p>
    <w:p>
      <w:pPr>
        <w:pStyle w:val="Compact"/>
        <w:numPr>
          <w:ilvl w:val="0"/>
          <w:numId w:val="1041"/>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76"/>
    <w:bookmarkEnd w:id="177"/>
    <w:bookmarkStart w:id="186"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p>
      <w:r>
        <w:pict>
          <v:rect style="width:0;height:1.5pt" o:hralign="center" o:hrstd="t" o:hr="t"/>
        </w:pict>
      </w:r>
    </w:p>
    <w:bookmarkStart w:id="178"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2"/>
        </w:numPr>
      </w:pPr>
      <w:r>
        <w:t xml:space="preserve">Inconsistencies in cohort risk sets (e.g., unexplained increases in at-risk counts).</w:t>
      </w:r>
    </w:p>
    <w:p>
      <w:pPr>
        <w:pStyle w:val="Compact"/>
        <w:numPr>
          <w:ilvl w:val="0"/>
          <w:numId w:val="1042"/>
        </w:numPr>
      </w:pPr>
      <w:r>
        <w:t xml:space="preserve">Early-time hazard suppression or inflation inconsistent with selection or depletion geometry.</w:t>
      </w:r>
    </w:p>
    <w:p>
      <w:pPr>
        <w:pStyle w:val="Compact"/>
        <w:numPr>
          <w:ilvl w:val="0"/>
          <w:numId w:val="1042"/>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p>
      <w:r>
        <w:pict>
          <v:rect style="width:0;height:1.5pt" o:hralign="center" o:hrstd="t" o:hr="t"/>
        </w:pict>
      </w:r>
    </w:p>
    <w:bookmarkEnd w:id="178"/>
    <w:bookmarkStart w:id="179"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3"/>
        </w:numPr>
      </w:pPr>
      <w:r>
        <w:t xml:space="preserve">Calendar-time hazard spikes or drops that appear in only one cohort.</w:t>
      </w:r>
    </w:p>
    <w:p>
      <w:pPr>
        <w:pStyle w:val="Compact"/>
        <w:numPr>
          <w:ilvl w:val="0"/>
          <w:numId w:val="1043"/>
        </w:numPr>
      </w:pPr>
      <w:r>
        <w:t xml:space="preserve">Misalignment of major mortality shocks (e.g., epidemic waves) across cohorts.</w:t>
      </w:r>
    </w:p>
    <w:p>
      <w:pPr>
        <w:pStyle w:val="Compact"/>
        <w:numPr>
          <w:ilvl w:val="0"/>
          <w:numId w:val="1043"/>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p>
      <w:r>
        <w:pict>
          <v:rect style="width:0;height:1.5pt" o:hralign="center" o:hrstd="t" o:hr="t"/>
        </w:pict>
      </w:r>
    </w:p>
    <w:bookmarkEnd w:id="179"/>
    <w:bookmarkStart w:id="180"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4"/>
        </w:numPr>
      </w:pPr>
      <w:r>
        <w:t xml:space="preserve">Strongly structured residuals in cumulative-hazard space inconsistent with depletion.</w:t>
      </w:r>
    </w:p>
    <w:p>
      <w:pPr>
        <w:pStyle w:val="Compact"/>
        <w:numPr>
          <w:ilvl w:val="0"/>
          <w:numId w:val="1044"/>
        </w:numPr>
      </w:pPr>
      <w:r>
        <w:t xml:space="preserve">Instability of fitted frailty parameters not attributable to window placement.</w:t>
      </w:r>
    </w:p>
    <w:p>
      <w:pPr>
        <w:pStyle w:val="Compact"/>
        <w:numPr>
          <w:ilvl w:val="0"/>
          <w:numId w:val="1044"/>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p>
      <w:r>
        <w:pict>
          <v:rect style="width:0;height:1.5pt" o:hralign="center" o:hrstd="t" o:hr="t"/>
        </w:pict>
      </w:r>
    </w:p>
    <w:bookmarkEnd w:id="180"/>
    <w:bookmarkStart w:id="181"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5"/>
        </w:numPr>
      </w:pPr>
      <w:r>
        <w:t xml:space="preserve">Poor fit of the gamma-frailty cumulative-hazard model during the quiet window.</w:t>
      </w:r>
    </w:p>
    <w:p>
      <w:pPr>
        <w:pStyle w:val="Compact"/>
        <w:numPr>
          <w:ilvl w:val="0"/>
          <w:numId w:val="1045"/>
        </w:numPr>
      </w:pPr>
      <w:r>
        <w:t xml:space="preserve">Systematic residual curvature after frailty normalization.</w:t>
      </w:r>
    </w:p>
    <w:p>
      <w:pPr>
        <w:pStyle w:val="Compact"/>
        <w:numPr>
          <w:ilvl w:val="0"/>
          <w:numId w:val="1045"/>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p>
      <w:r>
        <w:pict>
          <v:rect style="width:0;height:1.5pt" o:hralign="center" o:hrstd="t" o:hr="t"/>
        </w:pict>
      </w:r>
    </w:p>
    <w:bookmarkEnd w:id="181"/>
    <w:bookmarkStart w:id="182"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6"/>
        </w:numPr>
      </w:pPr>
      <w:r>
        <w:t xml:space="preserve">Failure of KCOR(t) trajectories to stabilize or asymptote following frailty normalization.</w:t>
      </w:r>
    </w:p>
    <w:p>
      <w:pPr>
        <w:pStyle w:val="Compact"/>
        <w:numPr>
          <w:ilvl w:val="0"/>
          <w:numId w:val="1046"/>
        </w:numPr>
      </w:pPr>
      <w:r>
        <w:t xml:space="preserve">Persistent nonzero slope in KCOR(t), indicating residual curvature after normalization.</w:t>
      </w:r>
    </w:p>
    <w:p>
      <w:pPr>
        <w:pStyle w:val="Compact"/>
        <w:numPr>
          <w:ilvl w:val="0"/>
          <w:numId w:val="1046"/>
        </w:numPr>
      </w:pPr>
      <w:r>
        <w:t xml:space="preserve">Instability of fitted frailty parameters (θ) under small perturbations of quiet-window boundaries.</w:t>
      </w:r>
    </w:p>
    <w:p>
      <w:pPr>
        <w:pStyle w:val="Compact"/>
        <w:numPr>
          <w:ilvl w:val="0"/>
          <w:numId w:val="1046"/>
        </w:numPr>
      </w:pPr>
      <w:r>
        <w:t xml:space="preserve">Failure of depletion-neutralized cumulative hazards to become approximately linear during the quiet window.</w:t>
      </w:r>
    </w:p>
    <w:p>
      <w:pPr>
        <w:pStyle w:val="Compact"/>
        <w:numPr>
          <w:ilvl w:val="0"/>
          <w:numId w:val="1046"/>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p>
      <w:r>
        <w:pict>
          <v:rect style="width:0;height:1.5pt" o:hralign="center" o:hrstd="t" o:hr="t"/>
        </w:pict>
      </w:r>
    </w:p>
    <w:bookmarkEnd w:id="182"/>
    <w:bookmarkStart w:id="183"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p>
      <w:r>
        <w:pict>
          <v:rect style="width:0;height:1.5pt" o:hralign="center" o:hrstd="t" o:hr="t"/>
        </w:pict>
      </w:r>
    </w:p>
    <w:bookmarkEnd w:id="183"/>
    <w:bookmarkStart w:id="184"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p>
      <w:r>
        <w:pict>
          <v:rect style="width:0;height:1.5pt" o:hralign="center" o:hrstd="t" o:hr="t"/>
        </w:pict>
      </w:r>
    </w:p>
    <w:bookmarkEnd w:id="184"/>
    <w:bookmarkStart w:id="185"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p>
      <w:r>
        <w:pict>
          <v:rect style="width:0;height:1.5pt" o:hralign="center" o:hrstd="t" o:hr="t"/>
        </w:pict>
      </w:r>
    </w:p>
    <w:bookmarkEnd w:id="185"/>
    <w:bookmarkEnd w:id="186"/>
    <w:bookmarkEnd w:id="187"/>
    <w:bookmarkStart w:id="196" w:name="references"/>
    <w:p>
      <w:pPr>
        <w:pStyle w:val="Heading2"/>
      </w:pPr>
      <w:r>
        <w:t xml:space="preserve">References</w:t>
      </w:r>
    </w:p>
    <w:bookmarkStart w:id="195" w:name="refs"/>
    <w:bookmarkStart w:id="189"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88">
        <w:r>
          <w:rPr>
            <w:rStyle w:val="Hyperlink"/>
          </w:rPr>
          <w:t xml:space="preserve">10.2307/2061224</w:t>
        </w:r>
      </w:hyperlink>
    </w:p>
    <w:bookmarkEnd w:id="189"/>
    <w:bookmarkStart w:id="191"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90">
        <w:r>
          <w:rPr>
            <w:rStyle w:val="Hyperlink"/>
          </w:rPr>
          <w:t xml:space="preserve">10.2147/CLEP.S468572</w:t>
        </w:r>
      </w:hyperlink>
    </w:p>
    <w:bookmarkEnd w:id="191"/>
    <w:bookmarkStart w:id="193"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92">
        <w:r>
          <w:rPr>
            <w:rStyle w:val="Hyperlink"/>
          </w:rPr>
          <w:t xml:space="preserve">10.7554/eLife.103690</w:t>
        </w:r>
      </w:hyperlink>
    </w:p>
    <w:bookmarkEnd w:id="193"/>
    <w:bookmarkStart w:id="194"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94"/>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65" Target="media/rId65.png" /><Relationship Type="http://schemas.openxmlformats.org/officeDocument/2006/relationships/image" Id="rId84" Target="media/rId84.png" /><Relationship Type="http://schemas.openxmlformats.org/officeDocument/2006/relationships/image" Id="rId102" Target="media/rId102.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08" Target="media/rId108.png" /><Relationship Type="http://schemas.openxmlformats.org/officeDocument/2006/relationships/image" Id="rId117" Target="media/rId117.png" /><Relationship Type="http://schemas.openxmlformats.org/officeDocument/2006/relationships/image" Id="rId113" Target="media/rId113.png" /><Relationship Type="http://schemas.openxmlformats.org/officeDocument/2006/relationships/hyperlink" Id="rId190" Target="https://doi.org/10.2147/CLEP.S468572" TargetMode="External" /><Relationship Type="http://schemas.openxmlformats.org/officeDocument/2006/relationships/hyperlink" Id="rId188" Target="https://doi.org/10.2307/2061224" TargetMode="External" /><Relationship Type="http://schemas.openxmlformats.org/officeDocument/2006/relationships/hyperlink" Id="rId147" Target="https://doi.org/10.5281/zenodo.18050329" TargetMode="External" /><Relationship Type="http://schemas.openxmlformats.org/officeDocument/2006/relationships/hyperlink" Id="rId192" Target="https://doi.org/10.7554/eLife.103690" TargetMode="External" /><Relationship Type="http://schemas.openxmlformats.org/officeDocument/2006/relationships/hyperlink" Id="rId146"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2147/CLEP.S468572" TargetMode="External" /><Relationship Type="http://schemas.openxmlformats.org/officeDocument/2006/relationships/hyperlink" Id="rId188" Target="https://doi.org/10.2307/2061224" TargetMode="External" /><Relationship Type="http://schemas.openxmlformats.org/officeDocument/2006/relationships/hyperlink" Id="rId147" Target="https://doi.org/10.5281/zenodo.18050329" TargetMode="External" /><Relationship Type="http://schemas.openxmlformats.org/officeDocument/2006/relationships/hyperlink" Id="rId192" Target="https://doi.org/10.7554/eLife.103690" TargetMode="External" /><Relationship Type="http://schemas.openxmlformats.org/officeDocument/2006/relationships/hyperlink" Id="rId146"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2025-12-31T06:50:13Z</dcterms:created>
  <dcterms:modified xsi:type="dcterms:W3CDTF">2025-12-31T06:50:13Z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