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92.png" ContentType="image/png"/>
  <Override PartName="/word/media/rId66.png" ContentType="image/png"/>
  <Override PartName="/word/media/rId70.png" ContentType="image/png"/>
  <Override PartName="/word/media/rId61.png" ContentType="image/png"/>
  <Override PartName="/word/media/rId82.png" ContentType="image/png"/>
  <Override PartName="/word/media/rId99.png" ContentType="image/png"/>
  <Override PartName="/word/media/rId122.png" ContentType="image/png"/>
  <Override PartName="/word/media/rId118.png" ContentType="image/png"/>
  <Override PartName="/word/media/rId104.png" ContentType="image/png"/>
  <Override PartName="/word/media/rId114.png" ContentType="image/png"/>
  <Override PartName="/word/media/rId110.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4" w:name="main"/>
    <w:bookmarkStart w:id="193" w:name="X8a6fbe8a8e8f2531b7e9694650a4d74c0ac5545"/>
    <w:p>
      <w:pPr>
        <w:pStyle w:val="Heading1"/>
      </w:pPr>
      <w:r>
        <w:t xml:space="preserve">KCOR: A Depletion-Neutralized Cohort Comparison Framework Using Gamma-Frailty Normalization Under Selection-Induced Cumulative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frailty heterogeneity; depletion of susceptibles; non-proportional hazards; hazard normalization; cumulative hazards; estimands; gamma frailty; negative controls; observational cohort studies</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generate non-proportional hazards that invalidate standard survival estimands. We introduce the Kirsch Cumulative Outcomes Ratio (KCOR), a normalization-and-comparison framework designed to remove selection-induced depletion curvature from cumulative hazards, enabling valid post-adjustment cohort comparison using minimal registry data (dates of birth, intervention, and event).</w:t>
      </w:r>
    </w:p>
    <w:p>
      <w:pPr>
        <w:pStyle w:val="BodyText"/>
      </w:pPr>
      <w:r>
        <w:t xml:space="preserve">KCOR estimates cohort-specific depletion parameters during prespecified epidemiologically quiet periods and transforms observed cumulative hazards into a depletion-neutralized space via gamma-frailty inversion, after which cohorts may be compared using standard survival estimands. For concreteness and visualization, we focus on ratios of adjusted cumulative hazards. Using simulation studies that vary frailty heterogeneity and selection strength, we evaluate KCOR alongside commonly used hazard- and survival-based estimands under both null and non-null conditions. Under selection-only regimes, KCOR remains centered near the null with stable trajectories, whereas Cox regression and related estimands exhibit systematic non-null behavior driven by residual depletion effects.</w:t>
      </w:r>
    </w:p>
    <w:p>
      <w:pPr>
        <w:pStyle w:val="BodyText"/>
      </w:pPr>
      <w:r>
        <w:t xml:space="preserve">KCOR is presented as a diagnostic and normalization framework rather than a causal identification strategy, addressing failures that arise prior to model fitting. Interpretation of KCOR trajectories is conditional on stated assumptions and validated through prespecified simulations, negative controls, and internal diagnostics.</w:t>
      </w:r>
    </w:p>
    <w:bookmarkEnd w:id="10"/>
    <w:bookmarkStart w:id="12" w:name="key-messages"/>
    <w:p>
      <w:pPr>
        <w:pStyle w:val="Heading2"/>
      </w:pPr>
      <w:r>
        <w:t xml:space="preserve">Key messages</w:t>
      </w:r>
    </w:p>
    <w:p>
      <w:pPr>
        <w:pStyle w:val="FirstParagraph"/>
      </w:pPr>
      <w:r>
        <w:t xml:space="preserve">• Selection-induced depletion under latent frailty heterogeneity produces non-proportional hazards and curvature in cumulative hazard trajectories, invalidating direct application of standard survival estimands in many retrospective cohort studies.</w:t>
      </w:r>
    </w:p>
    <w:p>
      <w:pPr>
        <w:pStyle w:val="BodyText"/>
      </w:pPr>
      <w:r>
        <w:t xml:space="preserve">• KCOR provides a diagnostic and normalization framework that removes selection-induced depletion curvature from cumulative hazards using minimal registry data, restoring a common comparison scale across cohorts.</w:t>
      </w:r>
    </w:p>
    <w:p>
      <w:pPr>
        <w:pStyle w:val="BodyText"/>
      </w:pPr>
      <w:r>
        <w:t xml:space="preserve">• KCOR separates normalization from comparison: once hazards are depletion-neutralized, cohorts may be compared using standard post-adjustment estimands (e.g., ratios, differences, slopes, or restricted mean survival time), with the choice driven by interpretability rather than identifiability constraints.</w:t>
      </w:r>
    </w:p>
    <w:p>
      <w:pPr>
        <w:pStyle w:val="BodyText"/>
      </w:pPr>
      <w:r>
        <w:t xml:space="preserve">• Simulation studies and empirical controls show that under selection-only regimes, KCOR-normalized trajectories remain stable and centered near the null, while commonly used estimands such as Cox regression can exhibit systematic non-null behavior when applied to unadjusted data.</w: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2"/>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2"/>
        </w:numPr>
      </w:pPr>
      <w:r>
        <w:rPr>
          <w:b/>
          <w:bCs/>
        </w:rPr>
        <w:t xml:space="preserve">Compute observed hazards</w:t>
      </w:r>
      <w:r>
        <w:t xml:space="preserve">: From weekly alive/dead counts, compute weekly mortality risk and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2"/>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2"/>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(10)). The frailty variance parameter</w:t>
      </w:r>
      <w:r>
        <w:t xml:space="preserve"> </w:t>
      </w:r>
      <m:oMath>
        <m:sSub>
          <m:e>
            <m:r>
              <m:t>θ</m:t>
            </m:r>
          </m:e>
          <m:sub>
            <m:r>
              <m:t>d</m:t>
            </m:r>
          </m:sub>
        </m:sSub>
      </m:oMath>
      <w:r>
        <w:t xml:space="preserve"> </w:t>
      </w:r>
      <w:r>
        <w:t xml:space="preserve">captures selection-induced depletion curvature.</w:t>
      </w:r>
    </w:p>
    <w:p>
      <w:pPr>
        <w:numPr>
          <w:ilvl w:val="0"/>
          <w:numId w:val="1002"/>
        </w:numPr>
      </w:pPr>
      <w:r>
        <w:rPr>
          <w:b/>
          <w:bCs/>
        </w:rPr>
        <w:t xml:space="preserve">Compute adjusted cumulative hazard</w:t>
      </w:r>
      <w:r>
        <w:t xml:space="preserve">: Apply the gamma-frailty inversion (Equation (11))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pStyle w:val="FirstParagraph"/>
      </w:pPr>
      <w:r>
        <w:rPr>
          <w:i/>
          <w:iCs/>
        </w:rPr>
        <w:t xml:space="preserve">After normalization, cohort comparisons are performed on the depletion-neutralized scale using a prespecified estimand; in this manuscript, we report cumulative hazard ratios for concreteness.</w:t>
      </w:r>
    </w:p>
    <w:p>
      <w:pPr>
        <w:numPr>
          <w:ilvl w:val="0"/>
          <w:numId w:val="1003"/>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3"/>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3"/>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pPr>
        <w:pStyle w:val="FirstParagraph"/>
      </w:pPr>
      <w:r>
        <w:t xml:space="preserve">Observed cumulative hazards are computed by summing weekly integrated hazard increments</w:t>
      </w:r>
      <w:r>
        <w:t xml:space="preserve"> </w:t>
      </w: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t>D</m:t>
                </m:r>
              </m:e>
              <m:sub>
                <m:r>
                  <m:t>d</m:t>
                </m:r>
                <m:r>
                  <m:rPr>
                    <m:sty m:val="p"/>
                  </m:rPr>
                  <m:t>,</m:t>
                </m:r>
                <m:r>
                  <m:t>t</m:t>
                </m:r>
              </m:sub>
            </m:sSub>
            <m:r>
              <m:rPr>
                <m:sty m:val="p"/>
              </m:rPr>
              <m:t>/</m:t>
            </m:r>
            <m:sSub>
              <m:e>
                <m:r>
                  <m:t>Y</m:t>
                </m:r>
              </m:e>
              <m:sub>
                <m:r>
                  <m:t>d</m:t>
                </m:r>
                <m:r>
                  <m:rPr>
                    <m:sty m:val="p"/>
                  </m:rPr>
                  <m:t>,</m:t>
                </m:r>
                <m:r>
                  <m:t>t</m:t>
                </m:r>
              </m:sub>
            </m:sSub>
          </m:e>
        </m:d>
      </m:oMath>
      <w:r>
        <w:t xml:space="preserve">, where</w:t>
      </w:r>
      <w:r>
        <w:t xml:space="preserve"> </w:t>
      </w:r>
      <m:oMath>
        <m:sSub>
          <m:e>
            <m:r>
              <m:t>D</m:t>
            </m:r>
          </m:e>
          <m:sub>
            <m:r>
              <m:t>d</m:t>
            </m:r>
            <m:r>
              <m:rPr>
                <m:sty m:val="p"/>
              </m:rPr>
              <m:t>,</m:t>
            </m:r>
            <m:r>
              <m:t>t</m:t>
            </m:r>
          </m:sub>
        </m:sSub>
      </m:oMath>
      <w:r>
        <w:t xml:space="preserve"> </w:t>
      </w:r>
      <w:r>
        <w:t xml:space="preserve">is the number of deaths during week</w:t>
      </w:r>
      <w:r>
        <w:t xml:space="preserve"> </w:t>
      </w:r>
      <m:oMath>
        <m:r>
          <m:t>t</m:t>
        </m:r>
      </m:oMath>
      <w:r>
        <w:t xml:space="preserve"> </w:t>
      </w:r>
      <w:r>
        <w:t xml:space="preserve">and</w:t>
      </w:r>
      <w:r>
        <w:t xml:space="preserve"> </w:t>
      </w:r>
      <m:oMath>
        <m:sSub>
          <m:e>
            <m:r>
              <m:t>Y</m:t>
            </m:r>
          </m:e>
          <m:sub>
            <m:r>
              <m:t>d</m:t>
            </m:r>
            <m:r>
              <m:rPr>
                <m:sty m:val="p"/>
              </m:rPr>
              <m:t>,</m:t>
            </m:r>
            <m:r>
              <m:t>t</m:t>
            </m:r>
          </m:sub>
        </m:sSub>
      </m:oMath>
      <w:r>
        <w:t xml:space="preserve"> </w:t>
      </w:r>
      <w:r>
        <w:t xml:space="preserve">is the number at risk at the start of that week.</w:t>
      </w:r>
    </w:p>
    <w:p>
      <w:r>
        <w:pict>
          <v:rect style="width:0;height:1.5pt" o:hralign="center" o:hrstd="t" o:hr="t"/>
        </w:pict>
      </w:r>
    </w:p>
    <w:bookmarkEnd w:id="11"/>
    <w:bookmarkEnd w:id="12"/>
    <w:bookmarkStart w:id="27"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4"/>
        </w:numPr>
      </w:pPr>
      <w:r>
        <w:rPr>
          <w:b/>
          <w:bCs/>
        </w:rPr>
        <w:t xml:space="preserve">Cox PH</w:t>
      </w:r>
      <w:r>
        <w:t xml:space="preserve">: assumes hazards differ by a time-invariant multiplicative factor (proportional hazards).</w:t>
      </w:r>
    </w:p>
    <w:p>
      <w:pPr>
        <w:pStyle w:val="Compact"/>
        <w:numPr>
          <w:ilvl w:val="0"/>
          <w:numId w:val="1004"/>
        </w:numPr>
      </w:pPr>
      <w:r>
        <w:rPr>
          <w:b/>
          <w:bCs/>
        </w:rPr>
        <w:t xml:space="preserve">IPTW / matching</w:t>
      </w:r>
      <w:r>
        <w:t xml:space="preserve">: can balance measured covariates yet fail to balance unmeasured frailty and the resulting depletion dynamics.</w:t>
      </w:r>
    </w:p>
    <w:p>
      <w:pPr>
        <w:pStyle w:val="Compact"/>
        <w:numPr>
          <w:ilvl w:val="0"/>
          <w:numId w:val="1004"/>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5"/>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5"/>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In this manuscript, the reported estimand is cumulative rather than instantaneous, and interpretability is enforced diagnostically rather than assumed through model flexibility.</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End w:id="21"/>
    <w:bookmarkEnd w:id="22"/>
    <w:bookmarkStart w:id="23" w:name="contribution-of-this-work"/>
    <w:p>
      <w:pPr>
        <w:pStyle w:val="Heading3"/>
      </w:pPr>
      <w:r>
        <w:t xml:space="preserve">1.5 Contribution of this work</w:t>
      </w:r>
    </w:p>
    <w:p>
      <w:pPr>
        <w:pStyle w:val="FirstParagraph"/>
      </w:pPr>
      <w:r>
        <w:t xml:space="preserve">This work makes four primary contributions.</w:t>
      </w:r>
    </w:p>
    <w:p>
      <w:pPr>
        <w:pStyle w:val="BodyText"/>
      </w:pPr>
      <w:r>
        <w:t xml:space="preserve">First, we identify and formalize a common failure mode in retrospective cohort survival analysis: selection-induced depletion under latent frailty heterogeneity generates non-proportional hazards and curvature in cumulative hazard trajectories that invalidate standard survival estimands when applied directly to observed data.</w:t>
      </w:r>
    </w:p>
    <w:p>
      <w:pPr>
        <w:pStyle w:val="BodyText"/>
      </w:pPr>
      <w:r>
        <w:t xml:space="preserve">Second, we introduce KCOR as a diagnostic and normalization framework that estimates cohort-specific depletion geometry during epidemiologically quiet periods and maps observed cumulative hazards into a depletion-neutralized space via gamma-frailty inversion. This normalization step restores approximate stationarity of hazards and comparability across cohorts using only minimal registry data.</w:t>
      </w:r>
    </w:p>
    <w:p>
      <w:pPr>
        <w:pStyle w:val="BodyText"/>
      </w:pPr>
      <w:r>
        <w:t xml:space="preserve">Third, we demonstrate through simulation and empirical negative controls that commonly used estimands—including Cox proportional hazards regression and related survival-based summaries—can exhibit systematic non-null behavior under selection-only regimes, while KCOR-normalized trajectories remain stable and centered near the null.</w:t>
      </w:r>
    </w:p>
    <w:p>
      <w:pPr>
        <w:pStyle w:val="BodyText"/>
      </w:pPr>
      <w:r>
        <w:t xml:space="preserve">Fourth, we clarify that KCOR does not privilege a single comparison estimand. Rather, it separates normalization from comparison: once hazards are depletion-neutralized, cohorts may be compared using a range of standard post-adjustment estimands (e.g., ratios, differences, slopes, or restricted mean survival time), with the choice driven by interpretability and scientific context. In this manuscript, we focus on ratios of adjusted cumulative hazards as a stable and interpretable summary aligned with the normalization geometry.</w:t>
      </w:r>
    </w:p>
    <w:p>
      <w:pPr>
        <w:pStyle w:val="BodyText"/>
      </w:pPr>
      <w:r>
        <w:t xml:space="preserve">Together, these contributions position KCOR not as a replacement for existing survival estimands, but as a prerequisite normalization step that addresses a source of bias arising prior to model fitting in many retrospective cohort studies.</w:t>
      </w:r>
    </w:p>
    <w:bookmarkEnd w:id="23"/>
    <w:bookmarkStart w:id="24"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w:t>
      </w:r>
      <w:r>
        <w:t xml:space="preserve"> </w:t>
      </w:r>
      <w:r>
        <w:t xml:space="preserve">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4"/>
    <w:bookmarkStart w:id="25"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5"/>
    <w:bookmarkStart w:id="26"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6"/>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6"/>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7"/>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8"/>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9"/>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10"/>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6"/>
    <w:bookmarkEnd w:id="27"/>
    <w:bookmarkStart w:id="28"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p>
      <w:pPr>
        <w:pStyle w:val="BodyText"/>
      </w:pPr>
      <w:r>
        <w:t xml:space="preserve">For COVID-19 vaccination analyses, intervention count corresponds to the number of vaccine doses received; more generally, this can index any discrete exposure level.</w:t>
      </w:r>
    </w:p>
    <w:bookmarkEnd w:id="28"/>
    <w:bookmarkStart w:id="32"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1"/>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1"/>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2"/>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2"/>
        </w:numPr>
      </w:pPr>
      <w:r>
        <w:rPr>
          <w:b/>
          <w:bCs/>
        </w:rPr>
        <w:t xml:space="preserve">Map observed cumulative hazards into a depletion-neutralized space</w:t>
      </w:r>
      <w:r>
        <w:t xml:space="preserve"> </w:t>
      </w:r>
      <w:r>
        <w:t xml:space="preserve">by inverting that geometry.</w:t>
      </w:r>
    </w:p>
    <w:p>
      <w:pPr>
        <w:pStyle w:val="Compact"/>
        <w:numPr>
          <w:ilvl w:val="0"/>
          <w:numId w:val="1012"/>
        </w:numPr>
      </w:pPr>
      <w:r>
        <w:rPr>
          <w:b/>
          <w:bCs/>
        </w:rPr>
        <w:t xml:space="preserve">Compare cohorts only after normalization</w:t>
      </w:r>
      <w:r>
        <w:t xml:space="preserve"> </w:t>
      </w:r>
      <w:r>
        <w:t xml:space="preserve">using a prespecified post-adjustment estimand; in this work, we use ratios of depletion-neutralized cumulative hazards (KCOR).</w:t>
      </w:r>
    </w:p>
    <w:bookmarkStart w:id="30" w:name="target-estimand"/>
    <w:p>
      <w:pPr>
        <w:pStyle w:val="Heading3"/>
      </w:pPr>
      <w:r>
        <w:t xml:space="preserve">2.1.1 Target estimand</w:t>
      </w:r>
    </w:p>
    <w:p>
      <w:pPr>
        <w:pStyle w:val="FirstParagraph"/>
      </w:pPr>
      <w:r>
        <w:rPr>
          <w:i/>
          <w:iCs/>
        </w:rPr>
        <w:t xml:space="preserve">KCOR separates normalization from comparison. The normalization step produces depletion-neutralized baseline cumulative hazards that render cohorts comparable; the subsequent comparison may be carried out using a variety of cumulative or summary estimands. In this manuscript, we define and report the cumulative hazard ratio as the primary estimand.</w:t>
      </w:r>
    </w:p>
    <w:p>
      <w:pPr>
        <w:pStyle w:val="BodyText"/>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29"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29"/>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0"/>
    <w:bookmarkStart w:id="31"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3"/>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3"/>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3"/>
        </w:numPr>
      </w:pPr>
      <w:r>
        <w:t xml:space="preserve">absence of systematic residual structure in cumulative-hazard space.</w:t>
      </w:r>
    </w:p>
    <w:p>
      <w:pPr>
        <w:pStyle w:val="FirstParagraph"/>
      </w:pPr>
      <w:r>
        <w:t xml:space="preserve">Diagnostics corresponding to each assumption are summarized in Table D.1 and discussed in detail in Appendix D.</w:t>
      </w:r>
    </w:p>
    <w:p>
      <w:r>
        <w:pict>
          <v:rect style="width:0;height:1.5pt" o:hralign="center" o:hrstd="t" o:hr="t"/>
        </w:pict>
      </w:r>
    </w:p>
    <w:bookmarkEnd w:id="31"/>
    <w:bookmarkEnd w:id="32"/>
    <w:bookmarkStart w:id="33"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4"/>
        </w:numPr>
      </w:pPr>
      <w:r>
        <w:rPr>
          <w:b/>
          <w:bCs/>
        </w:rPr>
        <w:t xml:space="preserve">No post-enrollment switching</w:t>
      </w:r>
      <w:r>
        <w:t xml:space="preserve"> </w:t>
      </w:r>
      <w:r>
        <w:t xml:space="preserve">is allowed (individuals remain in their enrollment cohort),</w:t>
      </w:r>
    </w:p>
    <w:p>
      <w:pPr>
        <w:pStyle w:val="Compact"/>
        <w:numPr>
          <w:ilvl w:val="0"/>
          <w:numId w:val="1014"/>
        </w:numPr>
      </w:pPr>
      <w:r>
        <w:rPr>
          <w:b/>
          <w:bCs/>
        </w:rPr>
        <w:t xml:space="preserve">No censoring</w:t>
      </w:r>
      <w:r>
        <w:t xml:space="preserve"> </w:t>
      </w:r>
      <w:r>
        <w:t xml:space="preserve">is applied (other than administrative end of follow-up),</w:t>
      </w:r>
    </w:p>
    <w:p>
      <w:pPr>
        <w:pStyle w:val="Compact"/>
        <w:numPr>
          <w:ilvl w:val="0"/>
          <w:numId w:val="1014"/>
        </w:numPr>
      </w:pPr>
      <w:r>
        <w:t xml:space="preserve">analyses are performed on the resulting fixed risk sets.</w:t>
      </w:r>
    </w:p>
    <w:p>
      <w:pPr>
        <w:pStyle w:val="FirstParagraph"/>
      </w:pPr>
      <w:r>
        <w:t xml:space="preserve">Censoring or reclassification due to cohort transitions (e.g., moving between exposure groups over time) is not permitted, because such transitions alter the frailty composition of the cohort in a time-dependent manner. Allowing transitions would introduce additional, endogenous selection that changes cohort mortality trajectories in unpredictable ways, confounding depletion effects that KCOR is designed to normalize.</w:t>
      </w:r>
    </w:p>
    <w:p>
      <w:pPr>
        <w:pStyle w:val="BodyText"/>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Conceptual requirements of the KCOR framework are distinguished from operational defaults, which are reported separately for reproducibility (Appendix E).</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3"/>
    <w:bookmarkStart w:id="36"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4"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4"/>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35"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5"/>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36"/>
    <w:bookmarkStart w:id="81" w:name="Xac986e115b315a486d7d296f1ed82bc5da7c6c5"/>
    <w:p>
      <w:pPr>
        <w:pStyle w:val="Heading2"/>
      </w:pPr>
      <w:r>
        <w:t xml:space="preserve">2.4 Selection model: gamma frailty and depletion normalization</w:t>
      </w:r>
    </w:p>
    <w:bookmarkStart w:id="38"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37"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37"/>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38"/>
    <w:bookmarkStart w:id="42" w:name="gamma-frailty-identity-and-inversion"/>
    <w:p>
      <w:pPr>
        <w:pStyle w:val="Heading3"/>
      </w:pPr>
      <w:r>
        <w:t xml:space="preserve">2.4.2 Gamma-frailty identity and inversion</w:t>
      </w:r>
    </w:p>
    <w:p>
      <w:pPr>
        <w:pStyle w:val="FirstParagraph"/>
      </w:pPr>
      <w:r>
        <w:t xml:space="preserve">Let</w:t>
      </w:r>
    </w:p>
    <w:bookmarkStart w:id="39"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39"/>
    <w:p>
      <w:pPr>
        <w:pStyle w:val="BodyText"/>
      </w:pPr>
      <w:r>
        <w:t xml:space="preserve">denote the baseline cumulative hazard. Integrating over gamma frailty yields the gamma-frailty identity</w:t>
      </w:r>
    </w:p>
    <w:bookmarkStart w:id="40"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0"/>
    <w:p>
      <w:pPr>
        <w:pStyle w:val="BodyText"/>
      </w:pPr>
      <w:r>
        <w:t xml:space="preserve">which can be inverted exactly as</w:t>
      </w:r>
    </w:p>
    <w:bookmarkStart w:id="41"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1"/>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2"/>
    <w:bookmarkStart w:id="44"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3"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3"/>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4"/>
    <w:bookmarkStart w:id="46"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45"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5"/>
        </w:numPr>
      </w:pPr>
      <w:r>
        <w:t xml:space="preserve">Calendar-time hazard curves exhibit approximate linearity with no sustained trend breaks.</w:t>
      </w:r>
    </w:p>
    <w:p>
      <w:pPr>
        <w:pStyle w:val="Compact"/>
        <w:numPr>
          <w:ilvl w:val="0"/>
          <w:numId w:val="1015"/>
        </w:numPr>
      </w:pPr>
      <w:r>
        <w:t xml:space="preserve">Periods containing epidemic waves, reporting artifacts, or policy shocks are excluded.</w:t>
      </w:r>
    </w:p>
    <w:p>
      <w:pPr>
        <w:pStyle w:val="Compact"/>
        <w:numPr>
          <w:ilvl w:val="0"/>
          <w:numId w:val="1015"/>
        </w:numPr>
      </w:pPr>
      <w:r>
        <w:t xml:space="preserve">The window spans a minimum duration sufficient for stable slope estimation.</w:t>
      </w:r>
    </w:p>
    <w:p>
      <w:pPr>
        <w:pStyle w:val="Compact"/>
        <w:numPr>
          <w:ilvl w:val="0"/>
          <w:numId w:val="1015"/>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45"/>
    <w:bookmarkEnd w:id="46"/>
    <w:bookmarkStart w:id="49"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7"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7"/>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48"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48"/>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p>
      <w:pPr>
        <w:pStyle w:val="BodyText"/>
      </w:pPr>
      <w:r>
        <w:t xml:space="preserve">All analyses use a prespecified reference implementation with fixed operational defaults; full details are provided in Appendix E.</w:t>
      </w:r>
    </w:p>
    <w:bookmarkEnd w:id="49"/>
    <w:bookmarkStart w:id="54"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0"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50"/>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1"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51"/>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w:t>
      </w:r>
    </w:p>
    <w:p>
      <w:pPr>
        <w:pStyle w:val="BodyText"/>
      </w:pPr>
      <w:r>
        <w:rPr>
          <w:i/>
          <w:iCs/>
        </w:rPr>
        <w:t xml:space="preserve">Rather, normalization defines a common comparison space; the choice of estimand on that space is a scientific decision. This work focuses on cumulative hazard ratios because they are stable, interpretable, and directly aligned with the normalization geometry.</w:t>
      </w:r>
    </w:p>
    <w:p>
      <w:pPr>
        <w:pStyle w:val="BodyText"/>
      </w:pPr>
      <w:r>
        <w:t xml:space="preserve">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2"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2"/>
    <w:bookmarkStart w:id="53"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6"/>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6"/>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7"/>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8"/>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3"/>
    <w:bookmarkEnd w:id="54"/>
    <w:bookmarkStart w:id="56"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5"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55"/>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56"/>
    <w:bookmarkStart w:id="58"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57"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57"/>
    <w:p>
      <w:pPr>
        <w:pStyle w:val="BodyText"/>
      </w:pPr>
      <w:r>
        <w:t xml:space="preserve">This is a cumulative comparison in hazard space after removing cohort-specific selection-induced depletion dynamics estimated during quiet periods.</w:t>
      </w:r>
    </w:p>
    <w:bookmarkEnd w:id="58"/>
    <w:bookmarkStart w:id="60"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59"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19"/>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19"/>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19"/>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19"/>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19"/>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9"/>
    <w:bookmarkEnd w:id="60"/>
    <w:bookmarkStart w:id="65"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4"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2" name="Picture"/>
            <a:graphic>
              <a:graphicData uri="http://schemas.openxmlformats.org/drawingml/2006/picture">
                <pic:pic>
                  <pic:nvPicPr>
                    <pic:cNvPr descr="figures/fig_kcor_workflow.png" id="63" name="Picture"/>
                    <pic:cNvPicPr>
                      <a:picLocks noChangeArrowheads="1" noChangeAspect="1"/>
                    </pic:cNvPicPr>
                  </pic:nvPicPr>
                  <pic:blipFill>
                    <a:blip r:embed="rId61"/>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4"/>
    <w:bookmarkEnd w:id="65"/>
    <w:bookmarkStart w:id="76"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74"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0"/>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0"/>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p>
      <w:pPr>
        <w:pStyle w:val="BodyText"/>
      </w:pPr>
      <w:r>
        <w:t xml:space="preserve">Table 6 reports numerical summaries of the Cox-vs-KCOR behavior across the frailty grid.</w:t>
      </w:r>
    </w:p>
    <w:bookmarkStart w:id="69"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67" name="Picture"/>
            <a:graphic>
              <a:graphicData uri="http://schemas.openxmlformats.org/drawingml/2006/picture">
                <pic:pic>
                  <pic:nvPicPr>
                    <pic:cNvPr descr="figures/fig_cox_bias_hr_vs_theta.png" id="68" name="Picture"/>
                    <pic:cNvPicPr>
                      <a:picLocks noChangeArrowheads="1" noChangeAspect="1"/>
                    </pic:cNvPicPr>
                  </pic:nvPicPr>
                  <pic:blipFill>
                    <a:blip r:embed="rId66"/>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69"/>
    <w:bookmarkStart w:id="73"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1" name="Picture"/>
            <a:graphic>
              <a:graphicData uri="http://schemas.openxmlformats.org/drawingml/2006/picture">
                <pic:pic>
                  <pic:nvPicPr>
                    <pic:cNvPr descr="figures/fig_cox_bias_kcor_vs_theta.png" id="72" name="Picture"/>
                    <pic:cNvPicPr>
                      <a:picLocks noChangeArrowheads="1" noChangeAspect="1"/>
                    </pic:cNvPicPr>
                  </pic:nvPicPr>
                  <pic:blipFill>
                    <a:blip r:embed="rId70"/>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3"/>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74"/>
    <w:bookmarkStart w:id="75"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75"/>
    <w:bookmarkEnd w:id="76"/>
    <w:bookmarkStart w:id="77"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77"/>
    <w:bookmarkStart w:id="78"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78"/>
    <w:bookmarkStart w:id="79"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p>
      <w:pPr>
        <w:pStyle w:val="BodyText"/>
      </w:pPr>
      <w:r>
        <w:t xml:space="preserve">Technical derivations, algebraic details, and additional simulation results are provided in the Supplementary Material.</w:t>
      </w:r>
    </w:p>
    <w:bookmarkEnd w:id="79"/>
    <w:bookmarkStart w:id="80" w:name="use-of-artificial-intelligence-tools"/>
    <w:p>
      <w:pPr>
        <w:pStyle w:val="Heading3"/>
      </w:pPr>
      <w:r>
        <w:t xml:space="preserve">2.15 Use of artificial intelligence tools</w:t>
      </w:r>
    </w:p>
    <w:p>
      <w:pPr>
        <w:pStyle w:val="FirstParagraph"/>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section.</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80"/>
    <w:bookmarkEnd w:id="81"/>
    <w:bookmarkStart w:id="13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1"/>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1"/>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97" w:name="X250d2743dd947cd04209f9dc9cf02b545517230"/>
    <w:p>
      <w:pPr>
        <w:pStyle w:val="Heading3"/>
      </w:pPr>
      <w:r>
        <w:t xml:space="preserve">3.1 Negative controls: null under selection-induced curvature</w:t>
      </w:r>
    </w:p>
    <w:bookmarkStart w:id="87"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2"/>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2"/>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2"/>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86"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3"/>
        </w:numPr>
      </w:pPr>
      <w:r>
        <w:t xml:space="preserve">Time unit: weeks.</w:t>
      </w:r>
    </w:p>
    <w:p>
      <w:pPr>
        <w:pStyle w:val="Compact"/>
        <w:numPr>
          <w:ilvl w:val="0"/>
          <w:numId w:val="1023"/>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3"/>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3"/>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85"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3" name="Picture"/>
            <a:graphic>
              <a:graphicData uri="http://schemas.openxmlformats.org/drawingml/2006/picture">
                <pic:pic>
                  <pic:nvPicPr>
                    <pic:cNvPr descr="figures/fig_neg_control_synthetic.png" id="84" name="Picture"/>
                    <pic:cNvPicPr>
                      <a:picLocks noChangeArrowheads="1" noChangeAspect="1"/>
                    </pic:cNvPicPr>
                  </pic:nvPicPr>
                  <pic:blipFill>
                    <a:blip r:embed="rId82"/>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85"/>
    <w:bookmarkEnd w:id="86"/>
    <w:bookmarkEnd w:id="87"/>
    <w:bookmarkStart w:id="96"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1"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12" title="" id="89" name="Picture"/>
            <a:graphic>
              <a:graphicData uri="http://schemas.openxmlformats.org/drawingml/2006/picture">
                <pic:pic>
                  <pic:nvPicPr>
                    <pic:cNvPr descr="figures/fig2_neg_control_10yr_age_diff.png" id="90" name="Picture"/>
                    <pic:cNvPicPr>
                      <a:picLocks noChangeArrowheads="1" noChangeAspect="1"/>
                    </pic:cNvPicPr>
                  </pic:nvPicPr>
                  <pic:blipFill>
                    <a:blip r:embed="rId88"/>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1"/>
    <w:bookmarkStart w:id="95"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93" name="Picture"/>
            <a:graphic>
              <a:graphicData uri="http://schemas.openxmlformats.org/drawingml/2006/picture">
                <pic:pic>
                  <pic:nvPicPr>
                    <pic:cNvPr descr="figures/fig3_neg_control_20yr_age_diff.png" id="94" name="Picture"/>
                    <pic:cNvPicPr>
                      <a:picLocks noChangeArrowheads="1" noChangeAspect="1"/>
                    </pic:cNvPicPr>
                  </pic:nvPicPr>
                  <pic:blipFill>
                    <a:blip r:embed="rId92"/>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95"/>
    <w:p>
      <w:pPr>
        <w:pStyle w:val="BodyText"/>
      </w:pPr>
      <w:r>
        <w:t xml:space="preserve">Table 7 provides numeric summaries.</w:t>
      </w:r>
    </w:p>
    <w:bookmarkEnd w:id="96"/>
    <w:bookmarkEnd w:id="97"/>
    <w:bookmarkStart w:id="103"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98"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98"/>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2"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0" name="Picture"/>
            <a:graphic>
              <a:graphicData uri="http://schemas.openxmlformats.org/drawingml/2006/picture">
                <pic:pic>
                  <pic:nvPicPr>
                    <pic:cNvPr descr="figures/fig_pos_control_injected.png" id="101" name="Picture"/>
                    <pic:cNvPicPr>
                      <a:picLocks noChangeArrowheads="1" noChangeAspect="1"/>
                    </pic:cNvPicPr>
                  </pic:nvPicPr>
                  <pic:blipFill>
                    <a:blip r:embed="rId99"/>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2"/>
    <w:bookmarkEnd w:id="103"/>
    <w:bookmarkStart w:id="109"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4"/>
        </w:numPr>
      </w:pPr>
      <w:r>
        <w:t xml:space="preserve">Quiet-window selection (calendar ISO-week bounds)</w:t>
      </w:r>
    </w:p>
    <w:p>
      <w:pPr>
        <w:pStyle w:val="Compact"/>
        <w:numPr>
          <w:ilvl w:val="0"/>
          <w:numId w:val="1024"/>
        </w:numPr>
      </w:pPr>
      <w:r>
        <w:t xml:space="preserve">Stabilization skip (early-bin handling)</w:t>
      </w:r>
    </w:p>
    <w:p>
      <w:pPr>
        <w:pStyle w:val="Compact"/>
        <w:numPr>
          <w:ilvl w:val="0"/>
          <w:numId w:val="1024"/>
        </w:numPr>
      </w:pPr>
      <w:r>
        <w:t xml:space="preserve">Time-binning resolution</w:t>
      </w:r>
    </w:p>
    <w:p>
      <w:pPr>
        <w:pStyle w:val="Compact"/>
        <w:numPr>
          <w:ilvl w:val="0"/>
          <w:numId w:val="1024"/>
        </w:numPr>
      </w:pPr>
      <w:r>
        <w:t xml:space="preserve">Age stratification and/or stratified analyses where appropriate</w:t>
      </w:r>
    </w:p>
    <w:p>
      <w:pPr>
        <w:pStyle w:val="Compact"/>
        <w:numPr>
          <w:ilvl w:val="0"/>
          <w:numId w:val="1024"/>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07"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05" name="Picture"/>
            <a:graphic>
              <a:graphicData uri="http://schemas.openxmlformats.org/drawingml/2006/picture">
                <pic:pic>
                  <pic:nvPicPr>
                    <pic:cNvPr descr="figures/fig_sensitivity_overview.png" id="106" name="Picture"/>
                    <pic:cNvPicPr>
                      <a:picLocks noChangeArrowheads="1" noChangeAspect="1"/>
                    </pic:cNvPicPr>
                  </pic:nvPicPr>
                  <pic:blipFill>
                    <a:blip r:embed="rId104"/>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07"/>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08"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5"/>
        </w:numPr>
      </w:pPr>
      <w:r>
        <w:rPr>
          <w:b/>
          <w:bCs/>
        </w:rPr>
        <w:t xml:space="preserve">Gamma</w:t>
      </w:r>
      <w:r>
        <w:t xml:space="preserve"> </w:t>
      </w:r>
      <w:r>
        <w:t xml:space="preserve">(baseline reference)</w:t>
      </w:r>
    </w:p>
    <w:p>
      <w:pPr>
        <w:pStyle w:val="Compact"/>
        <w:numPr>
          <w:ilvl w:val="0"/>
          <w:numId w:val="1025"/>
        </w:numPr>
      </w:pPr>
      <w:r>
        <w:rPr>
          <w:b/>
          <w:bCs/>
        </w:rPr>
        <w:t xml:space="preserve">Lognormal</w:t>
      </w:r>
      <w:r>
        <w:t xml:space="preserve"> </w:t>
      </w:r>
      <w:r>
        <w:t xml:space="preserve">frailty</w:t>
      </w:r>
    </w:p>
    <w:p>
      <w:pPr>
        <w:pStyle w:val="Compact"/>
        <w:numPr>
          <w:ilvl w:val="0"/>
          <w:numId w:val="1025"/>
        </w:numPr>
      </w:pPr>
      <w:r>
        <w:rPr>
          <w:b/>
          <w:bCs/>
        </w:rPr>
        <w:t xml:space="preserve">Two-point mixture</w:t>
      </w:r>
      <w:r>
        <w:t xml:space="preserve"> </w:t>
      </w:r>
      <w:r>
        <w:t xml:space="preserve">(discrete frailty)</w:t>
      </w:r>
    </w:p>
    <w:p>
      <w:pPr>
        <w:pStyle w:val="Compact"/>
        <w:numPr>
          <w:ilvl w:val="0"/>
          <w:numId w:val="1025"/>
        </w:numPr>
      </w:pPr>
      <w:r>
        <w:rPr>
          <w:b/>
          <w:bCs/>
        </w:rPr>
        <w:t xml:space="preserve">Bimodal</w:t>
      </w:r>
      <w:r>
        <w:t xml:space="preserve"> </w:t>
      </w:r>
      <w:r>
        <w:t xml:space="preserve">frailty distributions</w:t>
      </w:r>
    </w:p>
    <w:p>
      <w:pPr>
        <w:pStyle w:val="Compact"/>
        <w:numPr>
          <w:ilvl w:val="0"/>
          <w:numId w:val="1025"/>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08"/>
    <w:bookmarkEnd w:id="109"/>
    <w:bookmarkStart w:id="130"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13"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1" name="Picture"/>
            <a:graphic>
              <a:graphicData uri="http://schemas.openxmlformats.org/drawingml/2006/picture">
                <pic:pic>
                  <pic:nvPicPr>
                    <pic:cNvPr descr="figures/fig_sim_grid_overview.png" id="112" name="Picture"/>
                    <pic:cNvPicPr>
                      <a:picLocks noChangeArrowheads="1" noChangeAspect="1"/>
                    </pic:cNvPicPr>
                  </pic:nvPicPr>
                  <pic:blipFill>
                    <a:blip r:embed="rId110"/>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13"/>
    <w:bookmarkStart w:id="117"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15" name="Picture"/>
            <a:graphic>
              <a:graphicData uri="http://schemas.openxmlformats.org/drawingml/2006/picture">
                <pic:pic>
                  <pic:nvPicPr>
                    <pic:cNvPr descr="figures/fig_sim_grid_diagnostics.png" id="116" name="Picture"/>
                    <pic:cNvPicPr>
                      <a:picLocks noChangeArrowheads="1" noChangeAspect="1"/>
                    </pic:cNvPicPr>
                  </pic:nvPicPr>
                  <pic:blipFill>
                    <a:blip r:embed="rId114"/>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17"/>
    <w:bookmarkStart w:id="121"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19" name="Picture"/>
            <a:graphic>
              <a:graphicData uri="http://schemas.openxmlformats.org/drawingml/2006/picture">
                <pic:pic>
                  <pic:nvPicPr>
                    <pic:cNvPr descr="figures/fig_s7_overview.png" id="120" name="Picture"/>
                    <pic:cNvPicPr>
                      <a:picLocks noChangeArrowheads="1" noChangeAspect="1"/>
                    </pic:cNvPicPr>
                  </pic:nvPicPr>
                  <pic:blipFill>
                    <a:blip r:embed="rId118"/>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1"/>
    <w:bookmarkStart w:id="125"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23" name="Picture"/>
            <a:graphic>
              <a:graphicData uri="http://schemas.openxmlformats.org/drawingml/2006/picture">
                <pic:pic>
                  <pic:nvPicPr>
                    <pic:cNvPr descr="figures/fig_s7_diagnostics.png" id="124" name="Picture"/>
                    <pic:cNvPicPr>
                      <a:picLocks noChangeArrowheads="1" noChangeAspect="1"/>
                    </pic:cNvPicPr>
                  </pic:nvPicPr>
                  <pic:blipFill>
                    <a:blip r:embed="rId122"/>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25"/>
    <w:bookmarkStart w:id="129"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27" name="Picture"/>
            <a:graphic>
              <a:graphicData uri="http://schemas.openxmlformats.org/drawingml/2006/picture">
                <pic:pic>
                  <pic:nvPicPr>
                    <pic:cNvPr descr="figures/fig_skip_weeks_sensitivity.png" id="128" name="Picture"/>
                    <pic:cNvPicPr>
                      <a:picLocks noChangeArrowheads="1" noChangeAspect="1"/>
                    </pic:cNvPicPr>
                  </pic:nvPicPr>
                  <pic:blipFill>
                    <a:blip r:embed="rId126"/>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29"/>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10). Across selection-only scenarios, KCOR was the only estimand whose median deviation from the null remained approximately zero across the full frailty grid, whereas RMST and time-varying Cox produced systematic non-null contrasts that increased with frailty strength (Table 10).</w:t>
      </w:r>
    </w:p>
    <w:p>
      <w:pPr>
        <w:pStyle w:val="BodyText"/>
      </w:pPr>
      <w:r>
        <w:t xml:space="preserve">Bootstrap coverage results are summarized in Table 11.</w:t>
      </w:r>
    </w:p>
    <w:bookmarkEnd w:id="130"/>
    <w:bookmarkStart w:id="131"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1"/>
    <w:bookmarkStart w:id="132"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32"/>
    <w:bookmarkEnd w:id="133"/>
    <w:bookmarkStart w:id="139"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4"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34"/>
    <w:bookmarkStart w:id="135"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rPr>
          <w:i/>
          <w:iCs/>
        </w:rPr>
        <w:t xml:space="preserve">Many commonly used survival estimands—such as hazard ratios, cumulative hazard differences, or restricted mean survival time—are not intrinsically invalid. Their failure in retrospective cohort studies arises when they are applied to unadjusted data exhibiting selection-induced depletion. KCOR does not replace these estimands; instead, it provides a normalization step that restores comparability. After depletion normalization, such estimands may be meaningfully computed, with the choice driven by interpretability rather than by identifiability constraints imposed by selection bias.</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6"/>
        </w:numPr>
      </w:pPr>
      <w:r>
        <w:t xml:space="preserve">selection-induced depletion dynamics can be estimated during quiet periods using a gamma-frailty mixture model, and</w:t>
      </w:r>
    </w:p>
    <w:p>
      <w:pPr>
        <w:pStyle w:val="Compact"/>
        <w:numPr>
          <w:ilvl w:val="0"/>
          <w:numId w:val="1026"/>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35"/>
    <w:bookmarkStart w:id="136"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6"/>
    <w:bookmarkStart w:id="137"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7"/>
        </w:numPr>
      </w:pPr>
      <w:r>
        <w:t xml:space="preserve">Enrollment definition and justification</w:t>
      </w:r>
    </w:p>
    <w:p>
      <w:pPr>
        <w:pStyle w:val="Compact"/>
        <w:numPr>
          <w:ilvl w:val="0"/>
          <w:numId w:val="1027"/>
        </w:numPr>
      </w:pPr>
      <w:r>
        <w:t xml:space="preserve">Risk set definitions and event-time binning</w:t>
      </w:r>
    </w:p>
    <w:p>
      <w:pPr>
        <w:pStyle w:val="Compact"/>
        <w:numPr>
          <w:ilvl w:val="0"/>
          <w:numId w:val="1027"/>
        </w:numPr>
      </w:pPr>
      <w:r>
        <w:t xml:space="preserve">Quiet-window definition and justification</w:t>
      </w:r>
    </w:p>
    <w:p>
      <w:pPr>
        <w:pStyle w:val="Compact"/>
        <w:numPr>
          <w:ilvl w:val="0"/>
          <w:numId w:val="1027"/>
        </w:numPr>
      </w:pPr>
      <w:r>
        <w:t xml:space="preserve">Baseline-shape choice (default constant baseline over the fit window) and fit diagnostics</w:t>
      </w:r>
    </w:p>
    <w:p>
      <w:pPr>
        <w:pStyle w:val="Compact"/>
        <w:numPr>
          <w:ilvl w:val="0"/>
          <w:numId w:val="1027"/>
        </w:numPr>
      </w:pPr>
      <w:r>
        <w:t xml:space="preserve">Skip/stabilization rule and robustness to nearby values</w:t>
      </w:r>
    </w:p>
    <w:p>
      <w:pPr>
        <w:pStyle w:val="Compact"/>
        <w:numPr>
          <w:ilvl w:val="0"/>
          <w:numId w:val="1027"/>
        </w:numPr>
      </w:pPr>
      <w:r>
        <w:t xml:space="preserve">Predefined negative/positive controls used for validation</w:t>
      </w:r>
    </w:p>
    <w:p>
      <w:pPr>
        <w:pStyle w:val="Compact"/>
        <w:numPr>
          <w:ilvl w:val="0"/>
          <w:numId w:val="1027"/>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37"/>
    <w:bookmarkStart w:id="138"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38"/>
    <w:bookmarkEnd w:id="139"/>
    <w:bookmarkStart w:id="143" w:name="limitations"/>
    <w:p>
      <w:pPr>
        <w:pStyle w:val="Heading2"/>
      </w:pPr>
      <w:r>
        <w:t xml:space="preserve">5. Limitations</w:t>
      </w:r>
    </w:p>
    <w:p>
      <w:pPr>
        <w:pStyle w:val="Compact"/>
        <w:numPr>
          <w:ilvl w:val="0"/>
          <w:numId w:val="1028"/>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8"/>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8"/>
        </w:numPr>
      </w:pPr>
      <m:oMath>
        <m:r>
          <m:t>θ</m:t>
        </m:r>
      </m:oMath>
      <w:r>
        <w:rPr>
          <w:b/>
          <w:bCs/>
        </w:rPr>
        <w:t xml:space="preserve"> </w:t>
      </w:r>
      <w:r>
        <w:rPr>
          <w:b/>
          <w:bCs/>
        </w:rPr>
        <w:t xml:space="preserve">estimation is data-driven</w:t>
      </w:r>
      <w:r>
        <w:t xml:space="preserve">: KCOR does not impose</w:t>
      </w:r>
      <w:r>
        <w:t xml:space="preserve"> </w:t>
      </w:r>
      <m:oMath>
        <m:r>
          <m:t>θ</m:t>
        </m:r>
        <m:r>
          <m:rPr>
            <m:sty m:val="p"/>
          </m:rPr>
          <m:t>=</m:t>
        </m:r>
        <m:r>
          <m:t>0</m:t>
        </m:r>
      </m:oMath>
      <w:r>
        <w:t xml:space="preserve"> </w:t>
      </w:r>
      <w:r>
        <w:t xml:space="preserve">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8"/>
        </w:numPr>
      </w:pPr>
      <w:r>
        <w:rPr>
          <w:b/>
          <w:bCs/>
        </w:rPr>
        <w:t xml:space="preserve">Sparse events</w:t>
      </w:r>
      <w:r>
        <w:t xml:space="preserve">: When event counts are small, hazard estimation and parameter fitting can be unstable.</w:t>
      </w:r>
    </w:p>
    <w:p>
      <w:pPr>
        <w:pStyle w:val="Compact"/>
        <w:numPr>
          <w:ilvl w:val="0"/>
          <w:numId w:val="1028"/>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8"/>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8"/>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0"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9"/>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9"/>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9"/>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9"/>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0"/>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0"/>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0"/>
        </w:numPr>
      </w:pPr>
      <w:r>
        <w:rPr>
          <w:b/>
          <w:bCs/>
        </w:rPr>
        <w:t xml:space="preserve">Sensitivity analyses</w:t>
      </w:r>
      <w:r>
        <w:t xml:space="preserve"> </w:t>
      </w:r>
      <w:r>
        <w:t xml:space="preserve">over plausible quiet windows and skip-weeks values.</w:t>
      </w:r>
    </w:p>
    <w:p>
      <w:pPr>
        <w:pStyle w:val="Compact"/>
        <w:numPr>
          <w:ilvl w:val="0"/>
          <w:numId w:val="1030"/>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0"/>
    <w:bookmarkStart w:id="141"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1"/>
    <w:bookmarkStart w:id="142"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2"/>
    <w:bookmarkEnd w:id="143"/>
    <w:bookmarkStart w:id="144"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4"/>
    <w:bookmarkStart w:id="155" w:name="declarations"/>
    <w:p>
      <w:pPr>
        <w:pStyle w:val="Heading2"/>
      </w:pPr>
      <w:r>
        <w:t xml:space="preserve">Declarations</w:t>
      </w:r>
    </w:p>
    <w:bookmarkStart w:id="145"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45"/>
    <w:bookmarkStart w:id="146" w:name="consent-for-publication"/>
    <w:p>
      <w:pPr>
        <w:pStyle w:val="Heading3"/>
      </w:pPr>
      <w:r>
        <w:t xml:space="preserve">Consent for publication</w:t>
      </w:r>
    </w:p>
    <w:p>
      <w:pPr>
        <w:pStyle w:val="FirstParagraph"/>
      </w:pPr>
      <w:r>
        <w:t xml:space="preserve">Not applicable.</w:t>
      </w:r>
    </w:p>
    <w:bookmarkEnd w:id="146"/>
    <w:bookmarkStart w:id="147"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1"/>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1"/>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1"/>
        </w:numPr>
      </w:pPr>
      <w:r>
        <w:t xml:space="preserve">The reference implementation includes example datasets in KCOR_CMR format for reproducibility.</w:t>
      </w:r>
    </w:p>
    <w:p>
      <w:pPr>
        <w:pStyle w:val="Compact"/>
        <w:numPr>
          <w:ilvl w:val="0"/>
          <w:numId w:val="1031"/>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47"/>
    <w:bookmarkStart w:id="150" w:name="code-availability"/>
    <w:p>
      <w:pPr>
        <w:pStyle w:val="Heading3"/>
      </w:pPr>
      <w:r>
        <w:t xml:space="preserve">Code availability</w:t>
      </w:r>
    </w:p>
    <w:p>
      <w:pPr>
        <w:pStyle w:val="Compact"/>
        <w:numPr>
          <w:ilvl w:val="0"/>
          <w:numId w:val="1032"/>
        </w:numPr>
      </w:pPr>
      <w:r>
        <w:t xml:space="preserve">The KCOR reference implementation and complete validation suite are available in the project repository.</w:t>
      </w:r>
    </w:p>
    <w:p>
      <w:pPr>
        <w:pStyle w:val="Compact"/>
        <w:numPr>
          <w:ilvl w:val="0"/>
          <w:numId w:val="1032"/>
        </w:numPr>
      </w:pPr>
      <w:r>
        <w:t xml:space="preserve">Repository URL:</w:t>
      </w:r>
      <w:r>
        <w:t xml:space="preserve"> </w:t>
      </w:r>
      <w:hyperlink r:id="rId148">
        <w:r>
          <w:rPr>
            <w:rStyle w:val="Hyperlink"/>
          </w:rPr>
          <w:t xml:space="preserve">https://github.com/skirsch/KCOR</w:t>
        </w:r>
      </w:hyperlink>
    </w:p>
    <w:p>
      <w:pPr>
        <w:pStyle w:val="Compact"/>
        <w:numPr>
          <w:ilvl w:val="0"/>
          <w:numId w:val="1032"/>
        </w:numPr>
      </w:pPr>
      <w:r>
        <w:t xml:space="preserve">Zenodo DOI:</w:t>
      </w:r>
      <w:r>
        <w:t xml:space="preserve"> </w:t>
      </w:r>
      <w:hyperlink r:id="rId149">
        <w:r>
          <w:rPr>
            <w:rStyle w:val="Hyperlink"/>
          </w:rPr>
          <w:t xml:space="preserve">10.5281/zenodo.18050329</w:t>
        </w:r>
      </w:hyperlink>
    </w:p>
    <w:p>
      <w:pPr>
        <w:pStyle w:val="Compact"/>
        <w:numPr>
          <w:ilvl w:val="0"/>
          <w:numId w:val="1032"/>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50"/>
    <w:bookmarkStart w:id="151" w:name="competing-interests"/>
    <w:p>
      <w:pPr>
        <w:pStyle w:val="Heading3"/>
      </w:pPr>
      <w:r>
        <w:t xml:space="preserve">Competing interests</w:t>
      </w:r>
    </w:p>
    <w:p>
      <w:pPr>
        <w:pStyle w:val="FirstParagraph"/>
      </w:pPr>
      <w:r>
        <w:t xml:space="preserve">The author is a board member of the Vaccine Safety Research Foundation.</w:t>
      </w:r>
    </w:p>
    <w:bookmarkEnd w:id="151"/>
    <w:bookmarkStart w:id="152" w:name="funding"/>
    <w:p>
      <w:pPr>
        <w:pStyle w:val="Heading3"/>
      </w:pPr>
      <w:r>
        <w:t xml:space="preserve">Funding</w:t>
      </w:r>
    </w:p>
    <w:p>
      <w:pPr>
        <w:pStyle w:val="FirstParagraph"/>
      </w:pPr>
      <w:r>
        <w:t xml:space="preserve">This research received no external funding.</w:t>
      </w:r>
    </w:p>
    <w:bookmarkEnd w:id="152"/>
    <w:bookmarkStart w:id="153"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3"/>
    <w:bookmarkStart w:id="154"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54"/>
    <w:bookmarkEnd w:id="155"/>
    <w:bookmarkStart w:id="180" w:name="references"/>
    <w:p>
      <w:pPr>
        <w:pStyle w:val="Heading2"/>
      </w:pPr>
      <w:r>
        <w:t xml:space="preserve">References</w:t>
      </w:r>
    </w:p>
    <w:bookmarkStart w:id="179" w:name="refs"/>
    <w:bookmarkStart w:id="157"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6">
        <w:r>
          <w:rPr>
            <w:rStyle w:val="Hyperlink"/>
          </w:rPr>
          <w:t xml:space="preserve">10.2307/2061224</w:t>
        </w:r>
      </w:hyperlink>
    </w:p>
    <w:bookmarkEnd w:id="157"/>
    <w:bookmarkStart w:id="159"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58">
        <w:r>
          <w:rPr>
            <w:rStyle w:val="Hyperlink"/>
          </w:rPr>
          <w:t xml:space="preserve">10.2147/CLEP.S468572</w:t>
        </w:r>
      </w:hyperlink>
    </w:p>
    <w:bookmarkEnd w:id="159"/>
    <w:bookmarkStart w:id="161"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0">
        <w:r>
          <w:rPr>
            <w:rStyle w:val="Hyperlink"/>
          </w:rPr>
          <w:t xml:space="preserve">10.7554/eLife.103690</w:t>
        </w:r>
      </w:hyperlink>
    </w:p>
    <w:bookmarkEnd w:id="161"/>
    <w:bookmarkStart w:id="163"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62">
        <w:r>
          <w:rPr>
            <w:rStyle w:val="Hyperlink"/>
          </w:rPr>
          <w:t xml:space="preserve">10.1093/biomet/81.3.515</w:t>
        </w:r>
      </w:hyperlink>
    </w:p>
    <w:bookmarkEnd w:id="163"/>
    <w:bookmarkStart w:id="165"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64">
        <w:r>
          <w:rPr>
            <w:rStyle w:val="Hyperlink"/>
          </w:rPr>
          <w:t xml:space="preserve">10.1214/aos/1176345976</w:t>
        </w:r>
      </w:hyperlink>
    </w:p>
    <w:bookmarkEnd w:id="165"/>
    <w:bookmarkStart w:id="167"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66">
        <w:r>
          <w:rPr>
            <w:rStyle w:val="Hyperlink"/>
          </w:rPr>
          <w:t xml:space="preserve">10.1002/sim.1203</w:t>
        </w:r>
      </w:hyperlink>
    </w:p>
    <w:bookmarkEnd w:id="167"/>
    <w:bookmarkStart w:id="169"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68">
        <w:r>
          <w:rPr>
            <w:rStyle w:val="Hyperlink"/>
          </w:rPr>
          <w:t xml:space="preserve">10.1002/sim.4780080803</w:t>
        </w:r>
      </w:hyperlink>
    </w:p>
    <w:bookmarkEnd w:id="169"/>
    <w:bookmarkStart w:id="171"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0">
        <w:r>
          <w:rPr>
            <w:rStyle w:val="Hyperlink"/>
          </w:rPr>
          <w:t xml:space="preserve">10.1093/biomet/81.1.61</w:t>
        </w:r>
      </w:hyperlink>
    </w:p>
    <w:bookmarkEnd w:id="171"/>
    <w:bookmarkStart w:id="173"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72">
        <w:r>
          <w:rPr>
            <w:rStyle w:val="Hyperlink"/>
          </w:rPr>
          <w:t xml:space="preserve">10.1111/j.1467-9469.2006.00529.x</w:t>
        </w:r>
      </w:hyperlink>
    </w:p>
    <w:bookmarkEnd w:id="173"/>
    <w:bookmarkStart w:id="175"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74">
        <w:r>
          <w:rPr>
            <w:rStyle w:val="Hyperlink"/>
          </w:rPr>
          <w:t xml:space="preserve">10.1097/00001648-200009000-00011</w:t>
        </w:r>
      </w:hyperlink>
    </w:p>
    <w:bookmarkEnd w:id="175"/>
    <w:bookmarkStart w:id="177"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76">
        <w:r>
          <w:rPr>
            <w:rStyle w:val="Hyperlink"/>
          </w:rPr>
          <w:t xml:space="preserve">10.1093/aje/kwn164</w:t>
        </w:r>
      </w:hyperlink>
    </w:p>
    <w:bookmarkEnd w:id="177"/>
    <w:bookmarkStart w:id="178"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78"/>
    <w:bookmarkEnd w:id="179"/>
    <w:bookmarkEnd w:id="180"/>
    <w:bookmarkStart w:id="192" w:name="tables"/>
    <w:p>
      <w:pPr>
        <w:pStyle w:val="Heading2"/>
      </w:pPr>
      <w:r>
        <w:t xml:space="preserve">Tables</w:t>
      </w:r>
    </w:p>
    <w:bookmarkStart w:id="181"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w:t>
            </w:r>
            <w:r>
              <w:t xml:space="preserve"> </w:t>
            </w:r>
            <w:r>
              <w:t xml:space="preserve">“negative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81"/>
    <w:p/>
    <w:bookmarkStart w:id="182"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2"/>
    <w:p>
      <w:pPr>
        <w:pStyle w:val="BodyText"/>
      </w:pPr>
      <w:r>
        <w:t xml:space="preserve">Note: KCOR is reported here as a cumulative hazard ratio for comparability; alternative post-normalization estimands are admissible within the framework.</w:t>
      </w:r>
    </w:p>
    <w:bookmarkStart w:id="183"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 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183"/>
    <w:p/>
    <w:bookmarkStart w:id="184"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oMath>
          </w:p>
        </w:tc>
        <w:tc>
          <w:tcPr/>
          <w:p>
            <w:pPr>
              <w:pStyle w:val="Compact"/>
            </w:pPr>
            <w:r>
              <w:t xml:space="preserve">Cohort index</w:t>
            </w:r>
          </w:p>
        </w:tc>
      </w:tr>
      <w:tr>
        <w:tc>
          <w:tcPr/>
          <w:p>
            <w:pPr>
              <w:pStyle w:val="Compact"/>
            </w:pPr>
            <m:oMath>
              <m:r>
                <m:t>A</m:t>
              </m:r>
              <m:r>
                <m:rPr>
                  <m:sty m:val="p"/>
                </m:rPr>
                <m:t>,</m:t>
              </m:r>
              <m:r>
                <m:t>B</m:t>
              </m:r>
            </m:oMath>
          </w:p>
        </w:tc>
        <w:tc>
          <w:tcPr/>
          <w:p>
            <w:pPr>
              <w:pStyle w:val="Compact"/>
            </w:pPr>
            <w:r>
              <w:t xml:space="preserve">Indices of the two cohorts compared in a KCOR contrast</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
              <m:sSub>
                <m:e>
                  <m:acc>
                    <m:accPr>
                      <m:chr m:val="̂"/>
                    </m:accPr>
                    <m:e>
                      <m:r>
                        <m:t>θ</m:t>
                      </m:r>
                    </m:e>
                  </m:acc>
                </m:e>
                <m:sub>
                  <m:r>
                    <m:t>d</m:t>
                  </m:r>
                </m:sub>
              </m:sSub>
            </m:oMath>
          </w:p>
        </w:tc>
        <w:tc>
          <w:tcPr/>
          <w:p>
            <w:pPr>
              <w:pStyle w:val="Compact"/>
            </w:pPr>
            <w:r>
              <w:t xml:space="preserve">Estimated frailty variance from quiet-window fitting</w:t>
            </w:r>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
              <m:sSub>
                <m:e>
                  <m:acc>
                    <m:accPr>
                      <m:chr m:val="̂"/>
                    </m:accPr>
                    <m:e>
                      <m:r>
                        <m:t>k</m:t>
                      </m:r>
                    </m:e>
                  </m:acc>
                </m:e>
                <m:sub>
                  <m:r>
                    <m:t>d</m:t>
                  </m:r>
                </m:sub>
              </m:sSub>
            </m:oMath>
          </w:p>
        </w:tc>
        <w:tc>
          <w:tcPr/>
          <w:p>
            <w:pPr>
              <w:pStyle w:val="Compact"/>
            </w:pPr>
            <w:r>
              <w:t xml:space="preserve">Estimated baseline hazard level from quiet-window fitting</w:t>
            </w:r>
          </w:p>
        </w:tc>
      </w:tr>
      <w:tr>
        <w:tc>
          <w:tcPr/>
          <w:p>
            <w:pPr>
              <w:pStyle w:val="Compact"/>
            </w:pPr>
            <m:oMath>
              <m:sSub>
                <m:e>
                  <m:r>
                    <m:t>t</m:t>
                  </m:r>
                </m:e>
                <m:sub>
                  <m:r>
                    <m:t>0</m:t>
                  </m:r>
                </m:sub>
              </m:sSub>
            </m:oMath>
          </w:p>
        </w:tc>
        <w:tc>
          <w:tcPr/>
          <w:p>
            <w:pPr>
              <w:pStyle w:val="Compact"/>
            </w:pPr>
            <w:r>
              <w:t xml:space="preserve">Anchor time for baseline normalization (prespecified)</w:t>
            </w:r>
          </w:p>
        </w:tc>
      </w:tr>
      <w:tr>
        <w:tc>
          <w:tcPr/>
          <w:p>
            <w:pPr>
              <w:pStyle w:val="Compact"/>
            </w:p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184"/>
    <w:p/>
    <w:bookmarkStart w:id="185"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185"/>
    <w:p/>
    <w:bookmarkStart w:id="186"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1080"/>
        <w:gridCol w:w="720"/>
        <w:gridCol w:w="720"/>
        <w:gridCol w:w="1320"/>
        <w:gridCol w:w="1680"/>
        <w:gridCol w:w="2400"/>
      </w:tblGrid>
      <w:tr>
        <w:trPr>
          <w:tblHeader w:val="on"/>
        </w:trPr>
        <w:tc>
          <w:tcPr/>
          <w:p>
            <w:pPr>
              <w:pStyle w:val="Compact"/>
              <w:jc w:val="right"/>
            </w:pPr>
            <m:oMath>
              <m:r>
                <m:t>θ</m:t>
              </m:r>
            </m:oMath>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186"/>
    <w:p/>
    <w:bookmarkStart w:id="187"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87"/>
    <w:p/>
    <w:bookmarkStart w:id="188"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88"/>
    <w:p/>
    <w:bookmarkStart w:id="189"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89"/>
    <w:p/>
    <w:bookmarkStart w:id="190"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90"/>
    <w:p/>
    <w:bookmarkStart w:id="191"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91"/>
    <w:p>
      <w:pPr>
        <w:pStyle w:val="BodyText"/>
      </w:pPr>
      <w:r>
        <w:rPr>
          <w:b/>
          <w:bCs/>
        </w:rPr>
        <w:t xml:space="preserve">Table D.1: KCOR assumptions and corresponding diagnostics.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Assumption</w:t>
            </w:r>
          </w:p>
        </w:tc>
        <w:tc>
          <w:tcPr/>
          <w:p>
            <w:pPr>
              <w:pStyle w:val="Compact"/>
            </w:pPr>
            <w:r>
              <w:t xml:space="preserve">What must hold</w:t>
            </w:r>
          </w:p>
        </w:tc>
        <w:tc>
          <w:tcPr/>
          <w:p>
            <w:pPr>
              <w:pStyle w:val="Compact"/>
            </w:pPr>
            <w:r>
              <w:t xml:space="preserve">Diagnostic signal</w:t>
            </w:r>
          </w:p>
        </w:tc>
        <w:tc>
          <w:tcPr/>
          <w:p>
            <w:pPr>
              <w:pStyle w:val="Compact"/>
            </w:pPr>
            <w:r>
              <w:t xml:space="preserve">Interpretation</w:t>
            </w:r>
          </w:p>
        </w:tc>
        <w:tc>
          <w:tcPr/>
          <w:p>
            <w:pPr>
              <w:pStyle w:val="Compact"/>
            </w:pPr>
            <w:r>
              <w:t xml:space="preserve">Action if violated</w:t>
            </w:r>
          </w:p>
        </w:tc>
      </w:tr>
      <w:tr>
        <w:tc>
          <w:tcPr/>
          <w:p>
            <w:pPr>
              <w:pStyle w:val="Compact"/>
            </w:pPr>
            <w:r>
              <w:t xml:space="preserve">A1. Fixed cohort at enrollment</w:t>
            </w:r>
          </w:p>
        </w:tc>
        <w:tc>
          <w:tcPr/>
          <w:p>
            <w:pPr>
              <w:pStyle w:val="Compact"/>
            </w:pPr>
            <w:r>
              <w:t xml:space="preserve">Cohort membership does not change over follow-up</w:t>
            </w:r>
          </w:p>
        </w:tc>
        <w:tc>
          <w:tcPr/>
          <w:p>
            <w:pPr>
              <w:pStyle w:val="Compact"/>
            </w:pPr>
            <w:r>
              <w:t xml:space="preserve">Step changes or discontinuities inconsistent with depletion</w:t>
            </w:r>
          </w:p>
        </w:tc>
        <w:tc>
          <w:tcPr/>
          <w:p>
            <w:pPr>
              <w:pStyle w:val="Compact"/>
            </w:pPr>
            <w:r>
              <w:t xml:space="preserve">Endogenous selection or reclassification</w:t>
            </w:r>
          </w:p>
        </w:tc>
        <w:tc>
          <w:tcPr/>
          <w:p>
            <w:pPr>
              <w:pStyle w:val="Compact"/>
            </w:pPr>
            <w:r>
              <w:t xml:space="preserve">Redefine cohort at enrollment; disallow transitions</w:t>
            </w:r>
          </w:p>
        </w:tc>
      </w:tr>
      <w:tr>
        <w:tc>
          <w:tcPr/>
          <w:p>
            <w:pPr>
              <w:pStyle w:val="Compact"/>
            </w:pPr>
            <w:r>
              <w:t xml:space="preserve">A2. Shared external hazard environment</w:t>
            </w:r>
          </w:p>
        </w:tc>
        <w:tc>
          <w:tcPr/>
          <w:p>
            <w:pPr>
              <w:pStyle w:val="Compact"/>
            </w:pPr>
            <w:r>
              <w:t xml:space="preserve">Cohorts experience the same background hazard within the comparison window</w:t>
            </w:r>
          </w:p>
        </w:tc>
        <w:tc>
          <w:tcPr/>
          <w:p>
            <w:pPr>
              <w:pStyle w:val="Compact"/>
            </w:pPr>
            <w:r>
              <w:t xml:space="preserve">Divergent slopes during prespecified quiet periods</w:t>
            </w:r>
          </w:p>
        </w:tc>
        <w:tc>
          <w:tcPr/>
          <w:p>
            <w:pPr>
              <w:pStyle w:val="Compact"/>
            </w:pPr>
            <w:r>
              <w:t xml:space="preserve">Unshared exogenous shocks or policy/measurement effects</w:t>
            </w:r>
          </w:p>
        </w:tc>
        <w:tc>
          <w:tcPr/>
          <w:p>
            <w:pPr>
              <w:pStyle w:val="Compact"/>
            </w:pPr>
            <w:r>
              <w:t xml:space="preserve">Restrict calendar window, stratify, or use alternative controls</w:t>
            </w:r>
          </w:p>
        </w:tc>
      </w:tr>
      <w:tr>
        <w:tc>
          <w:tcPr/>
          <w:p>
            <w:pPr>
              <w:pStyle w:val="Compact"/>
            </w:pPr>
            <w:r>
              <w:t xml:space="preserve">A3. Time-invariant latent frailty</w:t>
            </w:r>
          </w:p>
        </w:tc>
        <w:tc>
          <w:tcPr/>
          <w:p>
            <w:pPr>
              <w:pStyle w:val="Compact"/>
            </w:pPr>
            <w:r>
              <w:t xml:space="preserve">Individual frailty is time-invariant over follow-up</w:t>
            </w:r>
          </w:p>
        </w:tc>
        <w:tc>
          <w:tcPr/>
          <w:p>
            <w:pPr>
              <w:pStyle w:val="Compact"/>
            </w:pPr>
            <w:r>
              <w:t xml:space="preserve">Systematic residual curvature after normalization</w:t>
            </w:r>
          </w:p>
        </w:tc>
        <w:tc>
          <w:tcPr/>
          <w:p>
            <w:pPr>
              <w:pStyle w:val="Compact"/>
            </w:pPr>
            <w:r>
              <w:t xml:space="preserve">Time-varying susceptibility or competing selection processes</w:t>
            </w:r>
          </w:p>
        </w:tc>
        <w:tc>
          <w:tcPr/>
          <w:p>
            <w:pPr>
              <w:pStyle w:val="Compact"/>
            </w:pPr>
            <w:r>
              <w:t xml:space="preserve">Shorten follow-up window; reinterpret as time-varying selection</w:t>
            </w:r>
          </w:p>
        </w:tc>
      </w:tr>
      <w:tr>
        <w:tc>
          <w:tcPr/>
          <w:p>
            <w:pPr>
              <w:pStyle w:val="Compact"/>
            </w:pPr>
            <w:r>
              <w:t xml:space="preserve">A4. Adequacy of gamma frailty</w:t>
            </w:r>
          </w:p>
        </w:tc>
        <w:tc>
          <w:tcPr/>
          <w:p>
            <w:pPr>
              <w:pStyle w:val="Compact"/>
            </w:pPr>
            <w:r>
              <w:t xml:space="preserve">Gamma family adequately approximates frailty mixing</w:t>
            </w:r>
          </w:p>
        </w:tc>
        <w:tc>
          <w:tcPr/>
          <w:p>
            <w:pPr>
              <w:pStyle w:val="Compact"/>
            </w:pPr>
            <w:r>
              <w:t xml:space="preserve">Residual curvature or poor fit diagnostics after inversion</w:t>
            </w:r>
          </w:p>
        </w:tc>
        <w:tc>
          <w:tcPr/>
          <w:p>
            <w:pPr>
              <w:pStyle w:val="Compact"/>
            </w:pPr>
            <w:r>
              <w:t xml:space="preserve">Frailty distribution misspecification</w:t>
            </w:r>
          </w:p>
        </w:tc>
        <w:tc>
          <w:tcPr/>
          <w:p>
            <w:pPr>
              <w:pStyle w:val="Compact"/>
            </w:pPr>
            <w:r>
              <w:t xml:space="preserve">Treat as diagnostic; avoid over-interpretation</w:t>
            </w:r>
          </w:p>
        </w:tc>
      </w:tr>
      <w:tr>
        <w:tc>
          <w:tcPr/>
          <w:p>
            <w:pPr>
              <w:pStyle w:val="Compact"/>
            </w:pPr>
            <w:r>
              <w:t xml:space="preserve">A5. Quiet-window validity</w:t>
            </w:r>
          </w:p>
        </w:tc>
        <w:tc>
          <w:tcPr/>
          <w:p>
            <w:pPr>
              <w:pStyle w:val="Compact"/>
            </w:pPr>
            <w:r>
              <w:t xml:space="preserve">No intervention effect during frailty-estimation window</w:t>
            </w:r>
          </w:p>
        </w:tc>
        <w:tc>
          <w:tcPr/>
          <w:p>
            <w:pPr>
              <w:pStyle w:val="Compact"/>
            </w:pPr>
            <w:r>
              <w:t xml:space="preserve">Slope breaks or non-parallel trends within quiet window</w:t>
            </w:r>
          </w:p>
        </w:tc>
        <w:tc>
          <w:tcPr/>
          <w:p>
            <w:pPr>
              <w:pStyle w:val="Compact"/>
            </w:pPr>
            <w:r>
              <w:t xml:space="preserve">Contaminated quiet window</w:t>
            </w:r>
          </w:p>
        </w:tc>
        <w:tc>
          <w:tcPr/>
          <w:p>
            <w:pPr>
              <w:pStyle w:val="Compact"/>
            </w:pPr>
            <w:r>
              <w:t xml:space="preserve">Redefine quiet window; rerun diagnostics</w:t>
            </w:r>
          </w:p>
        </w:tc>
      </w:tr>
    </w:tbl>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82" Target="media/rId82.png" /><Relationship Type="http://schemas.openxmlformats.org/officeDocument/2006/relationships/image" Id="rId99" Target="media/rId99.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image" Id="rId104" Target="media/rId104.png" /><Relationship Type="http://schemas.openxmlformats.org/officeDocument/2006/relationships/image" Id="rId114" Target="media/rId114.png" /><Relationship Type="http://schemas.openxmlformats.org/officeDocument/2006/relationships/image" Id="rId110" Target="media/rId110.png" /><Relationship Type="http://schemas.openxmlformats.org/officeDocument/2006/relationships/image" Id="rId126" Target="media/rId126.png" /><Relationship Type="http://schemas.openxmlformats.org/officeDocument/2006/relationships/hyperlink" Id="rId166" Target="https://doi.org/10.1002/sim.1203" TargetMode="External" /><Relationship Type="http://schemas.openxmlformats.org/officeDocument/2006/relationships/hyperlink" Id="rId168" Target="https://doi.org/10.1002/sim.4780080803" TargetMode="External" /><Relationship Type="http://schemas.openxmlformats.org/officeDocument/2006/relationships/hyperlink" Id="rId176" Target="https://doi.org/10.1093/aje/kwn164" TargetMode="External" /><Relationship Type="http://schemas.openxmlformats.org/officeDocument/2006/relationships/hyperlink" Id="rId170" Target="https://doi.org/10.1093/biomet/81.1.61" TargetMode="External" /><Relationship Type="http://schemas.openxmlformats.org/officeDocument/2006/relationships/hyperlink" Id="rId162" Target="https://doi.org/10.1093/biomet/81.3.515" TargetMode="External" /><Relationship Type="http://schemas.openxmlformats.org/officeDocument/2006/relationships/hyperlink" Id="rId174" Target="https://doi.org/10.1097/00001648-200009000-00011" TargetMode="External" /><Relationship Type="http://schemas.openxmlformats.org/officeDocument/2006/relationships/hyperlink" Id="rId172" Target="https://doi.org/10.1111/j.1467-9469.2006.00529.x" TargetMode="External" /><Relationship Type="http://schemas.openxmlformats.org/officeDocument/2006/relationships/hyperlink" Id="rId164" Target="https://doi.org/10.1214/aos/1176345976" TargetMode="External" /><Relationship Type="http://schemas.openxmlformats.org/officeDocument/2006/relationships/hyperlink" Id="rId158" Target="https://doi.org/10.2147/CLEP.S468572" TargetMode="External" /><Relationship Type="http://schemas.openxmlformats.org/officeDocument/2006/relationships/hyperlink" Id="rId156" Target="https://doi.org/10.2307/2061224" TargetMode="External" /><Relationship Type="http://schemas.openxmlformats.org/officeDocument/2006/relationships/hyperlink" Id="rId149" Target="https://doi.org/10.5281/zenodo.18050329" TargetMode="External" /><Relationship Type="http://schemas.openxmlformats.org/officeDocument/2006/relationships/hyperlink" Id="rId160" Target="https://doi.org/10.7554/eLife.103690" TargetMode="External" /><Relationship Type="http://schemas.openxmlformats.org/officeDocument/2006/relationships/hyperlink" Id="rId148"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6" Target="https://doi.org/10.1002/sim.1203" TargetMode="External" /><Relationship Type="http://schemas.openxmlformats.org/officeDocument/2006/relationships/hyperlink" Id="rId168" Target="https://doi.org/10.1002/sim.4780080803" TargetMode="External" /><Relationship Type="http://schemas.openxmlformats.org/officeDocument/2006/relationships/hyperlink" Id="rId176" Target="https://doi.org/10.1093/aje/kwn164" TargetMode="External" /><Relationship Type="http://schemas.openxmlformats.org/officeDocument/2006/relationships/hyperlink" Id="rId170" Target="https://doi.org/10.1093/biomet/81.1.61" TargetMode="External" /><Relationship Type="http://schemas.openxmlformats.org/officeDocument/2006/relationships/hyperlink" Id="rId162" Target="https://doi.org/10.1093/biomet/81.3.515" TargetMode="External" /><Relationship Type="http://schemas.openxmlformats.org/officeDocument/2006/relationships/hyperlink" Id="rId174" Target="https://doi.org/10.1097/00001648-200009000-00011" TargetMode="External" /><Relationship Type="http://schemas.openxmlformats.org/officeDocument/2006/relationships/hyperlink" Id="rId172" Target="https://doi.org/10.1111/j.1467-9469.2006.00529.x" TargetMode="External" /><Relationship Type="http://schemas.openxmlformats.org/officeDocument/2006/relationships/hyperlink" Id="rId164" Target="https://doi.org/10.1214/aos/1176345976" TargetMode="External" /><Relationship Type="http://schemas.openxmlformats.org/officeDocument/2006/relationships/hyperlink" Id="rId158" Target="https://doi.org/10.2147/CLEP.S468572" TargetMode="External" /><Relationship Type="http://schemas.openxmlformats.org/officeDocument/2006/relationships/hyperlink" Id="rId156" Target="https://doi.org/10.2307/2061224" TargetMode="External" /><Relationship Type="http://schemas.openxmlformats.org/officeDocument/2006/relationships/hyperlink" Id="rId149" Target="https://doi.org/10.5281/zenodo.18050329" TargetMode="External" /><Relationship Type="http://schemas.openxmlformats.org/officeDocument/2006/relationships/hyperlink" Id="rId160" Target="https://doi.org/10.7554/eLife.103690" TargetMode="External" /><Relationship Type="http://schemas.openxmlformats.org/officeDocument/2006/relationships/hyperlink" Id="rId148"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2026-01-08T21:02:24Z</dcterms:created>
  <dcterms:modified xsi:type="dcterms:W3CDTF">2026-01-08T21:02:24Z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supp</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