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4.png" ContentType="image/png"/>
  <Override PartName="/word/media/rId78.png" ContentType="image/png"/>
  <Override PartName="/word/media/rId60.png" ContentType="image/png"/>
  <Override PartName="/word/media/rId68.png" ContentType="image/png"/>
  <Override PartName="/word/media/rId86.png" ContentType="image/png"/>
  <Override PartName="/word/media/rId109.png" ContentType="image/png"/>
  <Override PartName="/word/media/rId105.png" ContentType="image/png"/>
  <Override PartName="/word/media/rId92.png" ContentType="image/png"/>
  <Override PartName="/word/media/rId101.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66"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6"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Xa2c880308399c73fd197b9524b9e5e52fc09404"/>
    <w:p>
      <w:pPr>
        <w:pStyle w:val="Heading4"/>
      </w:pPr>
      <w:r>
        <w:t xml:space="preserve">2.1.1 Assumptions and identifiability conditions</w:t>
      </w:r>
    </w:p>
    <w:p>
      <w:pPr>
        <w:pStyle w:val="FirstParagraph"/>
      </w:pPr>
      <w:r>
        <w:t xml:space="preserve">KCOR relies on the following assumptions for interpretable normalization and comparison. These assumptions are explicit, empirically testable, and accompanied by diagnostics that signal when they are violated.</w:t>
      </w:r>
    </w:p>
    <w:p>
      <w:pPr>
        <w:numPr>
          <w:ilvl w:val="0"/>
          <w:numId w:val="1007"/>
        </w:numPr>
      </w:pPr>
      <w:r>
        <w:rPr>
          <w:b/>
          <w:bCs/>
        </w:rPr>
        <w:t xml:space="preserve">Fixed cohorts at enrollment</w:t>
      </w:r>
      <w:r>
        <w:t xml:space="preserve">: Individuals are assigned to cohorts at enrollment and do not switch; no censoring or as-treated switching is permitted in the primary estimand.</w:t>
      </w:r>
    </w:p>
    <w:p>
      <w:pPr>
        <w:numPr>
          <w:ilvl w:val="0"/>
          <w:numId w:val="1007"/>
        </w:numPr>
      </w:pPr>
      <w:r>
        <w:rPr>
          <w:b/>
          <w:bCs/>
        </w:rPr>
        <w:t xml:space="preserve">Quiet-window validity</w:t>
      </w:r>
      <w:r>
        <w:t xml:space="preserve">: The fitting window must be free of major external shocks (e.g., epidemic waves, policy changes, reporting artifacts) that would induce curvature unrelated to selection-induced depletion.</w:t>
      </w:r>
    </w:p>
    <w:p>
      <w:pPr>
        <w:numPr>
          <w:ilvl w:val="0"/>
          <w:numId w:val="1007"/>
        </w:numPr>
      </w:pPr>
      <w:r>
        <w:rPr>
          <w:b/>
          <w:bCs/>
        </w:rPr>
        <w:t xml:space="preserve">Temporal separability (quiet-window identification)</w:t>
      </w:r>
      <w:r>
        <w:t xml:space="preserve">: Frailty parameters are identified during a prespecified quiet window in which treatment effects are small relative to selection-induced depletion. This window is used solely for estimation of frailty parameters and does not constrain treatment effects at other times.</w:t>
      </w:r>
      <w:r>
        <w:br/>
      </w:r>
      <w:r>
        <w:rPr>
          <w:b/>
          <w:bCs/>
        </w:rPr>
        <w:t xml:space="preserve">Non-overlap refers to dominance of selection-induced depletion over treatment effects within the quiet window, not to the absence of treatment effects at other times; this condition is assessed empirically via normalization diagnostics rather than imposed a priori.</w:t>
      </w:r>
      <w:r>
        <w:br/>
      </w:r>
      <w:r>
        <w:t xml:space="preserve">When this condition is violated, KCOR trajectories fail to stabilize and diagnostic criteria indicate reduced interpretability.</w:t>
      </w:r>
    </w:p>
    <w:p>
      <w:pPr>
        <w:numPr>
          <w:ilvl w:val="0"/>
          <w:numId w:val="1007"/>
        </w:numPr>
      </w:pPr>
      <w:r>
        <w:rPr>
          <w:b/>
          <w:bCs/>
        </w:rPr>
        <w:t xml:space="preserve">Gamma-frailty as geometric approximation</w:t>
      </w:r>
      <w:r>
        <w:t xml:space="preserve">: Gamma frailty is used not as a claim of biological truth, but as a mathematically tractable approximation whose adequacy is empirically testable.</w:t>
      </w:r>
    </w:p>
    <w:p>
      <w:pPr>
        <w:numPr>
          <w:ilvl w:val="0"/>
          <w:numId w:val="1007"/>
        </w:numPr>
      </w:pPr>
      <w:r>
        <w:rPr>
          <w:b/>
          <w:bCs/>
        </w:rPr>
        <w:t xml:space="preserve">Identifiability via curvature</w:t>
      </w:r>
      <w:r>
        <w:t xml:space="preserve">: Frailty parameters are identified from observable curvature in cumulative-hazard space; near-linear cumulative hazards yield weak identification and naturally drive</w:t>
      </w:r>
      <w:r>
        <w:t xml:space="preserve"> </w:t>
      </w:r>
      <m:oMath>
        <m:acc>
          <m:accPr>
            <m:chr m:val="̂"/>
          </m:accPr>
          <m:e>
            <m:r>
              <m:t>θ</m:t>
            </m:r>
          </m:e>
        </m:acc>
        <m:r>
          <m:rPr>
            <m:sty m:val="p"/>
          </m:rPr>
          <m:t>→</m:t>
        </m:r>
        <m:r>
          <m:t>0</m:t>
        </m:r>
      </m:oMath>
      <w:r>
        <w:t xml:space="preserve">.</w:t>
      </w:r>
    </w:p>
    <w:p>
      <w:pPr>
        <w:numPr>
          <w:ilvl w:val="0"/>
          <w:numId w:val="1007"/>
        </w:numPr>
      </w:pPr>
      <w:r>
        <w:rPr>
          <w:b/>
          <w:bCs/>
        </w:rPr>
        <w:t xml:space="preserve">Baseline hazard regularity</w:t>
      </w:r>
      <w:r>
        <w:t xml:space="preserve">: The underlying baseline hazard is assumed slowly varying or approximately linear over the quiet window.</w:t>
      </w:r>
    </w:p>
    <w:p>
      <w:pPr>
        <w:numPr>
          <w:ilvl w:val="0"/>
          <w:numId w:val="1007"/>
        </w:numPr>
      </w:pPr>
      <w:r>
        <w:rPr>
          <w:b/>
          <w:bCs/>
        </w:rPr>
        <w:t xml:space="preserve">Diagnostics required</w:t>
      </w:r>
      <w:r>
        <w:t xml:space="preserve">: Poor fit, residual curvature after normalization, or parameter instability under small window perturbations signal assumption violation and limit interpretability.</w:t>
      </w:r>
    </w:p>
    <w:p>
      <w:pPr>
        <w:pStyle w:val="FirstParagraph"/>
      </w:pPr>
      <w:r>
        <w:t xml:space="preserve">Selection and treatment are not generically identifiable from two cohort hazard curves without additional structure. KCOR therefore does not claim universal identifiability. Instead, it targets a specific, testable confounding geometry—selection-induced depletion under time-invariant multiplicative heterogeneity—and relies on diagnostics, negative controls, and simulations to validate when that structure is adequate. The operating characteristics of KCOR when this temporal-separability condition holds—and when it is intentionally violated via overlap between the quiet window and treatment effects—are evaluated explicitly in Simulation S7 (Appendix B.6) and summarized in the Results (§3.4). In settings without a clear post-enrollment quiet period prior to major epidemic pressure, KCOR estimates should be interpreted as descriptive of cumulative differences rather than as isolated treatment effects, and diagnostics should be examined for evidence of assumption violation.</w:t>
      </w:r>
    </w:p>
    <w:bookmarkEnd w:id="23"/>
    <w:bookmarkStart w:id="24" w:name="X2ff639dda5c76ee12c1be373d6ab806d9726741"/>
    <w:p>
      <w:pPr>
        <w:pStyle w:val="Heading4"/>
      </w:pPr>
      <w:r>
        <w:t xml:space="preserve">2.1.2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4"/>
    <w:bookmarkStart w:id="25" w:name="X19be1cc8b4f22674f4fa31b60c80ceca3407093"/>
    <w:p>
      <w:pPr>
        <w:pStyle w:val="Heading4"/>
      </w:pPr>
      <w:r>
        <w:t xml:space="preserve">2.1.3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5"/>
    <w:bookmarkEnd w:id="26"/>
    <w:bookmarkStart w:id="28"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27"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7"/>
    <w:bookmarkEnd w:id="28"/>
    <w:bookmarkStart w:id="31"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9"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9"/>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0"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0"/>
    </w:p>
    <w:bookmarkEnd w:id="31"/>
    <w:bookmarkStart w:id="44" w:name="Xe033a348c5bd6b05b57c8d9f7299f5850ccd667"/>
    <w:p>
      <w:pPr>
        <w:pStyle w:val="Heading3"/>
      </w:pPr>
      <w:r>
        <w:t xml:space="preserve">2.4 Selection model: gamma frailty and the cumulative-hazard identity</w:t>
      </w:r>
    </w:p>
    <w:bookmarkStart w:id="33"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2"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2"/>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w:t>
      </w:r>
    </w:p>
    <w:bookmarkEnd w:id="33"/>
    <w:bookmarkStart w:id="41"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4"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4"/>
    </w:p>
    <w:p>
      <w:pPr>
        <w:pStyle w:val="FirstParagraph"/>
      </w:pPr>
      <w:r>
        <w:t xml:space="preserve">Integrating over gamma frailty yields a closed-form relationship between the observed cohort cumulative hazard and the baseline cumulative hazard:</w:t>
      </w:r>
    </w:p>
    <w:p>
      <w:pPr>
        <w:pStyle w:val="BodyText"/>
      </w:pPr>
      <w:bookmarkStart w:id="35"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5"/>
    </w:p>
    <w:p>
      <w:pPr>
        <w:pStyle w:val="FirstParagraph"/>
      </w:pPr>
      <w:r>
        <w:t xml:space="preserve">This identity can be inverted exactly:</w:t>
      </w:r>
    </w:p>
    <w:p>
      <w:pPr>
        <w:pStyle w:val="BodyText"/>
      </w:pPr>
      <w:bookmarkStart w:id="36"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6"/>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0"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8" name="Picture"/>
            <a:graphic>
              <a:graphicData uri="http://schemas.openxmlformats.org/drawingml/2006/picture">
                <pic:pic>
                  <pic:nvPicPr>
                    <pic:cNvPr descr="figures/fig1_kcor_v6_schematic.png" id="39" name="Picture"/>
                    <pic:cNvPicPr>
                      <a:picLocks noChangeArrowheads="1" noChangeAspect="1"/>
                    </pic:cNvPicPr>
                  </pic:nvPicPr>
                  <pic:blipFill>
                    <a:blip r:embed="rId37"/>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0"/>
    <w:bookmarkEnd w:id="41"/>
    <w:bookmarkStart w:id="43"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2"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2"/>
    </w:p>
    <w:p>
      <w:pPr>
        <w:pStyle w:val="FirstParagraph"/>
      </w:pPr>
      <w:r>
        <w:t xml:space="preserve">This choice minimizes degrees of freedom and forces curvature during quiet periods to be explained by selection (frailty) rather than by an explicit time-varying baseline.</w:t>
      </w:r>
    </w:p>
    <w:bookmarkEnd w:id="43"/>
    <w:bookmarkEnd w:id="44"/>
    <w:bookmarkStart w:id="49"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5"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5"/>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6"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6"/>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8"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7"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7"/>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8"/>
    <w:bookmarkEnd w:id="49"/>
    <w:bookmarkStart w:id="53"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0"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0"/>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1"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1"/>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bookmarkStart w:id="52"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2"/>
    <w:bookmarkEnd w:id="53"/>
    <w:bookmarkStart w:id="55"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4"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4"/>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5"/>
    <w:bookmarkStart w:id="57"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6"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6"/>
    </w:p>
    <w:p>
      <w:pPr>
        <w:pStyle w:val="FirstParagraph"/>
      </w:pPr>
      <w:r>
        <w:t xml:space="preserve">This is a cumulative comparison in hazard space after removing cohort-specific selection-induced depletion dynamics estimated during quiet periods.</w:t>
      </w:r>
    </w:p>
    <w:bookmarkEnd w:id="57"/>
    <w:bookmarkStart w:id="58"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8"/>
    <w:bookmarkStart w:id="64"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59"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9"/>
    <w:p>
      <w:r>
        <w:pict>
          <v:rect style="width:0;height:1.5pt" o:hralign="center" o:hrstd="t" o:hr="t"/>
        </w:pict>
      </w:r>
    </w:p>
    <w:bookmarkStart w:id="63"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1" name="Picture"/>
            <a:graphic>
              <a:graphicData uri="http://schemas.openxmlformats.org/drawingml/2006/picture">
                <pic:pic>
                  <pic:nvPicPr>
                    <pic:cNvPr descr="figures/fig_kcor_workflow.png" id="62" name="Picture"/>
                    <pic:cNvPicPr>
                      <a:picLocks noChangeArrowheads="1" noChangeAspect="1"/>
                    </pic:cNvPicPr>
                  </pic:nvPicPr>
                  <pic:blipFill>
                    <a:blip r:embed="rId60"/>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3"/>
    <w:bookmarkEnd w:id="64"/>
    <w:bookmarkStart w:id="65"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End w:id="65"/>
    <w:bookmarkEnd w:id="66"/>
    <w:bookmarkStart w:id="116"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4"/>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4"/>
        </w:numPr>
      </w:pPr>
      <w:r>
        <w:rPr>
          <w:b/>
          <w:bCs/>
        </w:rPr>
        <w:t xml:space="preserve">Positive controls (detect injected effects):</w:t>
      </w:r>
      <w:r>
        <w:t xml:space="preserve"> </w:t>
      </w:r>
      <w:r>
        <w:t xml:space="preserve">when known harm/benefit is injected into otherwise-null data, KCOR reliably detects it.</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 (median)</w:t>
            </w:r>
          </w:p>
        </w:tc>
        <w:tc>
          <w:tcPr/>
          <w:p>
            <w:pPr>
              <w:pStyle w:val="Compact"/>
              <w:jc w:val="right"/>
            </w:pPr>
            <m:oMath>
              <m:acc>
                <m:accPr>
                  <m:chr m:val="̂"/>
                </m:accPr>
                <m:e>
                  <m:r>
                    <m:t>θ</m:t>
                  </m:r>
                </m:e>
              </m:acc>
            </m:oMath>
            <w:r>
              <w:t xml:space="preserve"> </w:t>
            </w:r>
            <w:r>
              <w:t xml:space="preserve">Dose 2 (median)</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w:t>
            </w:r>
          </w:p>
        </w:tc>
        <w:tc>
          <w:tcPr/>
          <w:p>
            <w:pPr>
              <w:pStyle w:val="Compact"/>
              <w:jc w:val="right"/>
            </w:pPr>
            <w:r>
              <w:t xml:space="preserve">1.89</w:t>
            </w:r>
          </w:p>
        </w:tc>
        <w:tc>
          <w:tcPr/>
          <w:p>
            <w:pPr>
              <w:pStyle w:val="Compact"/>
              <w:jc w:val="right"/>
            </w:pPr>
            <m:oMath>
              <m:r>
                <m:t>4.50</m:t>
              </m:r>
              <m:r>
                <m:rPr>
                  <m:sty m:val="p"/>
                </m:rPr>
                <m:t>×</m:t>
              </m:r>
              <m:sSup>
                <m:e>
                  <m:r>
                    <m:t>10</m:t>
                  </m:r>
                </m:e>
                <m:sup>
                  <m:r>
                    <m:rPr>
                      <m:sty m:val="p"/>
                    </m:rPr>
                    <m:t>−</m:t>
                  </m:r>
                  <m:r>
                    <m:t>16</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 Values are summarized as medians across enrollment subcohorts within 2021_24.</w:t>
      </w:r>
    </w:p>
    <w:p>
      <w:pPr>
        <w:pStyle w:val="BodyText"/>
      </w:pPr>
      <w:r>
        <w:t xml:space="preserve">As shown in Table 2, unvaccinated cohorts exhibit substantial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strong selective uptake prior to follow-up. Frailty variance is largest at younger ages, where low baseline mortality amplifies the impact of heterogeneity on cumulative hazard curvature, and declines at older ages where mortality is compressed and survivors are more homogeneous. No diagnostic reversals or instabilities are observed.</w:t>
      </w:r>
    </w:p>
    <w:p>
      <w:pPr>
        <w:pStyle w:val="BodyText"/>
      </w:pPr>
      <w:r>
        <w:t xml:space="preserve">Given the strong frailty heterogeneity shown in Table 2, raw cumulative outcome contrasts (Table 3) are expected to reflect both selection-induced depletion effects and any underlying treatment differences.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(week 2024-16), identically for Dose 0 and Dose 2 cohorts.</w:t>
      </w:r>
    </w:p>
    <w:bookmarkStart w:id="67"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7"/>
    <w:bookmarkStart w:id="84" w:name="X250d2743dd947cd04209f9dc9cf02b545517230"/>
    <w:p>
      <w:pPr>
        <w:pStyle w:val="Heading3"/>
      </w:pPr>
      <w:r>
        <w:t xml:space="preserve">3.1 Negative controls: null under selection-induced curvature</w:t>
      </w:r>
    </w:p>
    <w:bookmarkStart w:id="73"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5"/>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5"/>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5"/>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72"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6"/>
        </w:numPr>
      </w:pPr>
      <w:r>
        <w:t xml:space="preserve">Time unit: weeks.</w:t>
      </w:r>
    </w:p>
    <w:p>
      <w:pPr>
        <w:pStyle w:val="Compact"/>
        <w:numPr>
          <w:ilvl w:val="0"/>
          <w:numId w:val="1016"/>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6"/>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6"/>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71"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9" name="Picture"/>
            <a:graphic>
              <a:graphicData uri="http://schemas.openxmlformats.org/drawingml/2006/picture">
                <pic:pic>
                  <pic:nvPicPr>
                    <pic:cNvPr descr="figures/fig_neg_control_synthetic.png" id="70" name="Picture"/>
                    <pic:cNvPicPr>
                      <a:picLocks noChangeArrowheads="1" noChangeAspect="1"/>
                    </pic:cNvPicPr>
                  </pic:nvPicPr>
                  <pic:blipFill>
                    <a:blip r:embed="rId68"/>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71"/>
    <w:bookmarkEnd w:id="72"/>
    <w:bookmarkEnd w:id="73"/>
    <w:bookmarkStart w:id="83"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7"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5" name="Picture"/>
            <a:graphic>
              <a:graphicData uri="http://schemas.openxmlformats.org/drawingml/2006/picture">
                <pic:pic>
                  <pic:nvPicPr>
                    <pic:cNvPr descr="figures/fig2_neg_control_10yr_age_diff.png" id="76" name="Picture"/>
                    <pic:cNvPicPr>
                      <a:picLocks noChangeArrowheads="1" noChangeAspect="1"/>
                    </pic:cNvPicPr>
                  </pic:nvPicPr>
                  <pic:blipFill>
                    <a:blip r:embed="rId74"/>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7"/>
    <w:bookmarkStart w:id="81"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9" name="Picture"/>
            <a:graphic>
              <a:graphicData uri="http://schemas.openxmlformats.org/drawingml/2006/picture">
                <pic:pic>
                  <pic:nvPicPr>
                    <pic:cNvPr descr="figures/fig3_neg_control_20yr_age_diff.png" id="80" name="Picture"/>
                    <pic:cNvPicPr>
                      <a:picLocks noChangeArrowheads="1" noChangeAspect="1"/>
                    </pic:cNvPicPr>
                  </pic:nvPicPr>
                  <pic:blipFill>
                    <a:blip r:embed="rId78"/>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81"/>
    <w:p>
      <w:pPr>
        <w:pStyle w:val="BodyText"/>
      </w:pPr>
      <w:r>
        <w:t xml:space="preserve">Table tbl. 5 provides numeric summaries.</w:t>
      </w:r>
    </w:p>
    <w:bookmarkStart w:id="82" w:name="tbl:neg_control_summary"/>
    <w:p>
      <w:pPr>
        <w:pStyle w:val="TableCaption"/>
      </w:pPr>
      <w:r>
        <w:t xml:space="preserve">Table 5: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5: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82"/>
    <w:bookmarkEnd w:id="83"/>
    <w:bookmarkEnd w:id="84"/>
    <w:bookmarkStart w:id="91"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5"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5"/>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6 confirm this behavior.</w:t>
      </w:r>
    </w:p>
    <w:bookmarkStart w:id="89"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7" name="Picture"/>
            <a:graphic>
              <a:graphicData uri="http://schemas.openxmlformats.org/drawingml/2006/picture">
                <pic:pic>
                  <pic:nvPicPr>
                    <pic:cNvPr descr="figures/fig_pos_control_injected.png" id="88" name="Picture"/>
                    <pic:cNvPicPr>
                      <a:picLocks noChangeArrowheads="1" noChangeAspect="1"/>
                    </pic:cNvPicPr>
                  </pic:nvPicPr>
                  <pic:blipFill>
                    <a:blip r:embed="rId86"/>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9"/>
    <w:bookmarkStart w:id="90" w:name="tbl:pos_control_summary"/>
    <w:p>
      <w:pPr>
        <w:pStyle w:val="TableCaption"/>
      </w:pPr>
      <w:r>
        <w:t xml:space="preserve">Table 6: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6: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90"/>
    <w:bookmarkEnd w:id="91"/>
    <w:bookmarkStart w:id="9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7"/>
        </w:numPr>
      </w:pPr>
      <w:r>
        <w:t xml:space="preserve">Quiet-window selection (calendar ISO-week bounds)</w:t>
      </w:r>
    </w:p>
    <w:p>
      <w:pPr>
        <w:pStyle w:val="Compact"/>
        <w:numPr>
          <w:ilvl w:val="0"/>
          <w:numId w:val="1017"/>
        </w:numPr>
      </w:pPr>
      <w:r>
        <w:t xml:space="preserve">Stabilization skip (early-bin handling)</w:t>
      </w:r>
    </w:p>
    <w:p>
      <w:pPr>
        <w:pStyle w:val="Compact"/>
        <w:numPr>
          <w:ilvl w:val="0"/>
          <w:numId w:val="1017"/>
        </w:numPr>
      </w:pPr>
      <w:r>
        <w:t xml:space="preserve">Time-binning resolution</w:t>
      </w:r>
    </w:p>
    <w:p>
      <w:pPr>
        <w:pStyle w:val="Compact"/>
        <w:numPr>
          <w:ilvl w:val="0"/>
          <w:numId w:val="1017"/>
        </w:numPr>
      </w:pPr>
      <w:r>
        <w:t xml:space="preserve">Age stratification and/or stratified analyses where appropriate</w:t>
      </w:r>
    </w:p>
    <w:p>
      <w:pPr>
        <w:pStyle w:val="Compact"/>
        <w:numPr>
          <w:ilvl w:val="0"/>
          <w:numId w:val="1017"/>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5"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93" name="Picture"/>
            <a:graphic>
              <a:graphicData uri="http://schemas.openxmlformats.org/drawingml/2006/picture">
                <pic:pic>
                  <pic:nvPicPr>
                    <pic:cNvPr descr="figures/fig_sensitivity_overview.png" id="94" name="Picture"/>
                    <pic:cNvPicPr>
                      <a:picLocks noChangeArrowheads="1" noChangeAspect="1"/>
                    </pic:cNvPicPr>
                  </pic:nvPicPr>
                  <pic:blipFill>
                    <a:blip r:embed="rId92"/>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5"/>
    <w:p>
      <w:pPr>
        <w:pStyle w:val="BodyText"/>
      </w:pPr>
      <w:r>
        <w:t xml:space="preserve">Across all tested parameter ranges, KCOR values remained within approximately ±5% of unity, indicating stability under reasonable variations in fitting choices.</w:t>
      </w:r>
    </w:p>
    <w:bookmarkEnd w:id="96"/>
    <w:bookmarkStart w:id="113"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rPr>
          <w:b/>
          <w:bCs/>
        </w:rPr>
        <w:t xml:space="preserve">Joint frailty and treatment-effect simulation (S7).</w:t>
      </w:r>
      <w:r>
        <w:br/>
      </w:r>
      <w:r>
        <w:t xml:space="preserve">Figure fig. 10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11),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00"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8" name="Picture"/>
            <a:graphic>
              <a:graphicData uri="http://schemas.openxmlformats.org/drawingml/2006/picture">
                <pic:pic>
                  <pic:nvPicPr>
                    <pic:cNvPr descr="figures/fig_sim_grid_overview.png" id="99" name="Picture"/>
                    <pic:cNvPicPr>
                      <a:picLocks noChangeArrowheads="1" noChangeAspect="1"/>
                    </pic:cNvPicPr>
                  </pic:nvPicPr>
                  <pic:blipFill>
                    <a:blip r:embed="rId97"/>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00"/>
    <w:bookmarkStart w:id="104"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02" name="Picture"/>
            <a:graphic>
              <a:graphicData uri="http://schemas.openxmlformats.org/drawingml/2006/picture">
                <pic:pic>
                  <pic:nvPicPr>
                    <pic:cNvPr descr="figures/fig_sim_grid_diagnostics.png" id="103" name="Picture"/>
                    <pic:cNvPicPr>
                      <a:picLocks noChangeArrowheads="1" noChangeAspect="1"/>
                    </pic:cNvPicPr>
                  </pic:nvPicPr>
                  <pic:blipFill>
                    <a:blip r:embed="rId101"/>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04"/>
    <w:bookmarkStart w:id="108" w:name="fig:s7_overview"/>
    <w:p>
      <w:pPr>
        <w:pStyle w:val="CaptionedFigure"/>
      </w:pPr>
      <w:r>
        <w:drawing>
          <wp:inline>
            <wp:extent cx="5334000" cy="1389920"/>
            <wp:effectExtent b="0" l="0" r="0" t="0"/>
            <wp:docPr descr="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06" name="Picture"/>
            <a:graphic>
              <a:graphicData uri="http://schemas.openxmlformats.org/drawingml/2006/picture">
                <pic:pic>
                  <pic:nvPicPr>
                    <pic:cNvPr descr="figures/fig_s7_overview.png" id="107" name="Picture"/>
                    <pic:cNvPicPr>
                      <a:picLocks noChangeArrowheads="1" noChangeAspect="1"/>
                    </pic:cNvPicPr>
                  </pic:nvPicPr>
                  <pic:blipFill>
                    <a:blip r:embed="rId105"/>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08"/>
    <w:bookmarkStart w:id="112" w:name="fig:s7_diagnostics"/>
    <w:p>
      <w:pPr>
        <w:pStyle w:val="CaptionedFigure"/>
      </w:pPr>
      <w:r>
        <w:drawing>
          <wp:inline>
            <wp:extent cx="5334000" cy="4432289"/>
            <wp:effectExtent b="0" l="0" r="0" t="0"/>
            <wp:docPr descr="Figure 11: S7 simulation diagnostics: Fitted frailty variance parameters (\theta_0, \theta_1), fit quality (RMSE), and convergence status across S7 scenarios. The overlap variant shows degraded fit quality, correctly signaling violation of temporal separability assumptions." title="" id="110" name="Picture"/>
            <a:graphic>
              <a:graphicData uri="http://schemas.openxmlformats.org/drawingml/2006/picture">
                <pic:pic>
                  <pic:nvPicPr>
                    <pic:cNvPr descr="figures/fig_s7_diagnostics.png" id="111" name="Picture"/>
                    <pic:cNvPicPr>
                      <a:picLocks noChangeArrowheads="1" noChangeAspect="1"/>
                    </pic:cNvPicPr>
                  </pic:nvPicPr>
                  <pic:blipFill>
                    <a:blip r:embed="rId109"/>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11: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12"/>
    <w:bookmarkEnd w:id="113"/>
    <w:bookmarkStart w:id="114"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14"/>
    <w:bookmarkStart w:id="115"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15"/>
    <w:bookmarkEnd w:id="116"/>
    <w:bookmarkStart w:id="120"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17"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8"/>
        </w:numPr>
      </w:pPr>
      <w:r>
        <w:t xml:space="preserve">selection-induced depletion dynamics can be estimated during quiet periods using a gamma-frailty mixture model, and</w:t>
      </w:r>
    </w:p>
    <w:p>
      <w:pPr>
        <w:pStyle w:val="Compact"/>
        <w:numPr>
          <w:ilvl w:val="0"/>
          <w:numId w:val="101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17"/>
    <w:bookmarkStart w:id="11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18"/>
    <w:bookmarkStart w:id="119"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9"/>
        </w:numPr>
      </w:pPr>
      <w:r>
        <w:t xml:space="preserve">Enrollment definition and justification</w:t>
      </w:r>
    </w:p>
    <w:p>
      <w:pPr>
        <w:pStyle w:val="Compact"/>
        <w:numPr>
          <w:ilvl w:val="0"/>
          <w:numId w:val="1019"/>
        </w:numPr>
      </w:pPr>
      <w:r>
        <w:t xml:space="preserve">Risk set definitions and event-time binning</w:t>
      </w:r>
    </w:p>
    <w:p>
      <w:pPr>
        <w:pStyle w:val="Compact"/>
        <w:numPr>
          <w:ilvl w:val="0"/>
          <w:numId w:val="1019"/>
        </w:numPr>
      </w:pPr>
      <w:r>
        <w:t xml:space="preserve">Quiet-window definition and justification</w:t>
      </w:r>
    </w:p>
    <w:p>
      <w:pPr>
        <w:pStyle w:val="Compact"/>
        <w:numPr>
          <w:ilvl w:val="0"/>
          <w:numId w:val="1019"/>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9"/>
        </w:numPr>
      </w:pPr>
      <w:r>
        <w:t xml:space="preserve">Skip/stabilization rule and robustness to nearby values</w:t>
      </w:r>
    </w:p>
    <w:p>
      <w:pPr>
        <w:pStyle w:val="Compact"/>
        <w:numPr>
          <w:ilvl w:val="0"/>
          <w:numId w:val="1019"/>
        </w:numPr>
      </w:pPr>
      <w:r>
        <w:t xml:space="preserve">Predefined negative/positive controls used for validation</w:t>
      </w:r>
    </w:p>
    <w:p>
      <w:pPr>
        <w:pStyle w:val="Compact"/>
        <w:numPr>
          <w:ilvl w:val="0"/>
          <w:numId w:val="101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19"/>
    <w:bookmarkEnd w:id="120"/>
    <w:bookmarkStart w:id="124" w:name="limitations"/>
    <w:p>
      <w:pPr>
        <w:pStyle w:val="Heading2"/>
      </w:pPr>
      <w:r>
        <w:t xml:space="preserve">5. Limitations</w:t>
      </w:r>
    </w:p>
    <w:p>
      <w:pPr>
        <w:pStyle w:val="Compact"/>
        <w:numPr>
          <w:ilvl w:val="0"/>
          <w:numId w:val="102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0"/>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0"/>
        </w:numPr>
      </w:pPr>
      <w:r>
        <w:rPr>
          <w:b/>
          <w:bCs/>
        </w:rPr>
        <w:t xml:space="preserve">Sparse events</w:t>
      </w:r>
      <w:r>
        <w:t xml:space="preserve">: When event counts are small, hazard estimation and parameter fitting can be unstable.</w:t>
      </w:r>
    </w:p>
    <w:p>
      <w:pPr>
        <w:pStyle w:val="Compact"/>
        <w:numPr>
          <w:ilvl w:val="0"/>
          <w:numId w:val="102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21"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1"/>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1"/>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2"/>
        </w:numPr>
      </w:pPr>
      <w:r>
        <w:rPr>
          <w:b/>
          <w:bCs/>
        </w:rPr>
        <w:t xml:space="preserve">Sensitivity analyses</w:t>
      </w:r>
      <w:r>
        <w:t xml:space="preserve"> </w:t>
      </w:r>
      <w:r>
        <w:t xml:space="preserve">over plausible quiet windows and skip-weeks values.</w:t>
      </w:r>
    </w:p>
    <w:p>
      <w:pPr>
        <w:pStyle w:val="Compact"/>
        <w:numPr>
          <w:ilvl w:val="0"/>
          <w:numId w:val="1022"/>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21"/>
    <w:bookmarkStart w:id="122"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22"/>
    <w:bookmarkStart w:id="123"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23"/>
    <w:bookmarkEnd w:id="124"/>
    <w:bookmarkStart w:id="12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25"/>
    <w:bookmarkStart w:id="136" w:name="declarations-journal-requirements"/>
    <w:p>
      <w:pPr>
        <w:pStyle w:val="Heading2"/>
      </w:pPr>
      <w:r>
        <w:t xml:space="preserve">Declarations (journal requirements)</w:t>
      </w:r>
    </w:p>
    <w:bookmarkStart w:id="126"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26"/>
    <w:bookmarkStart w:id="127" w:name="consent-for-publication"/>
    <w:p>
      <w:pPr>
        <w:pStyle w:val="Heading3"/>
      </w:pPr>
      <w:r>
        <w:t xml:space="preserve">Consent for publication</w:t>
      </w:r>
    </w:p>
    <w:p>
      <w:pPr>
        <w:pStyle w:val="FirstParagraph"/>
      </w:pPr>
      <w:r>
        <w:t xml:space="preserve">Not applicable.</w:t>
      </w:r>
    </w:p>
    <w:bookmarkEnd w:id="127"/>
    <w:bookmarkStart w:id="128" w:name="data-availability"/>
    <w:p>
      <w:pPr>
        <w:pStyle w:val="Heading3"/>
      </w:pPr>
      <w:r>
        <w:t xml:space="preserve">Data availability</w:t>
      </w:r>
    </w:p>
    <w:p>
      <w:pPr>
        <w:pStyle w:val="Compact"/>
        <w:numPr>
          <w:ilvl w:val="0"/>
          <w:numId w:val="102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3"/>
        </w:numPr>
      </w:pPr>
      <w:r>
        <w:t xml:space="preserve">The reference implementation includes example datasets in KCOR_CMR format for reproducibility.</w:t>
      </w:r>
    </w:p>
    <w:p>
      <w:pPr>
        <w:pStyle w:val="Compact"/>
        <w:numPr>
          <w:ilvl w:val="0"/>
          <w:numId w:val="102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28"/>
    <w:bookmarkStart w:id="131" w:name="code-availability"/>
    <w:p>
      <w:pPr>
        <w:pStyle w:val="Heading3"/>
      </w:pPr>
      <w:r>
        <w:t xml:space="preserve">Code availability</w:t>
      </w:r>
    </w:p>
    <w:p>
      <w:pPr>
        <w:pStyle w:val="Compact"/>
        <w:numPr>
          <w:ilvl w:val="0"/>
          <w:numId w:val="1024"/>
        </w:numPr>
      </w:pPr>
      <w:r>
        <w:t xml:space="preserve">The KCOR v6 reference implementation and complete validation suite are available in the project repository.</w:t>
      </w:r>
    </w:p>
    <w:p>
      <w:pPr>
        <w:pStyle w:val="Compact"/>
        <w:numPr>
          <w:ilvl w:val="0"/>
          <w:numId w:val="1024"/>
        </w:numPr>
      </w:pPr>
      <w:r>
        <w:t xml:space="preserve">Repository URL:</w:t>
      </w:r>
      <w:r>
        <w:t xml:space="preserve"> </w:t>
      </w:r>
      <w:hyperlink r:id="rId129">
        <w:r>
          <w:rPr>
            <w:rStyle w:val="Hyperlink"/>
          </w:rPr>
          <w:t xml:space="preserve">https://github.com/skirsch/KCOR</w:t>
        </w:r>
      </w:hyperlink>
    </w:p>
    <w:p>
      <w:pPr>
        <w:pStyle w:val="Compact"/>
        <w:numPr>
          <w:ilvl w:val="0"/>
          <w:numId w:val="1024"/>
        </w:numPr>
      </w:pPr>
      <w:r>
        <w:t xml:space="preserve">Zenodo DOI:</w:t>
      </w:r>
      <w:r>
        <w:t xml:space="preserve"> </w:t>
      </w:r>
      <w:hyperlink r:id="rId130">
        <w:r>
          <w:rPr>
            <w:rStyle w:val="Hyperlink"/>
          </w:rPr>
          <w:t xml:space="preserve">10.5281/zenodo.18050329</w:t>
        </w:r>
      </w:hyperlink>
    </w:p>
    <w:bookmarkEnd w:id="131"/>
    <w:bookmarkStart w:id="132" w:name="competing-interests"/>
    <w:p>
      <w:pPr>
        <w:pStyle w:val="Heading3"/>
      </w:pPr>
      <w:r>
        <w:t xml:space="preserve">Competing interests</w:t>
      </w:r>
    </w:p>
    <w:p>
      <w:pPr>
        <w:pStyle w:val="FirstParagraph"/>
      </w:pPr>
      <w:r>
        <w:t xml:space="preserve">The author is a board member of the Vaccine Safety Research Foundation.</w:t>
      </w:r>
    </w:p>
    <w:bookmarkEnd w:id="132"/>
    <w:bookmarkStart w:id="133" w:name="funding"/>
    <w:p>
      <w:pPr>
        <w:pStyle w:val="Heading3"/>
      </w:pPr>
      <w:r>
        <w:t xml:space="preserve">Funding</w:t>
      </w:r>
    </w:p>
    <w:p>
      <w:pPr>
        <w:pStyle w:val="FirstParagraph"/>
      </w:pPr>
      <w:r>
        <w:t xml:space="preserve">This research received no external funding.</w:t>
      </w:r>
    </w:p>
    <w:bookmarkEnd w:id="133"/>
    <w:bookmarkStart w:id="13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34"/>
    <w:bookmarkStart w:id="135" w:name="acknowledgements"/>
    <w:p>
      <w:pPr>
        <w:pStyle w:val="Heading3"/>
      </w:pPr>
      <w:r>
        <w:t xml:space="preserve">Acknowledgements</w:t>
      </w:r>
    </w:p>
    <w:p>
      <w:pPr>
        <w:pStyle w:val="FirstParagraph"/>
      </w:pPr>
      <w:r>
        <w:t xml:space="preserve">The author thanks HART group chair Dr. Clare Craig and Benjamin Jackson for helpful discussions and methodological feedback during the development of this work. All errors remain the author’s responsibility.</w:t>
      </w:r>
    </w:p>
    <w:p>
      <w:r>
        <w:pict>
          <v:rect style="width:0;height:1.5pt" o:hralign="center" o:hrstd="t" o:hr="t"/>
        </w:pict>
      </w:r>
    </w:p>
    <w:bookmarkEnd w:id="135"/>
    <w:bookmarkEnd w:id="136"/>
    <w:bookmarkStart w:id="16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42" w:name="appendix-a.-mathematical-derivations"/>
    <w:p>
      <w:pPr>
        <w:pStyle w:val="Heading3"/>
      </w:pPr>
      <w:r>
        <w:t xml:space="preserve">Appendix A. Mathematical derivations</w:t>
      </w:r>
    </w:p>
    <w:bookmarkStart w:id="137"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37"/>
    <w:bookmarkStart w:id="138"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38"/>
    <w:bookmarkStart w:id="139"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39"/>
    <w:bookmarkStart w:id="140"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40"/>
    <w:bookmarkStart w:id="141"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41"/>
    <w:bookmarkEnd w:id="142"/>
    <w:bookmarkStart w:id="155" w:name="appendix-b.-control-test-specifications"/>
    <w:p>
      <w:pPr>
        <w:pStyle w:val="Heading3"/>
      </w:pPr>
      <w:r>
        <w:t xml:space="preserve">Appendix B. Control-test specifications</w:t>
      </w:r>
    </w:p>
    <w:bookmarkStart w:id="143"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5"/>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5"/>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5"/>
        </w:numPr>
      </w:pPr>
      <w:r>
        <w:rPr>
          <w:b/>
          <w:bCs/>
        </w:rPr>
        <w:t xml:space="preserve">Cohort A weights</w:t>
      </w:r>
      <w:r>
        <w:t xml:space="preserve">: Equal weights across 5 frailty groups (0.2 each)</w:t>
      </w:r>
    </w:p>
    <w:p>
      <w:pPr>
        <w:pStyle w:val="Compact"/>
        <w:numPr>
          <w:ilvl w:val="0"/>
          <w:numId w:val="1025"/>
        </w:numPr>
      </w:pPr>
      <w:r>
        <w:rPr>
          <w:b/>
          <w:bCs/>
        </w:rPr>
        <w:t xml:space="preserve">Cohort B weights</w:t>
      </w:r>
      <w:r>
        <w:t xml:space="preserve">: Shifted weights [0.30, 0.20, 0.20, 0.20, 0.10]</w:t>
      </w:r>
    </w:p>
    <w:p>
      <w:pPr>
        <w:pStyle w:val="Compact"/>
        <w:numPr>
          <w:ilvl w:val="0"/>
          <w:numId w:val="1025"/>
        </w:numPr>
      </w:pPr>
      <w:r>
        <w:rPr>
          <w:b/>
          <w:bCs/>
        </w:rPr>
        <w:t xml:space="preserve">Frailty values</w:t>
      </w:r>
      <w:r>
        <w:t xml:space="preserve">: [1, 2, 4, 6, 10] (relative frailty multipliers)</w:t>
      </w:r>
    </w:p>
    <w:p>
      <w:pPr>
        <w:pStyle w:val="Compact"/>
        <w:numPr>
          <w:ilvl w:val="0"/>
          <w:numId w:val="1025"/>
        </w:numPr>
      </w:pPr>
      <w:r>
        <w:rPr>
          <w:b/>
          <w:bCs/>
        </w:rPr>
        <w:t xml:space="preserve">Base weekly probability</w:t>
      </w:r>
      <w:r>
        <w:t xml:space="preserve">: 0.01</w:t>
      </w:r>
    </w:p>
    <w:p>
      <w:pPr>
        <w:pStyle w:val="Compact"/>
        <w:numPr>
          <w:ilvl w:val="0"/>
          <w:numId w:val="1025"/>
        </w:numPr>
      </w:pPr>
      <w:r>
        <w:rPr>
          <w:b/>
          <w:bCs/>
        </w:rPr>
        <w:t xml:space="preserve">Weekly log-slope</w:t>
      </w:r>
      <w:r>
        <w:t xml:space="preserve">: 0.0 (constant baseline during quiet periods)</w:t>
      </w:r>
    </w:p>
    <w:p>
      <w:pPr>
        <w:pStyle w:val="Compact"/>
        <w:numPr>
          <w:ilvl w:val="0"/>
          <w:numId w:val="1025"/>
        </w:numPr>
      </w:pPr>
      <w:r>
        <w:rPr>
          <w:b/>
          <w:bCs/>
        </w:rPr>
        <w:t xml:space="preserve">Skip weeks</w:t>
      </w:r>
      <w:r>
        <w:t xml:space="preserve">: 2</w:t>
      </w:r>
    </w:p>
    <w:p>
      <w:pPr>
        <w:pStyle w:val="Compact"/>
        <w:numPr>
          <w:ilvl w:val="0"/>
          <w:numId w:val="1025"/>
        </w:numPr>
      </w:pPr>
      <w:r>
        <w:rPr>
          <w:b/>
          <w:bCs/>
        </w:rPr>
        <w:t xml:space="preserve">Normalization weeks</w:t>
      </w:r>
      <w:r>
        <w:t xml:space="preserve">: 4</w:t>
      </w:r>
    </w:p>
    <w:p>
      <w:pPr>
        <w:pStyle w:val="Compact"/>
        <w:numPr>
          <w:ilvl w:val="0"/>
          <w:numId w:val="1025"/>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43"/>
    <w:bookmarkStart w:id="144"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6"/>
        </w:numPr>
      </w:pPr>
      <w:r>
        <w:rPr>
          <w:b/>
          <w:bCs/>
        </w:rPr>
        <w:t xml:space="preserve">Data source</w:t>
      </w:r>
      <w:r>
        <w:t xml:space="preserve">: Czech Republic administrative mortality and vaccination data, aggregated into KCOR_CMR format</w:t>
      </w:r>
    </w:p>
    <w:p>
      <w:pPr>
        <w:pStyle w:val="Compact"/>
        <w:numPr>
          <w:ilvl w:val="0"/>
          <w:numId w:val="1026"/>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6"/>
        </w:numPr>
      </w:pPr>
      <w:r>
        <w:rPr>
          <w:b/>
          <w:bCs/>
        </w:rPr>
        <w:t xml:space="preserve">Construction</w:t>
      </w:r>
      <w:r>
        <w:t xml:space="preserve">: Age strata remapped to pseudo-doses within same vaccination category</w:t>
      </w:r>
    </w:p>
    <w:p>
      <w:pPr>
        <w:pStyle w:val="Compact"/>
        <w:numPr>
          <w:ilvl w:val="0"/>
          <w:numId w:val="1026"/>
        </w:numPr>
      </w:pPr>
      <w:r>
        <w:rPr>
          <w:b/>
          <w:bCs/>
        </w:rPr>
        <w:t xml:space="preserve">Age mapping</w:t>
      </w:r>
      <w:r>
        <w:t xml:space="preserve">:</w:t>
      </w:r>
    </w:p>
    <w:p>
      <w:pPr>
        <w:pStyle w:val="Compact"/>
        <w:numPr>
          <w:ilvl w:val="1"/>
          <w:numId w:val="1027"/>
        </w:numPr>
      </w:pPr>
      <w:r>
        <w:t xml:space="preserve">Dose 0 → YoB {1930, 1935}</w:t>
      </w:r>
    </w:p>
    <w:p>
      <w:pPr>
        <w:pStyle w:val="Compact"/>
        <w:numPr>
          <w:ilvl w:val="1"/>
          <w:numId w:val="1027"/>
        </w:numPr>
      </w:pPr>
      <w:r>
        <w:t xml:space="preserve">Dose 1 → YoB {1940, 1945}</w:t>
      </w:r>
    </w:p>
    <w:p>
      <w:pPr>
        <w:pStyle w:val="Compact"/>
        <w:numPr>
          <w:ilvl w:val="1"/>
          <w:numId w:val="1027"/>
        </w:numPr>
      </w:pPr>
      <w:r>
        <w:t xml:space="preserve">Dose 2 → YoB {1950, 1955}</w:t>
      </w:r>
    </w:p>
    <w:p>
      <w:pPr>
        <w:pStyle w:val="Compact"/>
        <w:numPr>
          <w:ilvl w:val="0"/>
          <w:numId w:val="1026"/>
        </w:numPr>
      </w:pPr>
      <w:r>
        <w:rPr>
          <w:b/>
          <w:bCs/>
        </w:rPr>
        <w:t xml:space="preserve">Output YoB</w:t>
      </w:r>
      <w:r>
        <w:t xml:space="preserve">: Fixed at 1950 (unvax cohort) or 1940 (vax cohort)</w:t>
      </w:r>
    </w:p>
    <w:p>
      <w:pPr>
        <w:pStyle w:val="Compact"/>
        <w:numPr>
          <w:ilvl w:val="0"/>
          <w:numId w:val="1026"/>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44"/>
    <w:bookmarkStart w:id="145" w:name="b.3-positive-control-injected-effect"/>
    <w:p>
      <w:pPr>
        <w:pStyle w:val="Heading4"/>
      </w:pPr>
      <w:r>
        <w:t xml:space="preserve">B.3 Positive control: injected effect</w:t>
      </w:r>
    </w:p>
    <w:p>
      <w:pPr>
        <w:pStyle w:val="FirstParagraph"/>
      </w:pPr>
      <w:r>
        <w:t xml:space="preserve">The positive control (Figure fig. 6 and Table tbl. 6) is generated using:</w:t>
      </w:r>
    </w:p>
    <w:p>
      <w:pPr>
        <w:pStyle w:val="Compact"/>
        <w:numPr>
          <w:ilvl w:val="0"/>
          <w:numId w:val="1028"/>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8"/>
        </w:numPr>
      </w:pPr>
      <w:r>
        <w:rPr>
          <w:b/>
          <w:bCs/>
        </w:rPr>
        <w:t xml:space="preserve">Initial cohort size</w:t>
      </w:r>
      <w:r>
        <w:t xml:space="preserve">: 100,000 per cohort</w:t>
      </w:r>
    </w:p>
    <w:p>
      <w:pPr>
        <w:pStyle w:val="Compact"/>
        <w:numPr>
          <w:ilvl w:val="0"/>
          <w:numId w:val="1028"/>
        </w:numPr>
      </w:pPr>
      <w:r>
        <w:rPr>
          <w:b/>
          <w:bCs/>
        </w:rPr>
        <w:t xml:space="preserve">Baseline hazard</w:t>
      </w:r>
      <w:r>
        <w:t xml:space="preserve">: 0.002 per week</w:t>
      </w:r>
    </w:p>
    <w:p>
      <w:pPr>
        <w:pStyle w:val="Compact"/>
        <w:numPr>
          <w:ilvl w:val="0"/>
          <w:numId w:val="1028"/>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8"/>
        </w:numPr>
      </w:pPr>
      <w:r>
        <w:rPr>
          <w:b/>
          <w:bCs/>
        </w:rPr>
        <w:t xml:space="preserve">Effect window</w:t>
      </w:r>
      <w:r>
        <w:t xml:space="preserve">: weeks 20–80</w:t>
      </w:r>
    </w:p>
    <w:p>
      <w:pPr>
        <w:pStyle w:val="Compact"/>
        <w:numPr>
          <w:ilvl w:val="0"/>
          <w:numId w:val="1028"/>
        </w:numPr>
      </w:pPr>
      <w:r>
        <w:rPr>
          <w:b/>
          <w:bCs/>
        </w:rPr>
        <w:t xml:space="preserve">Hazard multipliers</w:t>
      </w:r>
      <w:r>
        <w:t xml:space="preserve">:</w:t>
      </w:r>
    </w:p>
    <w:p>
      <w:pPr>
        <w:pStyle w:val="Compact"/>
        <w:numPr>
          <w:ilvl w:val="1"/>
          <w:numId w:val="1029"/>
        </w:numPr>
      </w:pPr>
      <w:r>
        <w:t xml:space="preserve">Harm scenario:</w:t>
      </w:r>
      <w:r>
        <w:t xml:space="preserve"> </w:t>
      </w:r>
      <m:oMath>
        <m:r>
          <m:t>r</m:t>
        </m:r>
        <m:r>
          <m:rPr>
            <m:sty m:val="p"/>
          </m:rPr>
          <m:t>=</m:t>
        </m:r>
        <m:r>
          <m:t>1.2</m:t>
        </m:r>
      </m:oMath>
    </w:p>
    <w:p>
      <w:pPr>
        <w:pStyle w:val="Compact"/>
        <w:numPr>
          <w:ilvl w:val="1"/>
          <w:numId w:val="1029"/>
        </w:numPr>
      </w:pPr>
      <w:r>
        <w:t xml:space="preserve">Benefit scenario:</w:t>
      </w:r>
      <w:r>
        <w:t xml:space="preserve"> </w:t>
      </w:r>
      <m:oMath>
        <m:r>
          <m:t>r</m:t>
        </m:r>
        <m:r>
          <m:rPr>
            <m:sty m:val="p"/>
          </m:rPr>
          <m:t>=</m:t>
        </m:r>
        <m:r>
          <m:t>0.8</m:t>
        </m:r>
      </m:oMath>
    </w:p>
    <w:p>
      <w:pPr>
        <w:pStyle w:val="Compact"/>
        <w:numPr>
          <w:ilvl w:val="0"/>
          <w:numId w:val="1028"/>
        </w:numPr>
      </w:pPr>
      <w:r>
        <w:rPr>
          <w:b/>
          <w:bCs/>
        </w:rPr>
        <w:t xml:space="preserve">Random seed</w:t>
      </w:r>
      <w:r>
        <w:t xml:space="preserve">: 42</w:t>
      </w:r>
    </w:p>
    <w:p>
      <w:pPr>
        <w:pStyle w:val="Compact"/>
        <w:numPr>
          <w:ilvl w:val="0"/>
          <w:numId w:val="1028"/>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45"/>
    <w:bookmarkStart w:id="146"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30"/>
        </w:numPr>
      </w:pPr>
      <w:r>
        <w:rPr>
          <w:b/>
          <w:bCs/>
        </w:rPr>
        <w:t xml:space="preserve">Baseline weeks</w:t>
      </w:r>
      <w:r>
        <w:t xml:space="preserve">: [2, 3, 4, 5, 6, 7, 8]</w:t>
      </w:r>
    </w:p>
    <w:p>
      <w:pPr>
        <w:pStyle w:val="Compact"/>
        <w:numPr>
          <w:ilvl w:val="0"/>
          <w:numId w:val="1030"/>
        </w:numPr>
      </w:pPr>
      <w:r>
        <w:rPr>
          <w:b/>
          <w:bCs/>
        </w:rPr>
        <w:t xml:space="preserve">Quiet-start offsets</w:t>
      </w:r>
      <w:r>
        <w:t xml:space="preserve">: [-12, -8, -4, 0, +4, +8, +12] weeks from 2022-24</w:t>
      </w:r>
    </w:p>
    <w:p>
      <w:pPr>
        <w:pStyle w:val="Compact"/>
        <w:numPr>
          <w:ilvl w:val="0"/>
          <w:numId w:val="1030"/>
        </w:numPr>
      </w:pPr>
      <w:r>
        <w:rPr>
          <w:b/>
          <w:bCs/>
        </w:rPr>
        <w:t xml:space="preserve">Quiet-window end</w:t>
      </w:r>
      <w:r>
        <w:t xml:space="preserve">: Fixed at 2024-16</w:t>
      </w:r>
    </w:p>
    <w:p>
      <w:pPr>
        <w:pStyle w:val="Compact"/>
        <w:numPr>
          <w:ilvl w:val="0"/>
          <w:numId w:val="1030"/>
        </w:numPr>
      </w:pPr>
      <w:r>
        <w:rPr>
          <w:b/>
          <w:bCs/>
        </w:rPr>
        <w:t xml:space="preserve">Dose pairs</w:t>
      </w:r>
      <w:r>
        <w:t xml:space="preserve">: 1 vs 0, 2 vs 0, 2 vs 1</w:t>
      </w:r>
    </w:p>
    <w:p>
      <w:pPr>
        <w:pStyle w:val="Compact"/>
        <w:numPr>
          <w:ilvl w:val="0"/>
          <w:numId w:val="1030"/>
        </w:numPr>
      </w:pPr>
      <w:r>
        <w:rPr>
          <w:b/>
          <w:bCs/>
        </w:rPr>
        <w:t xml:space="preserve">Cohorts</w:t>
      </w:r>
      <w:r>
        <w:t xml:space="preserve">: 2021_24</w:t>
      </w:r>
    </w:p>
    <w:p>
      <w:pPr>
        <w:pStyle w:val="FirstParagraph"/>
      </w:pPr>
      <w:r>
        <w:t xml:space="preserve">Output grids show KCOR values for each parameter combination.</w:t>
      </w:r>
    </w:p>
    <w:bookmarkEnd w:id="146"/>
    <w:bookmarkStart w:id="147"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1"/>
        </w:numPr>
      </w:pPr>
      <w:r>
        <w:rPr>
          <w:b/>
          <w:bCs/>
        </w:rPr>
        <w:t xml:space="preserve">Mid-sampled cohort</w:t>
      </w:r>
      <w:r>
        <w:t xml:space="preserve">: frailty restricted to central quantiles (e.g., 25th–75th percentile) and renormalized to mean 1.</w:t>
      </w:r>
    </w:p>
    <w:p>
      <w:pPr>
        <w:pStyle w:val="Compact"/>
        <w:numPr>
          <w:ilvl w:val="0"/>
          <w:numId w:val="1031"/>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2"/>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2"/>
        </w:numPr>
      </w:pPr>
      <w:r>
        <w:rPr>
          <w:b/>
          <w:bCs/>
        </w:rPr>
        <w:t xml:space="preserve">Base frailty distribution</w:t>
      </w:r>
      <w:r>
        <w:t xml:space="preserve">: Log-normal with mean 1, variance 0.5</w:t>
      </w:r>
    </w:p>
    <w:p>
      <w:pPr>
        <w:pStyle w:val="Compact"/>
        <w:numPr>
          <w:ilvl w:val="0"/>
          <w:numId w:val="1032"/>
        </w:numPr>
      </w:pPr>
      <w:r>
        <w:rPr>
          <w:b/>
          <w:bCs/>
        </w:rPr>
        <w:t xml:space="preserve">Mid-quantile cohort</w:t>
      </w:r>
      <w:r>
        <w:t xml:space="preserve">: 25th–75th percentile</w:t>
      </w:r>
    </w:p>
    <w:p>
      <w:pPr>
        <w:pStyle w:val="Compact"/>
        <w:numPr>
          <w:ilvl w:val="0"/>
          <w:numId w:val="1032"/>
        </w:numPr>
      </w:pPr>
      <w:r>
        <w:rPr>
          <w:b/>
          <w:bCs/>
        </w:rPr>
        <w:t xml:space="preserve">Tail-mixture cohort</w:t>
      </w:r>
      <w:r>
        <w:t xml:space="preserve">: [0–15th] + [85th–100th] percentiles, equal weights</w:t>
      </w:r>
    </w:p>
    <w:p>
      <w:pPr>
        <w:pStyle w:val="Compact"/>
        <w:numPr>
          <w:ilvl w:val="0"/>
          <w:numId w:val="1032"/>
        </w:numPr>
      </w:pPr>
      <w:r>
        <w:rPr>
          <w:b/>
          <w:bCs/>
        </w:rPr>
        <w:t xml:space="preserve">Baseline hazard</w:t>
      </w:r>
      <w:r>
        <w:t xml:space="preserve">: 0.002 per week (constant)</w:t>
      </w:r>
    </w:p>
    <w:p>
      <w:pPr>
        <w:pStyle w:val="Compact"/>
        <w:numPr>
          <w:ilvl w:val="0"/>
          <w:numId w:val="1032"/>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2"/>
        </w:numPr>
      </w:pPr>
      <w:r>
        <w:rPr>
          <w:b/>
          <w:bCs/>
        </w:rPr>
        <w:t xml:space="preserve">Effect window</w:t>
      </w:r>
      <w:r>
        <w:t xml:space="preserve">: weeks 20–80</w:t>
      </w:r>
    </w:p>
    <w:p>
      <w:pPr>
        <w:pStyle w:val="Compact"/>
        <w:numPr>
          <w:ilvl w:val="0"/>
          <w:numId w:val="1032"/>
        </w:numPr>
      </w:pPr>
      <w:r>
        <w:rPr>
          <w:b/>
          <w:bCs/>
        </w:rPr>
        <w:t xml:space="preserve">Random seed</w:t>
      </w:r>
      <w:r>
        <w:t xml:space="preserve">: 42</w:t>
      </w:r>
    </w:p>
    <w:bookmarkEnd w:id="147"/>
    <w:bookmarkStart w:id="154"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48"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48"/>
    <w:bookmarkStart w:id="149" w:name="frailty-structure"/>
    <w:p>
      <w:pPr>
        <w:pStyle w:val="Heading5"/>
      </w:pPr>
      <w:r>
        <w:t xml:space="preserve">Frailty structure</w:t>
      </w:r>
    </w:p>
    <w:p>
      <w:pPr>
        <w:pStyle w:val="Compact"/>
        <w:numPr>
          <w:ilvl w:val="0"/>
          <w:numId w:val="1033"/>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3"/>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49"/>
    <w:bookmarkStart w:id="150"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4"/>
        </w:numPr>
      </w:pPr>
      <w:r>
        <w:t xml:space="preserve">Step change (constant multiplicative factor),</w:t>
      </w:r>
    </w:p>
    <w:p>
      <w:pPr>
        <w:pStyle w:val="Compact"/>
        <w:numPr>
          <w:ilvl w:val="0"/>
          <w:numId w:val="1034"/>
        </w:numPr>
      </w:pPr>
      <w:r>
        <w:t xml:space="preserve">Linear ramp,</w:t>
      </w:r>
    </w:p>
    <w:p>
      <w:pPr>
        <w:pStyle w:val="Compact"/>
        <w:numPr>
          <w:ilvl w:val="0"/>
          <w:numId w:val="1034"/>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50"/>
    <w:bookmarkStart w:id="151"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51"/>
    <w:bookmarkStart w:id="152"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5"/>
        </w:numPr>
      </w:pPr>
      <w:r>
        <w:t xml:space="preserve">KCOR remains approximately flat and near unity during the quiet window,</w:t>
      </w:r>
    </w:p>
    <w:p>
      <w:pPr>
        <w:pStyle w:val="Compact"/>
        <w:numPr>
          <w:ilvl w:val="0"/>
          <w:numId w:val="1035"/>
        </w:numPr>
      </w:pPr>
      <w:r>
        <w:t xml:space="preserve">KCOR deviates in the correct direction and magnitude during the treatment window,</w:t>
      </w:r>
    </w:p>
    <w:p>
      <w:pPr>
        <w:pStyle w:val="Compact"/>
        <w:numPr>
          <w:ilvl w:val="0"/>
          <w:numId w:val="1035"/>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52"/>
    <w:bookmarkStart w:id="153"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53"/>
    <w:bookmarkEnd w:id="154"/>
    <w:bookmarkEnd w:id="155"/>
    <w:bookmarkStart w:id="160" w:name="X3fb27f9d14d988b0afc4c757bd6d2a45d2ae0b5"/>
    <w:p>
      <w:pPr>
        <w:pStyle w:val="Heading3"/>
      </w:pPr>
      <w:r>
        <w:t xml:space="preserve">Appendix C. Additional figures and diagnostics</w:t>
      </w:r>
    </w:p>
    <w:bookmarkStart w:id="156"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56"/>
    <w:bookmarkStart w:id="157"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7"/>
        </w:numPr>
      </w:pPr>
      <w:r>
        <w:rPr>
          <w:b/>
          <w:bCs/>
        </w:rPr>
        <w:t xml:space="preserve">Outliers</w:t>
      </w:r>
      <w:r>
        <w:t xml:space="preserve">: Individual weeks with large residuals may indicate data quality issues or external shocks.</w:t>
      </w:r>
    </w:p>
    <w:p>
      <w:pPr>
        <w:pStyle w:val="Compact"/>
        <w:numPr>
          <w:ilvl w:val="0"/>
          <w:numId w:val="1037"/>
        </w:numPr>
      </w:pPr>
      <w:r>
        <w:rPr>
          <w:b/>
          <w:bCs/>
        </w:rPr>
        <w:t xml:space="preserve">Autocorrelation</w:t>
      </w:r>
      <w:r>
        <w:t xml:space="preserve">: Strong autocorrelation in residuals suggests the model is missing time-varying structure.</w:t>
      </w:r>
    </w:p>
    <w:bookmarkEnd w:id="157"/>
    <w:bookmarkStart w:id="158"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8"/>
        </w:numPr>
      </w:pPr>
      <w:r>
        <w:rPr>
          <w:b/>
          <w:bCs/>
        </w:rPr>
        <w:t xml:space="preserve">Quiet-window perturbation</w:t>
      </w:r>
      <w:r>
        <w:t xml:space="preserve">: Shift the quiet-window start/end by ±4 weeks and re-fit. Stable parameters should vary by &lt; 10%.</w:t>
      </w:r>
    </w:p>
    <w:p>
      <w:pPr>
        <w:pStyle w:val="Compact"/>
        <w:numPr>
          <w:ilvl w:val="0"/>
          <w:numId w:val="1038"/>
        </w:numPr>
      </w:pPr>
      <w:r>
        <w:rPr>
          <w:b/>
          <w:bCs/>
        </w:rPr>
        <w:t xml:space="preserve">Skip-weeks sensitivity</w:t>
      </w:r>
      <w:r>
        <w:t xml:space="preserve">: Vary SKIP_WEEKS from 0 to 8 and verify KCOR trajectories remain qualitatively similar.</w:t>
      </w:r>
    </w:p>
    <w:p>
      <w:pPr>
        <w:pStyle w:val="Compact"/>
        <w:numPr>
          <w:ilvl w:val="0"/>
          <w:numId w:val="103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58"/>
    <w:bookmarkStart w:id="159"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9"/>
        </w:numPr>
      </w:pPr>
      <w:r>
        <w:t xml:space="preserve">Avoid major epidemic waves or external mortality shocks</w:t>
      </w:r>
    </w:p>
    <w:p>
      <w:pPr>
        <w:pStyle w:val="Compact"/>
        <w:numPr>
          <w:ilvl w:val="0"/>
          <w:numId w:val="1039"/>
        </w:numPr>
      </w:pPr>
      <w:r>
        <w:t xml:space="preserve">Contain sufficient event counts for stable estimation</w:t>
      </w:r>
    </w:p>
    <w:p>
      <w:pPr>
        <w:pStyle w:val="Compact"/>
        <w:numPr>
          <w:ilvl w:val="0"/>
          <w:numId w:val="103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59"/>
    <w:bookmarkEnd w:id="160"/>
    <w:bookmarkEnd w:id="161"/>
    <w:bookmarkStart w:id="170" w:name="references"/>
    <w:p>
      <w:pPr>
        <w:pStyle w:val="Heading2"/>
      </w:pPr>
      <w:r>
        <w:t xml:space="preserve">References</w:t>
      </w:r>
    </w:p>
    <w:bookmarkStart w:id="169" w:name="refs"/>
    <w:bookmarkStart w:id="163"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2">
        <w:r>
          <w:rPr>
            <w:rStyle w:val="Hyperlink"/>
          </w:rPr>
          <w:t xml:space="preserve">10.2307/2061224</w:t>
        </w:r>
      </w:hyperlink>
    </w:p>
    <w:bookmarkEnd w:id="163"/>
    <w:bookmarkStart w:id="165"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4">
        <w:r>
          <w:rPr>
            <w:rStyle w:val="Hyperlink"/>
          </w:rPr>
          <w:t xml:space="preserve">10.2147/CLEP.S468572</w:t>
        </w:r>
      </w:hyperlink>
    </w:p>
    <w:bookmarkEnd w:id="165"/>
    <w:bookmarkStart w:id="167"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6">
        <w:r>
          <w:rPr>
            <w:rStyle w:val="Hyperlink"/>
          </w:rPr>
          <w:t xml:space="preserve">10.7554/eLife.103690</w:t>
        </w:r>
      </w:hyperlink>
    </w:p>
    <w:bookmarkEnd w:id="167"/>
    <w:bookmarkStart w:id="168"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8"/>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97" Target="media/rId97.png" /><Relationship Type="http://schemas.openxmlformats.org/officeDocument/2006/relationships/hyperlink" Id="rId164" Target="https://doi.org/10.2147/CLEP.S468572" TargetMode="External" /><Relationship Type="http://schemas.openxmlformats.org/officeDocument/2006/relationships/hyperlink" Id="rId162" Target="https://doi.org/10.2307/2061224" TargetMode="External" /><Relationship Type="http://schemas.openxmlformats.org/officeDocument/2006/relationships/hyperlink" Id="rId130" Target="https://doi.org/10.5281/zenodo.18050329" TargetMode="External" /><Relationship Type="http://schemas.openxmlformats.org/officeDocument/2006/relationships/hyperlink" Id="rId166" Target="https://doi.org/10.7554/eLife.103690" TargetMode="External" /><Relationship Type="http://schemas.openxmlformats.org/officeDocument/2006/relationships/hyperlink" Id="rId129"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2147/CLEP.S468572" TargetMode="External" /><Relationship Type="http://schemas.openxmlformats.org/officeDocument/2006/relationships/hyperlink" Id="rId162" Target="https://doi.org/10.2307/2061224" TargetMode="External" /><Relationship Type="http://schemas.openxmlformats.org/officeDocument/2006/relationships/hyperlink" Id="rId130" Target="https://doi.org/10.5281/zenodo.18050329" TargetMode="External" /><Relationship Type="http://schemas.openxmlformats.org/officeDocument/2006/relationships/hyperlink" Id="rId166" Target="https://doi.org/10.7554/eLife.103690" TargetMode="External" /><Relationship Type="http://schemas.openxmlformats.org/officeDocument/2006/relationships/hyperlink" Id="rId129"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2025-12-30T05:53:39Z</dcterms:created>
  <dcterms:modified xsi:type="dcterms:W3CDTF">2025-12-30T05:53:39Z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