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61.png" ContentType="image/png"/>
  <Override PartName="/word/media/rId65.png" ContentType="image/png"/>
  <Override PartName="/word/media/rId55.png" ContentType="image/png"/>
  <Override PartName="/word/media/rId73.png" ContentType="image/png"/>
  <Override PartName="/word/media/rId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4,373</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In particular, selective uptake can induce systematic differences in mortality curvature—differences in the time-evolution of cohort hazards driven by frailty heterogeneity and depletion of susceptibles—that violate the assumptions of standard epidemiologic tools such as Cox proportional hazards models, age-standardized mortality rates, and inverse-probability weighting. We introduce</w:t>
      </w:r>
      <w:r>
        <w:t xml:space="preserve"> </w:t>
      </w:r>
      <w:r>
        <w:rPr>
          <w:b/>
          <w:bCs/>
        </w:rPr>
        <w:t xml:space="preserve">KCOR (Kirsch Cumulative Outcomes Ratio)</w:t>
      </w:r>
      <w:r>
        <w:t xml:space="preserve">, a method that neutralizes selection-induced curvature before cohort comparison by estimating and inverting a gamma-frailty mixture model in</w:t>
      </w:r>
      <w:r>
        <w:t xml:space="preserve"> </w:t>
      </w:r>
      <w:r>
        <w:rPr>
          <w:b/>
          <w:bCs/>
        </w:rPr>
        <w:t xml:space="preserve">cumulative-hazard space</w:t>
      </w:r>
      <w:r>
        <w:t xml:space="preserve">. KCOR v6 fits cohort-specific selection parameters during epidemiologically quiet periods and transforms observed cumulative hazards to depletion-neutralized baseline cumulative hazards, which are then compared cumulatively via ratios. We describe the KCOR framework, its mathematical foundation, and its validation using prespecified negative and positive control tests designed to stress selection-induced curvature. KCOR requires only event timing—dates of intervention (enrollment) and dates of death (with birth date or year needed only for age stratification)—making it applicable to minimal record-level mortality datasets. KCOR enables interpretable cumulative cohort comparisons in settings where treated and untreated hazards are non-proportional because selection induces different depletion dynamics.</w:t>
      </w:r>
    </w:p>
    <w:p>
      <w:r>
        <w:pict>
          <v:rect style="width:0;height:1.5pt" o:hralign="center" o:hrstd="t" o:hr="t"/>
        </w:pict>
      </w:r>
    </w:p>
    <w:bookmarkEnd w:id="10"/>
    <w:bookmarkStart w:id="18"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p>
    <w:p>
      <w:pPr>
        <w:pStyle w:val="BodyText"/>
      </w:pPr>
      <w:r>
        <w:t xml:space="preserve">Although this manuscript is motivated in part by mortality analyses conducted during the COVID-19 vaccination period, the methodological problem addressed here is general. The COVID setting provides unusually clear examples of selection-induced non-proportional hazards—because uptake was voluntary, rapidly time-varying, and correlated with baseline health—making residual confounding easy to diagnose using control outcomes such as non-COVID mortality. However, KCOR is not specific to COVID, vaccination, or infectious disease. The estimator applies to any retrospective cohort comparison in which selection induces differential depletion dynamics that violate proportional hazards assumptions.</w:t>
      </w:r>
    </w:p>
    <w:bookmarkEnd w:id="12"/>
    <w:bookmarkStart w:id="16" w:name="X3f76dee37168b4797631ddc9e3d31862803de93"/>
    <w:p>
      <w:pPr>
        <w:pStyle w:val="Heading3"/>
      </w:pPr>
      <w:r>
        <w:t xml:space="preserve">1.3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3" w:name="Xbfb6a4beb5729d82767d37d57edb58ba18bba27"/>
    <w:p>
      <w:pPr>
        <w:pStyle w:val="Heading4"/>
      </w:pPr>
      <w:r>
        <w:t xml:space="preserve">1.3.1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1</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3"/>
    <w:bookmarkStart w:id="15" w:name="X3c4376cf0533c6140ceba8f12ccdbb5b9c9efc8"/>
    <w:p>
      <w:pPr>
        <w:pStyle w:val="Heading4"/>
      </w:pPr>
      <w:r>
        <w:t xml:space="preserve">1.3.2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2</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w:t>
      </w:r>
    </w:p>
    <w:bookmarkStart w:id="14" w:name="tbl:HVE_motivation"/>
    <w:p>
      <w:pPr>
        <w:pStyle w:val="TableCaption"/>
      </w:pPr>
      <w:r>
        <w:t xml:space="preserve">Table 1: Summary of two large matched observational studies demonstrating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demonstrat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1</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2</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4"/>
    <w:bookmarkEnd w:id="15"/>
    <w:bookmarkEnd w:id="16"/>
    <w:bookmarkStart w:id="17" w:name="contribution-of-this-work"/>
    <w:p>
      <w:pPr>
        <w:pStyle w:val="Heading3"/>
      </w:pPr>
      <w:r>
        <w:t xml:space="preserve">1.4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p>
      <w:pPr>
        <w:pStyle w:val="BodyText"/>
      </w:pPr>
      <w:r>
        <w:t xml:space="preserve">This manuscript is</w:t>
      </w:r>
      <w:r>
        <w:t xml:space="preserve"> </w:t>
      </w:r>
      <w:r>
        <w:rPr>
          <w:b/>
          <w:bCs/>
        </w:rPr>
        <w:t xml:space="preserve">methods-only</w:t>
      </w:r>
      <w:r>
        <w:t xml:space="preserve">:</w:t>
      </w:r>
    </w:p>
    <w:p>
      <w:pPr>
        <w:pStyle w:val="Compact"/>
        <w:numPr>
          <w:ilvl w:val="0"/>
          <w:numId w:val="1003"/>
        </w:numPr>
      </w:pPr>
      <w:r>
        <w:t xml:space="preserve">We present the estimator, model assumptions, and uncertainty quantification.</w:t>
      </w:r>
    </w:p>
    <w:p>
      <w:pPr>
        <w:pStyle w:val="Compact"/>
        <w:numPr>
          <w:ilvl w:val="0"/>
          <w:numId w:val="1003"/>
        </w:numPr>
      </w:pPr>
      <w:r>
        <w:t xml:space="preserve">We validate the method using prespecified negative and positive controls designed to stress selection-induced curvature.</w:t>
      </w:r>
    </w:p>
    <w:p>
      <w:pPr>
        <w:pStyle w:val="Compact"/>
        <w:numPr>
          <w:ilvl w:val="0"/>
          <w:numId w:val="1003"/>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p>
      <w:r>
        <w:pict>
          <v:rect style="width:0;height:1.5pt" o:hralign="center" o:hrstd="t" o:hr="t"/>
        </w:pict>
      </w:r>
    </w:p>
    <w:bookmarkEnd w:id="17"/>
    <w:bookmarkEnd w:id="18"/>
    <w:bookmarkStart w:id="54" w:name="methods"/>
    <w:p>
      <w:pPr>
        <w:pStyle w:val="Heading2"/>
      </w:pPr>
      <w:r>
        <w:t xml:space="preserve">2. Methods</w:t>
      </w:r>
    </w:p>
    <w:bookmarkStart w:id="19" w:name="tbl:notation"/>
    <w:p>
      <w:pPr>
        <w:pStyle w:val="TableCaption"/>
      </w:pPr>
      <w:r>
        <w:t xml:space="preserve">Table 2: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2: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dose/exposure)</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19"/>
    <w:bookmarkStart w:id="20"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4"/>
        </w:numPr>
      </w:pPr>
      <w:r>
        <w:rPr>
          <w:b/>
          <w:bCs/>
        </w:rPr>
        <w:t xml:space="preserve">Level effects</w:t>
      </w:r>
      <w:r>
        <w:t xml:space="preserve">: multiplicative shifts in hazard that are constant over time.</w:t>
      </w:r>
    </w:p>
    <w:p>
      <w:pPr>
        <w:pStyle w:val="Compact"/>
        <w:numPr>
          <w:ilvl w:val="0"/>
          <w:numId w:val="1004"/>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bookmarkEnd w:id="20"/>
    <w:bookmarkStart w:id="22"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 date of death, with birth date or year included only if age stratification is performed.</w:t>
      </w:r>
    </w:p>
    <w:p>
      <w:pPr>
        <w:pStyle w:val="Compact"/>
        <w:numPr>
          <w:ilvl w:val="0"/>
          <w:numId w:val="1005"/>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5"/>
        </w:numPr>
      </w:pPr>
      <w:r>
        <w:t xml:space="preserve">No censoring or cohort switching is permitted in the primary estimand.</w:t>
      </w:r>
    </w:p>
    <w:p>
      <w:pPr>
        <w:pStyle w:val="Compact"/>
        <w:numPr>
          <w:ilvl w:val="0"/>
          <w:numId w:val="1005"/>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 “as-treated” formulations are treated as sensitivity analyses rather than primary estimands.</w:t>
      </w:r>
    </w:p>
    <w:bookmarkStart w:id="21"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6"/>
        </w:numPr>
      </w:pPr>
      <w:r>
        <w:t xml:space="preserve">Record-level data</w:t>
      </w:r>
      <w:r>
        <w:br/>
      </w:r>
    </w:p>
    <w:p>
      <w:pPr>
        <w:pStyle w:val="Compact"/>
        <w:numPr>
          <w:ilvl w:val="0"/>
          <w:numId w:val="1006"/>
        </w:numPr>
      </w:pPr>
      <w:r>
        <w:t xml:space="preserve">Aggregated outcome summary data</w:t>
      </w:r>
      <w:r>
        <w:br/>
      </w:r>
    </w:p>
    <w:p>
      <w:pPr>
        <w:pStyle w:val="Compact"/>
        <w:numPr>
          <w:ilvl w:val="0"/>
          <w:numId w:val="1006"/>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21"/>
    <w:bookmarkEnd w:id="22"/>
    <w:bookmarkStart w:id="25"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3"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3"/>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24"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24"/>
    </w:p>
    <w:bookmarkEnd w:id="25"/>
    <w:bookmarkStart w:id="38" w:name="Xe033a348c5bd6b05b57c8d9f7299f5850ccd667"/>
    <w:p>
      <w:pPr>
        <w:pStyle w:val="Heading3"/>
      </w:pPr>
      <w:r>
        <w:t xml:space="preserve">2.4 Selection model: gamma frailty and the cumulative-hazard identity</w:t>
      </w:r>
    </w:p>
    <w:bookmarkStart w:id="27"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26"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26"/>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3</w:t>
      </w:r>
      <w:r>
        <w:t xml:space="preserve">. In KCOR, gamma frailty is therefore a</w:t>
      </w:r>
      <w:r>
        <w:t xml:space="preserve"> </w:t>
      </w:r>
      <w:r>
        <w:rPr>
          <w:b/>
          <w:bCs/>
        </w:rPr>
        <w:t xml:space="preserve">depletion-neutralizing approximation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bookmarkEnd w:id="27"/>
    <w:bookmarkStart w:id="35"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28"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28"/>
    </w:p>
    <w:p>
      <w:pPr>
        <w:pStyle w:val="FirstParagraph"/>
      </w:pPr>
      <w:r>
        <w:t xml:space="preserve">Integrating over gamma frailty yields a closed-form relationship between the observed cohort cumulative hazard and the baseline cumulative hazard:</w:t>
      </w:r>
    </w:p>
    <w:p>
      <w:pPr>
        <w:pStyle w:val="BodyText"/>
      </w:pPr>
      <w:bookmarkStart w:id="29"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29"/>
    </w:p>
    <w:p>
      <w:pPr>
        <w:pStyle w:val="FirstParagraph"/>
      </w:pPr>
      <w:r>
        <w:t xml:space="preserve">This identity can be inverted exactly:</w:t>
      </w:r>
    </w:p>
    <w:p>
      <w:pPr>
        <w:pStyle w:val="BodyText"/>
      </w:pPr>
      <w:bookmarkStart w:id="30"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30"/>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w:t>
      </w:r>
    </w:p>
    <w:bookmarkStart w:id="34"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2" name="Picture"/>
            <a:graphic>
              <a:graphicData uri="http://schemas.openxmlformats.org/drawingml/2006/picture">
                <pic:pic>
                  <pic:nvPicPr>
                    <pic:cNvPr descr="figures/fig1_kcor_v6_schematic.png" id="33" name="Picture"/>
                    <pic:cNvPicPr>
                      <a:picLocks noChangeArrowheads="1" noChangeAspect="1"/>
                    </pic:cNvPicPr>
                  </pic:nvPicPr>
                  <pic:blipFill>
                    <a:blip r:embed="rId31"/>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34"/>
    <w:bookmarkEnd w:id="35"/>
    <w:bookmarkStart w:id="37"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36"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36"/>
    </w:p>
    <w:p>
      <w:pPr>
        <w:pStyle w:val="FirstParagraph"/>
      </w:pPr>
      <w:r>
        <w:t xml:space="preserve">This choice minimizes degrees of freedom and forces curvature during quiet periods to be explained by selection (frailty) rather than by an explicit time-varying baseline.</w:t>
      </w:r>
    </w:p>
    <w:bookmarkEnd w:id="37"/>
    <w:bookmarkEnd w:id="38"/>
    <w:bookmarkStart w:id="43"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39"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39"/>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Parameters are estimated by constrained nonlinear least squares:</w:t>
      </w:r>
    </w:p>
    <w:p>
      <w:pPr>
        <w:pStyle w:val="BodyText"/>
      </w:pPr>
      <w:bookmarkStart w:id="40"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40"/>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2"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07"/>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07"/>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07"/>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1"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1"/>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08"/>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08"/>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2"/>
    <w:bookmarkEnd w:id="43"/>
    <w:bookmarkStart w:id="46"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44"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44"/>
    </w:p>
    <w:p>
      <w:pPr>
        <w:pStyle w:val="FirstParagraph"/>
      </w:pPr>
      <w:r>
        <w:t xml:space="preserve">An adjusted hazard may be recovered by differencing:</w:t>
      </w:r>
    </w:p>
    <w:p>
      <w:pPr>
        <w:pStyle w:val="BodyText"/>
      </w:pPr>
      <w:bookmarkStart w:id="45"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45"/>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bookmarkEnd w:id="46"/>
    <w:bookmarkStart w:id="48"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47"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47"/>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48"/>
    <w:bookmarkStart w:id="50"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49"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49"/>
    </w:p>
    <w:p>
      <w:pPr>
        <w:pStyle w:val="FirstParagraph"/>
      </w:pPr>
      <w:r>
        <w:t xml:space="preserve">This is a cumulative comparison in hazard space after removing cohort-specific selection-induced depletion dynamics estimated during quiet periods.</w:t>
      </w:r>
    </w:p>
    <w:bookmarkEnd w:id="50"/>
    <w:bookmarkStart w:id="51"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09"/>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09"/>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1"/>
    <w:bookmarkStart w:id="53" w:name="Xf552aaad3b83b889e2d08c64d65c17176bae771"/>
    <w:p>
      <w:pPr>
        <w:pStyle w:val="Heading3"/>
      </w:pPr>
      <w:r>
        <w:t xml:space="preserve">2.10 Algorithm summary and reproducibility checklist</w:t>
      </w:r>
    </w:p>
    <w:bookmarkStart w:id="52" w:name="tbl:KCOR_algorithm"/>
    <w:p>
      <w:pPr>
        <w:pStyle w:val="TableCaption"/>
      </w:pPr>
      <w:r>
        <w:t xml:space="preserve">Table 3: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3: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2"/>
    <w:p>
      <w:r>
        <w:pict>
          <v:rect style="width:0;height:1.5pt" o:hralign="center" o:hrstd="t" o:hr="t"/>
        </w:pict>
      </w:r>
    </w:p>
    <w:bookmarkEnd w:id="53"/>
    <w:bookmarkEnd w:id="54"/>
    <w:bookmarkStart w:id="84"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0"/>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0"/>
        </w:numPr>
      </w:pPr>
      <w:r>
        <w:rPr>
          <w:b/>
          <w:bCs/>
        </w:rPr>
        <w:t xml:space="preserve">Positive controls (detect injected effects):</w:t>
      </w:r>
      <w:r>
        <w:t xml:space="preserve"> </w:t>
      </w:r>
      <w:r>
        <w:t xml:space="preserve">when known harm/benefit is injected into otherwise-null data, KCOR reliably detects it.</w:t>
      </w:r>
    </w:p>
    <w:bookmarkStart w:id="71" w:name="X250d2743dd947cd04209f9dc9cf02b545517230"/>
    <w:p>
      <w:pPr>
        <w:pStyle w:val="Heading3"/>
      </w:pPr>
      <w:r>
        <w:t xml:space="preserve">3.1 Negative controls: null under selection-induced curvature</w:t>
      </w:r>
    </w:p>
    <w:bookmarkStart w:id="60"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1"/>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1"/>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1"/>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59"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2"/>
        </w:numPr>
      </w:pPr>
      <w:r>
        <w:t xml:space="preserve">Time unit: weeks.</w:t>
      </w:r>
    </w:p>
    <w:p>
      <w:pPr>
        <w:pStyle w:val="Compact"/>
        <w:numPr>
          <w:ilvl w:val="0"/>
          <w:numId w:val="1012"/>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2"/>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2"/>
        </w:numPr>
      </w:pPr>
      <w:r>
        <w:t xml:space="preserve">Cohort B:</w:t>
      </w:r>
      <w:r>
        <w:t xml:space="preserve"> </w:t>
      </w:r>
      <m:oMath>
        <m:sSub>
          <m:e>
            <m:r>
              <m:t>θ</m:t>
            </m:r>
          </m:e>
          <m:sub>
            <m:r>
              <m:t>B</m:t>
            </m:r>
          </m:sub>
        </m:sSub>
        <m:r>
          <m:rPr>
            <m:sty m:val="p"/>
          </m:rPr>
          <m:t>&gt;</m:t>
        </m:r>
        <m:r>
          <m:t>0</m:t>
        </m:r>
      </m:oMath>
      <w:r>
        <w:t xml:space="preserve"> </w:t>
      </w:r>
      <w:r>
        <w:t xml:space="preserve">(weaker depletion).</w:t>
      </w:r>
    </w:p>
    <w:bookmarkStart w:id="58" w:name="fig:neg_control_synthetic"/>
    <w:p>
      <w:pPr>
        <w:pStyle w:val="CaptionedFigure"/>
      </w:pPr>
      <w:r>
        <w:drawing>
          <wp:inline>
            <wp:extent cx="5334000" cy="3852333"/>
            <wp:effectExtent b="0" l="0" r="0" t="0"/>
            <wp:docPr descr="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56" name="Picture"/>
            <a:graphic>
              <a:graphicData uri="http://schemas.openxmlformats.org/drawingml/2006/picture">
                <pic:pic>
                  <pic:nvPicPr>
                    <pic:cNvPr descr="figures/fig_neg_control_synthetic.png" id="57" name="Picture"/>
                    <pic:cNvPicPr>
                      <a:picLocks noChangeArrowheads="1" noChangeAspect="1"/>
                    </pic:cNvPicPr>
                  </pic:nvPicPr>
                  <pic:blipFill>
                    <a:blip r:embed="rId55"/>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2: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58"/>
    <w:bookmarkEnd w:id="59"/>
    <w:bookmarkEnd w:id="60"/>
    <w:bookmarkStart w:id="70"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demonstrate that the estimator neutralizes selection-induced depletion curvature without introducing spurious time trends or cumulative drift.</w:t>
      </w:r>
    </w:p>
    <w:p>
      <w:pPr>
        <w:pStyle w:val="BodyText"/>
      </w:pPr>
      <w:r>
        <w:t xml:space="preserve">For the empirical age-shift negative control (Figures 3–4), we use aggregated weekly cohort summaries derived from the Czech Republic administrative mortality and vaccination dataset and exported in KCOR_CMR format.</w:t>
      </w:r>
    </w:p>
    <w:p>
      <w:pPr>
        <w:pStyle w:val="BodyText"/>
      </w:pPr>
      <w:r>
        <w:t xml:space="preserve">Two snapshots illustrate that KCOR is near-flat even under 10–20 year age differences:</w:t>
      </w:r>
    </w:p>
    <w:bookmarkStart w:id="64" w:name="fig:neg_control_10yr"/>
    <w:p>
      <w:pPr>
        <w:pStyle w:val="CaptionedFigure"/>
      </w:pPr>
      <w:r>
        <w:drawing>
          <wp:inline>
            <wp:extent cx="5334000" cy="2773680"/>
            <wp:effectExtent b="0" l="0" r="0" t="0"/>
            <wp:docPr descr="Figure 3: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4." title="" id="62" name="Picture"/>
            <a:graphic>
              <a:graphicData uri="http://schemas.openxmlformats.org/drawingml/2006/picture">
                <pic:pic>
                  <pic:nvPicPr>
                    <pic:cNvPr descr="figures/fig2_neg_control_10yr_age_diff.png" id="63" name="Picture"/>
                    <pic:cNvPicPr>
                      <a:picLocks noChangeArrowheads="1" noChangeAspect="1"/>
                    </pic:cNvPicPr>
                  </pic:nvPicPr>
                  <pic:blipFill>
                    <a:blip r:embed="rId61"/>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3: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4</w:t>
      </w:r>
      <w:r>
        <w:t xml:space="preserve">.</w:t>
      </w:r>
    </w:p>
    <w:bookmarkEnd w:id="64"/>
    <w:bookmarkStart w:id="68" w:name="fig:neg_control_20yr"/>
    <w:p>
      <w:pPr>
        <w:pStyle w:val="CaptionedFigure"/>
      </w:pPr>
      <w:r>
        <w:drawing>
          <wp:inline>
            <wp:extent cx="5334000" cy="2810466"/>
            <wp:effectExtent b="0" l="0" r="0" t="0"/>
            <wp:docPr descr="Figure 4: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 title="" id="66" name="Picture"/>
            <a:graphic>
              <a:graphicData uri="http://schemas.openxmlformats.org/drawingml/2006/picture">
                <pic:pic>
                  <pic:nvPicPr>
                    <pic:cNvPr descr="figures/fig3_neg_control_20yr_age_diff.png" id="67" name="Picture"/>
                    <pic:cNvPicPr>
                      <a:picLocks noChangeArrowheads="1" noChangeAspect="1"/>
                    </pic:cNvPicPr>
                  </pic:nvPicPr>
                  <pic:blipFill>
                    <a:blip r:embed="rId65"/>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4: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w:t>
      </w:r>
    </w:p>
    <w:bookmarkEnd w:id="68"/>
    <w:bookmarkStart w:id="69" w:name="tbl:neg_control_summary"/>
    <w:p>
      <w:pPr>
        <w:pStyle w:val="TableCaption"/>
      </w:pPr>
      <w:r>
        <w:t xml:space="preserve">Table 4: Example end-of-window KCOR values from the empirical negative control (pooled/ASMR summaries), demonstrating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4: Example end-of-window KCOR values from the empirical negative control (pooled/ASMR summaries), demonstrat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69"/>
    <w:bookmarkEnd w:id="70"/>
    <w:bookmarkEnd w:id="71"/>
    <w:bookmarkStart w:id="78"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72"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72"/>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w:t>
      </w:r>
    </w:p>
    <w:bookmarkStart w:id="76" w:name="fig:pos_control_injected"/>
    <w:p>
      <w:pPr>
        <w:pStyle w:val="CaptionedFigure"/>
      </w:pPr>
      <w:r>
        <w:drawing>
          <wp:inline>
            <wp:extent cx="5334000" cy="4253184"/>
            <wp:effectExtent b="0" l="0" r="0" t="0"/>
            <wp:docPr descr="Figure 5: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74" name="Picture"/>
            <a:graphic>
              <a:graphicData uri="http://schemas.openxmlformats.org/drawingml/2006/picture">
                <pic:pic>
                  <pic:nvPicPr>
                    <pic:cNvPr descr="figures/fig_pos_control_injected.png" id="75" name="Picture"/>
                    <pic:cNvPicPr>
                      <a:picLocks noChangeArrowheads="1" noChangeAspect="1"/>
                    </pic:cNvPicPr>
                  </pic:nvPicPr>
                  <pic:blipFill>
                    <a:blip r:embed="rId73"/>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5: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76"/>
    <w:bookmarkStart w:id="77" w:name="tbl:pos_control_summary"/>
    <w:p>
      <w:pPr>
        <w:pStyle w:val="TableCaption"/>
      </w:pPr>
      <w:r>
        <w:t xml:space="preserve">Table 5: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5: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77"/>
    <w:bookmarkEnd w:id="78"/>
    <w:bookmarkStart w:id="83"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3"/>
        </w:numPr>
      </w:pPr>
      <w:r>
        <w:t xml:space="preserve">Quiet-window selection (calendar ISO-week bounds)</w:t>
      </w:r>
    </w:p>
    <w:p>
      <w:pPr>
        <w:pStyle w:val="Compact"/>
        <w:numPr>
          <w:ilvl w:val="0"/>
          <w:numId w:val="1013"/>
        </w:numPr>
      </w:pPr>
      <w:r>
        <w:t xml:space="preserve">Stabilization skip (early-bin handling)</w:t>
      </w:r>
    </w:p>
    <w:p>
      <w:pPr>
        <w:pStyle w:val="Compact"/>
        <w:numPr>
          <w:ilvl w:val="0"/>
          <w:numId w:val="1013"/>
        </w:numPr>
      </w:pPr>
      <w:r>
        <w:t xml:space="preserve">Time-binning resolution</w:t>
      </w:r>
    </w:p>
    <w:p>
      <w:pPr>
        <w:pStyle w:val="Compact"/>
        <w:numPr>
          <w:ilvl w:val="0"/>
          <w:numId w:val="1013"/>
        </w:numPr>
      </w:pPr>
      <w:r>
        <w:t xml:space="preserve">Age stratification and/or stratified analyses where appropriate</w:t>
      </w:r>
    </w:p>
    <w:p>
      <w:pPr>
        <w:pStyle w:val="Compact"/>
        <w:numPr>
          <w:ilvl w:val="0"/>
          <w:numId w:val="1013"/>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bookmarkStart w:id="82" w:name="fig:sensitivity_overview"/>
    <w:p>
      <w:pPr>
        <w:pStyle w:val="CaptionedFigure"/>
      </w:pPr>
      <w:r>
        <w:drawing>
          <wp:inline>
            <wp:extent cx="5334000" cy="1571483"/>
            <wp:effectExtent b="0" l="0" r="0" t="0"/>
            <wp:docPr descr="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80" name="Picture"/>
            <a:graphic>
              <a:graphicData uri="http://schemas.openxmlformats.org/drawingml/2006/picture">
                <pic:pic>
                  <pic:nvPicPr>
                    <pic:cNvPr descr="figures/fig_sensitivity_overview.png" id="81" name="Picture"/>
                    <pic:cNvPicPr>
                      <a:picLocks noChangeArrowheads="1" noChangeAspect="1"/>
                    </pic:cNvPicPr>
                  </pic:nvPicPr>
                  <pic:blipFill>
                    <a:blip r:embed="rId79"/>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6: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82"/>
    <w:p>
      <w:pPr>
        <w:pStyle w:val="BodyText"/>
      </w:pPr>
      <w:r>
        <w:t xml:space="preserve">Across all tested parameter ranges, KCOR values remained within approximately ±5% of unity, indicating stability under reasonable variations in fitting choices.</w:t>
      </w:r>
    </w:p>
    <w:p>
      <w:r>
        <w:pict>
          <v:rect style="width:0;height:1.5pt" o:hralign="center" o:hrstd="t" o:hr="t"/>
        </w:pict>
      </w:r>
    </w:p>
    <w:bookmarkEnd w:id="83"/>
    <w:bookmarkEnd w:id="84"/>
    <w:bookmarkStart w:id="88" w:name="discussion"/>
    <w:p>
      <w:pPr>
        <w:pStyle w:val="Heading2"/>
      </w:pPr>
      <w:r>
        <w:t xml:space="preserve">4. Discussion</w:t>
      </w:r>
    </w:p>
    <w:bookmarkStart w:id="85" w:name="what-kcor-estimates"/>
    <w:p>
      <w:pPr>
        <w:pStyle w:val="Heading3"/>
      </w:pPr>
      <w:r>
        <w:t xml:space="preserve">4.1 What KCOR estimates</w:t>
      </w:r>
    </w:p>
    <w:p>
      <w:pPr>
        <w:pStyle w:val="FirstParagraph"/>
      </w:pPr>
      <w:r>
        <w:t xml:space="preserve">KCOR is a</w:t>
      </w:r>
      <w:r>
        <w:t xml:space="preserve"> </w:t>
      </w:r>
      <w:r>
        <w:rPr>
          <w:b/>
          <w:bCs/>
        </w:rPr>
        <w:t xml:space="preserve">cumulative</w:t>
      </w:r>
      <w:r>
        <w:t xml:space="preserve"> </w:t>
      </w:r>
      <w:r>
        <w:t xml:space="preserve">comparison of depletion-neutralized cumulative hazards. It is designed for settings where selection induces non-proportional hazards such that conventional proportional-hazards estimators can be difficult to interpret.</w:t>
      </w:r>
    </w:p>
    <w:p>
      <w:pPr>
        <w:pStyle w:val="BodyText"/>
      </w:pPr>
      <w:r>
        <w:t xml:space="preserve">Under the working assumptions that:</w:t>
      </w:r>
    </w:p>
    <w:p>
      <w:pPr>
        <w:pStyle w:val="Compact"/>
        <w:numPr>
          <w:ilvl w:val="0"/>
          <w:numId w:val="1014"/>
        </w:numPr>
      </w:pPr>
      <w:r>
        <w:t xml:space="preserve">selection-induced depletion dynamics can be estimated during quiet periods using a gamma-frailty mixture model, and</w:t>
      </w:r>
    </w:p>
    <w:p>
      <w:pPr>
        <w:pStyle w:val="Compact"/>
        <w:numPr>
          <w:ilvl w:val="0"/>
          <w:numId w:val="1014"/>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bookmarkEnd w:id="85"/>
    <w:bookmarkStart w:id="86"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neutralize a specific confounding structure</w:t>
      </w:r>
      <w:r>
        <w:t xml:space="preserve">—selection-induced depletion dynamics—prior to comparison. Negative and positive controls are nevertheless central to validating the estimator’s behavior.</w:t>
      </w:r>
    </w:p>
    <w:bookmarkEnd w:id="86"/>
    <w:bookmarkStart w:id="87"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5"/>
        </w:numPr>
      </w:pPr>
      <w:r>
        <w:t xml:space="preserve">Enrollment definition and justification</w:t>
      </w:r>
    </w:p>
    <w:p>
      <w:pPr>
        <w:pStyle w:val="Compact"/>
        <w:numPr>
          <w:ilvl w:val="0"/>
          <w:numId w:val="1015"/>
        </w:numPr>
      </w:pPr>
      <w:r>
        <w:t xml:space="preserve">Risk set definitions and event-time binning</w:t>
      </w:r>
    </w:p>
    <w:p>
      <w:pPr>
        <w:pStyle w:val="Compact"/>
        <w:numPr>
          <w:ilvl w:val="0"/>
          <w:numId w:val="1015"/>
        </w:numPr>
      </w:pPr>
      <w:r>
        <w:t xml:space="preserve">Quiet-window definition and justification</w:t>
      </w:r>
    </w:p>
    <w:p>
      <w:pPr>
        <w:pStyle w:val="Compact"/>
        <w:numPr>
          <w:ilvl w:val="0"/>
          <w:numId w:val="1015"/>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5"/>
        </w:numPr>
      </w:pPr>
      <w:r>
        <w:t xml:space="preserve">Skip/stabilization rule and robustness to nearby values</w:t>
      </w:r>
    </w:p>
    <w:p>
      <w:pPr>
        <w:pStyle w:val="Compact"/>
        <w:numPr>
          <w:ilvl w:val="0"/>
          <w:numId w:val="1015"/>
        </w:numPr>
      </w:pPr>
      <w:r>
        <w:t xml:space="preserve">Predefined negative/positive controls used for validation</w:t>
      </w:r>
    </w:p>
    <w:p>
      <w:pPr>
        <w:pStyle w:val="Compact"/>
        <w:numPr>
          <w:ilvl w:val="0"/>
          <w:numId w:val="1015"/>
        </w:numPr>
      </w:pPr>
      <w:r>
        <w:t xml:space="preserve">Sensitivity analysis plan and results</w:t>
      </w:r>
    </w:p>
    <w:p>
      <w:r>
        <w:pict>
          <v:rect style="width:0;height:1.5pt" o:hralign="center" o:hrstd="t" o:hr="t"/>
        </w:pict>
      </w:r>
    </w:p>
    <w:bookmarkEnd w:id="87"/>
    <w:bookmarkEnd w:id="88"/>
    <w:bookmarkStart w:id="91" w:name="limitations"/>
    <w:p>
      <w:pPr>
        <w:pStyle w:val="Heading2"/>
      </w:pPr>
      <w:r>
        <w:t xml:space="preserve">5. Limitations</w:t>
      </w:r>
    </w:p>
    <w:p>
      <w:pPr>
        <w:pStyle w:val="Compact"/>
        <w:numPr>
          <w:ilvl w:val="0"/>
          <w:numId w:val="1016"/>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16"/>
        </w:numPr>
      </w:pPr>
      <w:r>
        <w:rPr>
          <w:b/>
          <w:bCs/>
        </w:rPr>
        <w:t xml:space="preserve">Sparse events</w:t>
      </w:r>
      <w:r>
        <w:t xml:space="preserve">: When event counts are small, hazard estimation and parameter fitting can be unstable.</w:t>
      </w:r>
    </w:p>
    <w:p>
      <w:pPr>
        <w:pStyle w:val="Compact"/>
        <w:numPr>
          <w:ilvl w:val="0"/>
          <w:numId w:val="1016"/>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16"/>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16"/>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θ̂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w:t>
      </w:r>
    </w:p>
    <w:bookmarkStart w:id="89" w:name="X23cf99625f696e3debeff054e3876378086bb67"/>
    <w:p>
      <w:pPr>
        <w:pStyle w:val="Heading3"/>
      </w:pPr>
      <w:r>
        <w:t xml:space="preserve">5.1 Failure modes and diagnostics (recommended)</w:t>
      </w:r>
    </w:p>
    <w:p>
      <w:pPr>
        <w:pStyle w:val="FirstParagraph"/>
      </w:pPr>
      <w:r>
        <w:t xml:space="preserve">KCOR is designed to neutralize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17"/>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17"/>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17"/>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17"/>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18"/>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18"/>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18"/>
        </w:numPr>
      </w:pPr>
      <w:r>
        <w:rPr>
          <w:b/>
          <w:bCs/>
        </w:rPr>
        <w:t xml:space="preserve">Sensitivity analyses</w:t>
      </w:r>
      <w:r>
        <w:t xml:space="preserve"> </w:t>
      </w:r>
      <w:r>
        <w:t xml:space="preserve">over plausible quiet windows and skip-weeks values.</w:t>
      </w:r>
    </w:p>
    <w:p>
      <w:pPr>
        <w:pStyle w:val="Compact"/>
        <w:numPr>
          <w:ilvl w:val="0"/>
          <w:numId w:val="1018"/>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89"/>
    <w:bookmarkStart w:id="90"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r>
        <w:pict>
          <v:rect style="width:0;height:1.5pt" o:hralign="center" o:hrstd="t" o:hr="t"/>
        </w:pict>
      </w:r>
    </w:p>
    <w:bookmarkEnd w:id="90"/>
    <w:bookmarkEnd w:id="91"/>
    <w:bookmarkStart w:id="92"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92"/>
    <w:bookmarkStart w:id="103" w:name="declarations-journal-requirements"/>
    <w:p>
      <w:pPr>
        <w:pStyle w:val="Heading2"/>
      </w:pPr>
      <w:r>
        <w:t xml:space="preserve">Declarations (journal requirements)</w:t>
      </w:r>
    </w:p>
    <w:bookmarkStart w:id="93"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3–4) use aggregated cohort summaries derived from Czech Republic administrative data; no record-level data are shared in this manuscript.</w:t>
      </w:r>
      <w:r>
        <w:rPr>
          <w:vertAlign w:val="superscript"/>
        </w:rPr>
        <w:t xml:space="preserve">4</w:t>
      </w:r>
    </w:p>
    <w:bookmarkEnd w:id="93"/>
    <w:bookmarkStart w:id="94" w:name="consent-for-publication"/>
    <w:p>
      <w:pPr>
        <w:pStyle w:val="Heading3"/>
      </w:pPr>
      <w:r>
        <w:t xml:space="preserve">Consent for publication</w:t>
      </w:r>
    </w:p>
    <w:p>
      <w:pPr>
        <w:pStyle w:val="FirstParagraph"/>
      </w:pPr>
      <w:r>
        <w:t xml:space="preserve">Not applicable.</w:t>
      </w:r>
    </w:p>
    <w:bookmarkEnd w:id="94"/>
    <w:bookmarkStart w:id="95" w:name="data-availability"/>
    <w:p>
      <w:pPr>
        <w:pStyle w:val="Heading3"/>
      </w:pPr>
      <w:r>
        <w:t xml:space="preserve">Data availability</w:t>
      </w:r>
    </w:p>
    <w:p>
      <w:pPr>
        <w:pStyle w:val="Compact"/>
        <w:numPr>
          <w:ilvl w:val="0"/>
          <w:numId w:val="1019"/>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19"/>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19"/>
        </w:numPr>
      </w:pPr>
      <w:r>
        <w:t xml:space="preserve">The reference implementation includes example datasets in KCOR_CMR format for reproducibility.</w:t>
      </w:r>
    </w:p>
    <w:p>
      <w:pPr>
        <w:pStyle w:val="Compact"/>
        <w:numPr>
          <w:ilvl w:val="0"/>
          <w:numId w:val="1019"/>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95"/>
    <w:bookmarkStart w:id="98" w:name="code-availability"/>
    <w:p>
      <w:pPr>
        <w:pStyle w:val="Heading3"/>
      </w:pPr>
      <w:r>
        <w:t xml:space="preserve">Code availability</w:t>
      </w:r>
    </w:p>
    <w:p>
      <w:pPr>
        <w:pStyle w:val="Compact"/>
        <w:numPr>
          <w:ilvl w:val="0"/>
          <w:numId w:val="1020"/>
        </w:numPr>
      </w:pPr>
      <w:r>
        <w:t xml:space="preserve">The KCOR v6 reference implementation and complete validation suite are available in the project repository.</w:t>
      </w:r>
    </w:p>
    <w:p>
      <w:pPr>
        <w:pStyle w:val="Compact"/>
        <w:numPr>
          <w:ilvl w:val="0"/>
          <w:numId w:val="1020"/>
        </w:numPr>
      </w:pPr>
      <w:r>
        <w:t xml:space="preserve">Repository URL:</w:t>
      </w:r>
      <w:r>
        <w:t xml:space="preserve"> </w:t>
      </w:r>
      <w:hyperlink r:id="rId96">
        <w:r>
          <w:rPr>
            <w:rStyle w:val="Hyperlink"/>
          </w:rPr>
          <w:t xml:space="preserve">https://github.com/skirsch/KCOR</w:t>
        </w:r>
      </w:hyperlink>
    </w:p>
    <w:p>
      <w:pPr>
        <w:pStyle w:val="Compact"/>
        <w:numPr>
          <w:ilvl w:val="0"/>
          <w:numId w:val="1020"/>
        </w:numPr>
      </w:pPr>
      <w:r>
        <w:t xml:space="preserve">Zenodo DOI:</w:t>
      </w:r>
      <w:r>
        <w:t xml:space="preserve"> </w:t>
      </w:r>
      <w:hyperlink r:id="rId97">
        <w:r>
          <w:rPr>
            <w:rStyle w:val="Hyperlink"/>
          </w:rPr>
          <w:t xml:space="preserve">10.5281/zenodo.18050329</w:t>
        </w:r>
      </w:hyperlink>
    </w:p>
    <w:bookmarkEnd w:id="98"/>
    <w:bookmarkStart w:id="99" w:name="competing-interests"/>
    <w:p>
      <w:pPr>
        <w:pStyle w:val="Heading3"/>
      </w:pPr>
      <w:r>
        <w:t xml:space="preserve">Competing interests</w:t>
      </w:r>
    </w:p>
    <w:p>
      <w:pPr>
        <w:pStyle w:val="FirstParagraph"/>
      </w:pPr>
      <w:r>
        <w:t xml:space="preserve">The author is a board member of the Vaccine Safety Research Foundation.</w:t>
      </w:r>
    </w:p>
    <w:bookmarkEnd w:id="99"/>
    <w:bookmarkStart w:id="100" w:name="funding"/>
    <w:p>
      <w:pPr>
        <w:pStyle w:val="Heading3"/>
      </w:pPr>
      <w:r>
        <w:t xml:space="preserve">Funding</w:t>
      </w:r>
    </w:p>
    <w:p>
      <w:pPr>
        <w:pStyle w:val="FirstParagraph"/>
      </w:pPr>
      <w:r>
        <w:t xml:space="preserve">This research received no external funding.</w:t>
      </w:r>
    </w:p>
    <w:bookmarkEnd w:id="100"/>
    <w:bookmarkStart w:id="101"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01"/>
    <w:bookmarkStart w:id="102" w:name="acknowledgements"/>
    <w:p>
      <w:pPr>
        <w:pStyle w:val="Heading3"/>
      </w:pPr>
      <w:r>
        <w:t xml:space="preserve">Acknowledgements</w:t>
      </w:r>
    </w:p>
    <w:p>
      <w:pPr>
        <w:pStyle w:val="FirstParagraph"/>
      </w:pPr>
      <w:r>
        <w:t xml:space="preserve">[TODO]</w:t>
      </w:r>
    </w:p>
    <w:p>
      <w:r>
        <w:pict>
          <v:rect style="width:0;height:1.5pt" o:hralign="center" o:hrstd="t" o:hr="t"/>
        </w:pict>
      </w:r>
    </w:p>
    <w:bookmarkEnd w:id="102"/>
    <w:bookmarkEnd w:id="103"/>
    <w:bookmarkStart w:id="119"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08" w:name="appendix-a.-mathematical-derivations"/>
    <w:p>
      <w:pPr>
        <w:pStyle w:val="Heading3"/>
      </w:pPr>
      <w:r>
        <w:t xml:space="preserve">Appendix A. Mathematical derivations</w:t>
      </w:r>
    </w:p>
    <w:bookmarkStart w:id="104"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04"/>
    <w:bookmarkStart w:id="105"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{#eq:gamma-frailty-identity} in the main text).</w:t>
      </w:r>
    </w:p>
    <w:bookmarkEnd w:id="105"/>
    <w:bookmarkStart w:id="106"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06"/>
    <w:bookmarkStart w:id="107"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07"/>
    <w:bookmarkEnd w:id="108"/>
    <w:bookmarkStart w:id="113" w:name="appendix-b.-control-test-specifications"/>
    <w:p>
      <w:pPr>
        <w:pStyle w:val="Heading3"/>
      </w:pPr>
      <w:r>
        <w:t xml:space="preserve">Appendix B. Control-test specifications</w:t>
      </w:r>
    </w:p>
    <w:bookmarkStart w:id="109" w:name="X2180becb792c7366d1a2d9abe674c7e8eb8a3b6"/>
    <w:p>
      <w:pPr>
        <w:pStyle w:val="Heading4"/>
      </w:pPr>
      <w:r>
        <w:t xml:space="preserve">B.1 Negative control: synthetic gamma-frailty null</w:t>
      </w:r>
    </w:p>
    <w:p>
      <w:pPr>
        <w:pStyle w:val="FirstParagraph"/>
      </w:pPr>
      <w:r>
        <w:t xml:space="preserve">The synthetic negative control (Figure fig. 2) is generated using:</w:t>
      </w:r>
    </w:p>
    <w:p>
      <w:pPr>
        <w:pStyle w:val="Compact"/>
        <w:numPr>
          <w:ilvl w:val="0"/>
          <w:numId w:val="1021"/>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1"/>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1"/>
        </w:numPr>
      </w:pPr>
      <w:r>
        <w:rPr>
          <w:b/>
          <w:bCs/>
        </w:rPr>
        <w:t xml:space="preserve">Cohort A weights</w:t>
      </w:r>
      <w:r>
        <w:t xml:space="preserve">: Equal weights across 5 frailty groups (0.2 each)</w:t>
      </w:r>
    </w:p>
    <w:p>
      <w:pPr>
        <w:pStyle w:val="Compact"/>
        <w:numPr>
          <w:ilvl w:val="0"/>
          <w:numId w:val="1021"/>
        </w:numPr>
      </w:pPr>
      <w:r>
        <w:rPr>
          <w:b/>
          <w:bCs/>
        </w:rPr>
        <w:t xml:space="preserve">Cohort B weights</w:t>
      </w:r>
      <w:r>
        <w:t xml:space="preserve">: Shifted weights [0.30, 0.20, 0.20, 0.20, 0.10]</w:t>
      </w:r>
    </w:p>
    <w:p>
      <w:pPr>
        <w:pStyle w:val="Compact"/>
        <w:numPr>
          <w:ilvl w:val="0"/>
          <w:numId w:val="1021"/>
        </w:numPr>
      </w:pPr>
      <w:r>
        <w:rPr>
          <w:b/>
          <w:bCs/>
        </w:rPr>
        <w:t xml:space="preserve">Frailty values</w:t>
      </w:r>
      <w:r>
        <w:t xml:space="preserve">: [1, 2, 4, 6, 10] (relative frailty multipliers)</w:t>
      </w:r>
    </w:p>
    <w:p>
      <w:pPr>
        <w:pStyle w:val="Compact"/>
        <w:numPr>
          <w:ilvl w:val="0"/>
          <w:numId w:val="1021"/>
        </w:numPr>
      </w:pPr>
      <w:r>
        <w:rPr>
          <w:b/>
          <w:bCs/>
        </w:rPr>
        <w:t xml:space="preserve">Base weekly probability</w:t>
      </w:r>
      <w:r>
        <w:t xml:space="preserve">: 0.01</w:t>
      </w:r>
    </w:p>
    <w:p>
      <w:pPr>
        <w:pStyle w:val="Compact"/>
        <w:numPr>
          <w:ilvl w:val="0"/>
          <w:numId w:val="1021"/>
        </w:numPr>
      </w:pPr>
      <w:r>
        <w:rPr>
          <w:b/>
          <w:bCs/>
        </w:rPr>
        <w:t xml:space="preserve">Weekly log-slope</w:t>
      </w:r>
      <w:r>
        <w:t xml:space="preserve">: 0.0 (constant baseline during quiet periods)</w:t>
      </w:r>
    </w:p>
    <w:p>
      <w:pPr>
        <w:pStyle w:val="Compact"/>
        <w:numPr>
          <w:ilvl w:val="0"/>
          <w:numId w:val="1021"/>
        </w:numPr>
      </w:pPr>
      <w:r>
        <w:rPr>
          <w:b/>
          <w:bCs/>
        </w:rPr>
        <w:t xml:space="preserve">Skip weeks</w:t>
      </w:r>
      <w:r>
        <w:t xml:space="preserve">: 2</w:t>
      </w:r>
    </w:p>
    <w:p>
      <w:pPr>
        <w:pStyle w:val="Compact"/>
        <w:numPr>
          <w:ilvl w:val="0"/>
          <w:numId w:val="1021"/>
        </w:numPr>
      </w:pPr>
      <w:r>
        <w:rPr>
          <w:b/>
          <w:bCs/>
        </w:rPr>
        <w:t xml:space="preserve">Normalization weeks</w:t>
      </w:r>
      <w:r>
        <w:t xml:space="preserve">: 4</w:t>
      </w:r>
    </w:p>
    <w:p>
      <w:pPr>
        <w:pStyle w:val="Compact"/>
        <w:numPr>
          <w:ilvl w:val="0"/>
          <w:numId w:val="1021"/>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09"/>
    <w:bookmarkStart w:id="110" w:name="X6ca5a97e85e9ee460a15280db933ceb5c1ed112"/>
    <w:p>
      <w:pPr>
        <w:pStyle w:val="Heading4"/>
      </w:pPr>
      <w:r>
        <w:t xml:space="preserve">B.2 Negative control: empirical age-shift construction</w:t>
      </w:r>
    </w:p>
    <w:p>
      <w:pPr>
        <w:pStyle w:val="FirstParagraph"/>
      </w:pPr>
      <w:r>
        <w:t xml:space="preserve">The empirical negative control (Figures fig. 3 and fig. 4) is generated using:</w:t>
      </w:r>
    </w:p>
    <w:p>
      <w:pPr>
        <w:pStyle w:val="Compact"/>
        <w:numPr>
          <w:ilvl w:val="0"/>
          <w:numId w:val="1022"/>
        </w:numPr>
      </w:pPr>
      <w:r>
        <w:rPr>
          <w:b/>
          <w:bCs/>
        </w:rPr>
        <w:t xml:space="preserve">Data source</w:t>
      </w:r>
      <w:r>
        <w:t xml:space="preserve">: Czech Republic administrative mortality and vaccination data, aggregated into KCOR_CMR format</w:t>
      </w:r>
    </w:p>
    <w:p>
      <w:pPr>
        <w:pStyle w:val="Compact"/>
        <w:numPr>
          <w:ilvl w:val="0"/>
          <w:numId w:val="1022"/>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2"/>
        </w:numPr>
      </w:pPr>
      <w:r>
        <w:rPr>
          <w:b/>
          <w:bCs/>
        </w:rPr>
        <w:t xml:space="preserve">Construction</w:t>
      </w:r>
      <w:r>
        <w:t xml:space="preserve">: Age strata remapped to pseudo-doses within same vaccination category</w:t>
      </w:r>
    </w:p>
    <w:p>
      <w:pPr>
        <w:pStyle w:val="Compact"/>
        <w:numPr>
          <w:ilvl w:val="0"/>
          <w:numId w:val="1022"/>
        </w:numPr>
      </w:pPr>
      <w:r>
        <w:rPr>
          <w:b/>
          <w:bCs/>
        </w:rPr>
        <w:t xml:space="preserve">Age mapping</w:t>
      </w:r>
      <w:r>
        <w:t xml:space="preserve">:</w:t>
      </w:r>
    </w:p>
    <w:p>
      <w:pPr>
        <w:pStyle w:val="Compact"/>
        <w:numPr>
          <w:ilvl w:val="1"/>
          <w:numId w:val="1023"/>
        </w:numPr>
      </w:pPr>
      <w:r>
        <w:t xml:space="preserve">Dose 0 → YoB {1930, 1935}</w:t>
      </w:r>
    </w:p>
    <w:p>
      <w:pPr>
        <w:pStyle w:val="Compact"/>
        <w:numPr>
          <w:ilvl w:val="1"/>
          <w:numId w:val="1023"/>
        </w:numPr>
      </w:pPr>
      <w:r>
        <w:t xml:space="preserve">Dose 1 → YoB {1940, 1945}</w:t>
      </w:r>
    </w:p>
    <w:p>
      <w:pPr>
        <w:pStyle w:val="Compact"/>
        <w:numPr>
          <w:ilvl w:val="1"/>
          <w:numId w:val="1023"/>
        </w:numPr>
      </w:pPr>
      <w:r>
        <w:t xml:space="preserve">Dose 2 → YoB {1950, 1955}</w:t>
      </w:r>
    </w:p>
    <w:p>
      <w:pPr>
        <w:pStyle w:val="Compact"/>
        <w:numPr>
          <w:ilvl w:val="0"/>
          <w:numId w:val="1022"/>
        </w:numPr>
      </w:pPr>
      <w:r>
        <w:rPr>
          <w:b/>
          <w:bCs/>
        </w:rPr>
        <w:t xml:space="preserve">Output YoB</w:t>
      </w:r>
      <w:r>
        <w:t xml:space="preserve">: Fixed at 1950 (unvax cohort) or 1940 (vax cohort)</w:t>
      </w:r>
    </w:p>
    <w:p>
      <w:pPr>
        <w:pStyle w:val="Compact"/>
        <w:numPr>
          <w:ilvl w:val="0"/>
          <w:numId w:val="1022"/>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10"/>
    <w:bookmarkStart w:id="111" w:name="b.3-positive-control-injected-effect"/>
    <w:p>
      <w:pPr>
        <w:pStyle w:val="Heading4"/>
      </w:pPr>
      <w:r>
        <w:t xml:space="preserve">B.3 Positive control: injected effect</w:t>
      </w:r>
    </w:p>
    <w:p>
      <w:pPr>
        <w:pStyle w:val="FirstParagraph"/>
      </w:pPr>
      <w:r>
        <w:t xml:space="preserve">The positive control (Figure fig. 5 and Table tbl. 5) is generated using:</w:t>
      </w:r>
    </w:p>
    <w:p>
      <w:pPr>
        <w:pStyle w:val="Compact"/>
        <w:numPr>
          <w:ilvl w:val="0"/>
          <w:numId w:val="1024"/>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4"/>
        </w:numPr>
      </w:pPr>
      <w:r>
        <w:rPr>
          <w:b/>
          <w:bCs/>
        </w:rPr>
        <w:t xml:space="preserve">Initial cohort size</w:t>
      </w:r>
      <w:r>
        <w:t xml:space="preserve">: 100,000 per cohort</w:t>
      </w:r>
    </w:p>
    <w:p>
      <w:pPr>
        <w:pStyle w:val="Compact"/>
        <w:numPr>
          <w:ilvl w:val="0"/>
          <w:numId w:val="1024"/>
        </w:numPr>
      </w:pPr>
      <w:r>
        <w:rPr>
          <w:b/>
          <w:bCs/>
        </w:rPr>
        <w:t xml:space="preserve">Baseline hazard</w:t>
      </w:r>
      <w:r>
        <w:t xml:space="preserve">: 0.002 per week</w:t>
      </w:r>
    </w:p>
    <w:p>
      <w:pPr>
        <w:pStyle w:val="Compact"/>
        <w:numPr>
          <w:ilvl w:val="0"/>
          <w:numId w:val="1024"/>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4"/>
        </w:numPr>
      </w:pPr>
      <w:r>
        <w:rPr>
          <w:b/>
          <w:bCs/>
        </w:rPr>
        <w:t xml:space="preserve">Effect window</w:t>
      </w:r>
      <w:r>
        <w:t xml:space="preserve">: weeks 20–80</w:t>
      </w:r>
    </w:p>
    <w:p>
      <w:pPr>
        <w:pStyle w:val="Compact"/>
        <w:numPr>
          <w:ilvl w:val="0"/>
          <w:numId w:val="1024"/>
        </w:numPr>
      </w:pPr>
      <w:r>
        <w:rPr>
          <w:b/>
          <w:bCs/>
        </w:rPr>
        <w:t xml:space="preserve">Hazard multipliers</w:t>
      </w:r>
      <w:r>
        <w:t xml:space="preserve">:</w:t>
      </w:r>
    </w:p>
    <w:p>
      <w:pPr>
        <w:pStyle w:val="Compact"/>
        <w:numPr>
          <w:ilvl w:val="1"/>
          <w:numId w:val="1025"/>
        </w:numPr>
      </w:pPr>
      <w:r>
        <w:t xml:space="preserve">Harm scenario:</w:t>
      </w:r>
      <w:r>
        <w:t xml:space="preserve"> </w:t>
      </w:r>
      <m:oMath>
        <m:r>
          <m:t>r</m:t>
        </m:r>
        <m:r>
          <m:rPr>
            <m:sty m:val="p"/>
          </m:rPr>
          <m:t>=</m:t>
        </m:r>
        <m:r>
          <m:t>1.2</m:t>
        </m:r>
      </m:oMath>
    </w:p>
    <w:p>
      <w:pPr>
        <w:pStyle w:val="Compact"/>
        <w:numPr>
          <w:ilvl w:val="1"/>
          <w:numId w:val="1025"/>
        </w:numPr>
      </w:pPr>
      <w:r>
        <w:t xml:space="preserve">Benefit scenario:</w:t>
      </w:r>
      <w:r>
        <w:t xml:space="preserve"> </w:t>
      </w:r>
      <m:oMath>
        <m:r>
          <m:t>r</m:t>
        </m:r>
        <m:r>
          <m:rPr>
            <m:sty m:val="p"/>
          </m:rPr>
          <m:t>=</m:t>
        </m:r>
        <m:r>
          <m:t>0.8</m:t>
        </m:r>
      </m:oMath>
    </w:p>
    <w:p>
      <w:pPr>
        <w:pStyle w:val="Compact"/>
        <w:numPr>
          <w:ilvl w:val="0"/>
          <w:numId w:val="1024"/>
        </w:numPr>
      </w:pPr>
      <w:r>
        <w:rPr>
          <w:b/>
          <w:bCs/>
        </w:rPr>
        <w:t xml:space="preserve">Random seed</w:t>
      </w:r>
      <w:r>
        <w:t xml:space="preserve">: 42</w:t>
      </w:r>
    </w:p>
    <w:p>
      <w:pPr>
        <w:pStyle w:val="Compact"/>
        <w:numPr>
          <w:ilvl w:val="0"/>
          <w:numId w:val="1024"/>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11"/>
    <w:bookmarkStart w:id="112" w:name="b.4-sensitivity-analysis-parameters"/>
    <w:p>
      <w:pPr>
        <w:pStyle w:val="Heading4"/>
      </w:pPr>
      <w:r>
        <w:t xml:space="preserve">B.4 Sensitivity analysis parameters</w:t>
      </w:r>
    </w:p>
    <w:p>
      <w:pPr>
        <w:pStyle w:val="FirstParagraph"/>
      </w:pPr>
      <w:r>
        <w:t xml:space="preserve">The sensitivity analysis (Figure fig. 6) varies:</w:t>
      </w:r>
    </w:p>
    <w:p>
      <w:pPr>
        <w:pStyle w:val="Compact"/>
        <w:numPr>
          <w:ilvl w:val="0"/>
          <w:numId w:val="1026"/>
        </w:numPr>
      </w:pPr>
      <w:r>
        <w:rPr>
          <w:b/>
          <w:bCs/>
        </w:rPr>
        <w:t xml:space="preserve">Baseline weeks</w:t>
      </w:r>
      <w:r>
        <w:t xml:space="preserve">: [2, 3, 4, 5, 6, 7, 8]</w:t>
      </w:r>
    </w:p>
    <w:p>
      <w:pPr>
        <w:pStyle w:val="Compact"/>
        <w:numPr>
          <w:ilvl w:val="0"/>
          <w:numId w:val="1026"/>
        </w:numPr>
      </w:pPr>
      <w:r>
        <w:rPr>
          <w:b/>
          <w:bCs/>
        </w:rPr>
        <w:t xml:space="preserve">Quiet-start offsets</w:t>
      </w:r>
      <w:r>
        <w:t xml:space="preserve">: [-12, -8, -4, 0, +4, +8, +12] weeks from 2022-24</w:t>
      </w:r>
    </w:p>
    <w:p>
      <w:pPr>
        <w:pStyle w:val="Compact"/>
        <w:numPr>
          <w:ilvl w:val="0"/>
          <w:numId w:val="1026"/>
        </w:numPr>
      </w:pPr>
      <w:r>
        <w:rPr>
          <w:b/>
          <w:bCs/>
        </w:rPr>
        <w:t xml:space="preserve">Quiet-window end</w:t>
      </w:r>
      <w:r>
        <w:t xml:space="preserve">: Fixed at 2024-16</w:t>
      </w:r>
    </w:p>
    <w:p>
      <w:pPr>
        <w:pStyle w:val="Compact"/>
        <w:numPr>
          <w:ilvl w:val="0"/>
          <w:numId w:val="1026"/>
        </w:numPr>
      </w:pPr>
      <w:r>
        <w:rPr>
          <w:b/>
          <w:bCs/>
        </w:rPr>
        <w:t xml:space="preserve">Dose pairs</w:t>
      </w:r>
      <w:r>
        <w:t xml:space="preserve">: 1 vs 0, 2 vs 0, 2 vs 1</w:t>
      </w:r>
    </w:p>
    <w:p>
      <w:pPr>
        <w:pStyle w:val="Compact"/>
        <w:numPr>
          <w:ilvl w:val="0"/>
          <w:numId w:val="1026"/>
        </w:numPr>
      </w:pPr>
      <w:r>
        <w:rPr>
          <w:b/>
          <w:bCs/>
        </w:rPr>
        <w:t xml:space="preserve">Cohorts</w:t>
      </w:r>
      <w:r>
        <w:t xml:space="preserve">: 2021_24</w:t>
      </w:r>
    </w:p>
    <w:p>
      <w:pPr>
        <w:pStyle w:val="FirstParagraph"/>
      </w:pPr>
      <w:r>
        <w:t xml:space="preserve">Output grids show KCOR values for each parameter combination.</w:t>
      </w:r>
    </w:p>
    <w:bookmarkEnd w:id="112"/>
    <w:bookmarkEnd w:id="113"/>
    <w:bookmarkStart w:id="118" w:name="X3fb27f9d14d988b0afc4c757bd6d2a45d2ae0b5"/>
    <w:p>
      <w:pPr>
        <w:pStyle w:val="Heading3"/>
      </w:pPr>
      <w:r>
        <w:t xml:space="preserve">Appendix C. Additional figures and diagnostics</w:t>
      </w:r>
    </w:p>
    <w:bookmarkStart w:id="114"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27"/>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27"/>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27"/>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14"/>
    <w:bookmarkStart w:id="115"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28"/>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28"/>
        </w:numPr>
      </w:pPr>
      <w:r>
        <w:rPr>
          <w:b/>
          <w:bCs/>
        </w:rPr>
        <w:t xml:space="preserve">Outliers</w:t>
      </w:r>
      <w:r>
        <w:t xml:space="preserve">: Individual weeks with large residuals may indicate data quality issues or external shocks.</w:t>
      </w:r>
    </w:p>
    <w:p>
      <w:pPr>
        <w:pStyle w:val="Compact"/>
        <w:numPr>
          <w:ilvl w:val="0"/>
          <w:numId w:val="1028"/>
        </w:numPr>
      </w:pPr>
      <w:r>
        <w:rPr>
          <w:b/>
          <w:bCs/>
        </w:rPr>
        <w:t xml:space="preserve">Autocorrelation</w:t>
      </w:r>
      <w:r>
        <w:t xml:space="preserve">: Strong autocorrelation in residuals suggests the model is missing time-varying structure.</w:t>
      </w:r>
    </w:p>
    <w:bookmarkEnd w:id="115"/>
    <w:bookmarkStart w:id="116"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29"/>
        </w:numPr>
      </w:pPr>
      <w:r>
        <w:rPr>
          <w:b/>
          <w:bCs/>
        </w:rPr>
        <w:t xml:space="preserve">Quiet-window perturbation</w:t>
      </w:r>
      <w:r>
        <w:t xml:space="preserve">: Shift the quiet-window start/end by ±4 weeks and re-fit. Stable parameters should vary by &lt; 10%.</w:t>
      </w:r>
    </w:p>
    <w:p>
      <w:pPr>
        <w:pStyle w:val="Compact"/>
        <w:numPr>
          <w:ilvl w:val="0"/>
          <w:numId w:val="1029"/>
        </w:numPr>
      </w:pPr>
      <w:r>
        <w:rPr>
          <w:b/>
          <w:bCs/>
        </w:rPr>
        <w:t xml:space="preserve">Skip-weeks sensitivity</w:t>
      </w:r>
      <w:r>
        <w:t xml:space="preserve">: Vary SKIP_WEEKS from 0 to 8 and verify KCOR trajectories remain qualitatively similar.</w:t>
      </w:r>
    </w:p>
    <w:p>
      <w:pPr>
        <w:pStyle w:val="Compact"/>
        <w:numPr>
          <w:ilvl w:val="0"/>
          <w:numId w:val="1029"/>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6) provides a systematic assessment of parameter stability.</w:t>
      </w:r>
    </w:p>
    <w:bookmarkEnd w:id="116"/>
    <w:bookmarkStart w:id="117"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30"/>
        </w:numPr>
      </w:pPr>
      <w:r>
        <w:t xml:space="preserve">Avoid major epidemic waves or external mortality shocks</w:t>
      </w:r>
    </w:p>
    <w:p>
      <w:pPr>
        <w:pStyle w:val="Compact"/>
        <w:numPr>
          <w:ilvl w:val="0"/>
          <w:numId w:val="1030"/>
        </w:numPr>
      </w:pPr>
      <w:r>
        <w:t xml:space="preserve">Contain sufficient event counts for stable estimation</w:t>
      </w:r>
    </w:p>
    <w:p>
      <w:pPr>
        <w:pStyle w:val="Compact"/>
        <w:numPr>
          <w:ilvl w:val="0"/>
          <w:numId w:val="1030"/>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17"/>
    <w:bookmarkEnd w:id="118"/>
    <w:bookmarkEnd w:id="119"/>
    <w:bookmarkStart w:id="128" w:name="references"/>
    <w:p>
      <w:pPr>
        <w:pStyle w:val="Heading2"/>
      </w:pPr>
      <w:r>
        <w:t xml:space="preserve">References</w:t>
      </w:r>
    </w:p>
    <w:bookmarkStart w:id="127" w:name="refs"/>
    <w:bookmarkStart w:id="121" w:name="ref-obel2024"/>
    <w:p>
      <w:pPr>
        <w:pStyle w:val="Bibliography"/>
      </w:pPr>
      <w:r>
        <w:t xml:space="preserve">1.</w:t>
      </w:r>
      <w:r>
        <w:t xml:space="preserve"> </w:t>
      </w:r>
      <w:r>
        <w:t xml:space="preserve">	</w:t>
      </w:r>
      <w:r>
        <w:t xml:space="preserve">Obel N, Fox M, Tetens M, Pedersen L, Krause T, Ullum H,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 Clinical Epidemiology. 2024 July;Volume 16:501–12. doi:</w:t>
      </w:r>
      <w:hyperlink r:id="rId120">
        <w:r>
          <w:rPr>
            <w:rStyle w:val="Hyperlink"/>
          </w:rPr>
          <w:t xml:space="preserve">10.2147/CLEP.S468572</w:t>
        </w:r>
      </w:hyperlink>
    </w:p>
    <w:bookmarkEnd w:id="121"/>
    <w:bookmarkStart w:id="123" w:name="ref-chemaitelly2025"/>
    <w:p>
      <w:pPr>
        <w:pStyle w:val="Bibliography"/>
      </w:pPr>
      <w:r>
        <w:t xml:space="preserve">2.</w:t>
      </w:r>
      <w:r>
        <w:t xml:space="preserve"> </w:t>
      </w:r>
      <w:r>
        <w:t xml:space="preserve">	</w:t>
      </w:r>
      <w:r>
        <w:t xml:space="preserve">Chemaitelly H, Ayoub HH, Coyle P, Tang P, Hasan MR, Yassine HM,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editors. eLife. 2025 June;14:e103690. doi:</w:t>
      </w:r>
      <w:hyperlink r:id="rId122">
        <w:r>
          <w:rPr>
            <w:rStyle w:val="Hyperlink"/>
          </w:rPr>
          <w:t xml:space="preserve">10.7554/eLife.103690</w:t>
        </w:r>
      </w:hyperlink>
    </w:p>
    <w:bookmarkEnd w:id="123"/>
    <w:bookmarkStart w:id="125" w:name="ref-vaupel1979"/>
    <w:p>
      <w:pPr>
        <w:pStyle w:val="Bibliography"/>
      </w:pPr>
      <w:r>
        <w:t xml:space="preserve">3.</w:t>
      </w:r>
      <w:r>
        <w:t xml:space="preserve"> </w:t>
      </w:r>
      <w:r>
        <w:t xml:space="preserve">	</w:t>
      </w:r>
      <w:r>
        <w:t xml:space="preserve">Vaupel JW, Manton KG, Stallard E. The impact of heterogeneity in individual frailty on the dynamics of mortality. Demography. 1979 Aug;16(3):439–54. doi:</w:t>
      </w:r>
      <w:hyperlink r:id="rId124">
        <w:r>
          <w:rPr>
            <w:rStyle w:val="Hyperlink"/>
          </w:rPr>
          <w:t xml:space="preserve">10.2307/2061224</w:t>
        </w:r>
      </w:hyperlink>
    </w:p>
    <w:bookmarkEnd w:id="125"/>
    <w:bookmarkStart w:id="126" w:name="ref-sanca2024"/>
    <w:p>
      <w:pPr>
        <w:pStyle w:val="Bibliography"/>
      </w:pPr>
      <w:r>
        <w:t xml:space="preserve">4.</w:t>
      </w:r>
      <w:r>
        <w:t xml:space="preserve"> </w:t>
      </w:r>
      <w:r>
        <w:t xml:space="preserve">	</w:t>
      </w:r>
      <w:r>
        <w:t xml:space="preserve">Šanca O, Jarkovský J, Klimeš D, Zelinková H, Klika P, K. Benešová,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 National Health Information Portal. 2024;</w:t>
      </w:r>
      <w:r>
        <w:t xml:space="preserve"> </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79" Target="media/rId79.png" /><Relationship Type="http://schemas.openxmlformats.org/officeDocument/2006/relationships/hyperlink" Id="rId120" Target="https://doi.org/10.2147/CLEP.S468572" TargetMode="External" /><Relationship Type="http://schemas.openxmlformats.org/officeDocument/2006/relationships/hyperlink" Id="rId124" Target="https://doi.org/10.2307/2061224" TargetMode="External" /><Relationship Type="http://schemas.openxmlformats.org/officeDocument/2006/relationships/hyperlink" Id="rId97" Target="https://doi.org/10.5281/zenodo.18050329" TargetMode="External" /><Relationship Type="http://schemas.openxmlformats.org/officeDocument/2006/relationships/hyperlink" Id="rId122" Target="https://doi.org/10.7554/eLife.103690" TargetMode="External" /><Relationship Type="http://schemas.openxmlformats.org/officeDocument/2006/relationships/hyperlink" Id="rId96"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20" Target="https://doi.org/10.2147/CLEP.S468572" TargetMode="External" /><Relationship Type="http://schemas.openxmlformats.org/officeDocument/2006/relationships/hyperlink" Id="rId124" Target="https://doi.org/10.2307/2061224" TargetMode="External" /><Relationship Type="http://schemas.openxmlformats.org/officeDocument/2006/relationships/hyperlink" Id="rId97" Target="https://doi.org/10.5281/zenodo.18050329" TargetMode="External" /><Relationship Type="http://schemas.openxmlformats.org/officeDocument/2006/relationships/hyperlink" Id="rId122" Target="https://doi.org/10.7554/eLife.103690" TargetMode="External" /><Relationship Type="http://schemas.openxmlformats.org/officeDocument/2006/relationships/hyperlink" Id="rId96"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2025-12-26T19:02:37Z</dcterms:created>
  <dcterms:modified xsi:type="dcterms:W3CDTF">2025-12-26T19:02:37Z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vancouver-superscript.csl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