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3CB8D" w14:textId="77777777" w:rsidR="001520BA" w:rsidRPr="001520BA" w:rsidRDefault="001520BA" w:rsidP="001520BA"/>
    <w:p w14:paraId="7894B93C" w14:textId="77777777" w:rsidR="001520BA" w:rsidRPr="001520BA" w:rsidRDefault="001520BA" w:rsidP="001520BA">
      <w:pPr>
        <w:numPr>
          <w:ilvl w:val="0"/>
          <w:numId w:val="1"/>
        </w:numPr>
      </w:pPr>
      <w:r w:rsidRPr="001520BA">
        <w:rPr>
          <w:b/>
          <w:bCs/>
        </w:rPr>
        <w:t>Regulatory status of the child.</w:t>
      </w:r>
      <w:r w:rsidRPr="001520BA">
        <w:t> The respondent is the adult parent. There is no interaction or intervention with the child, and the research team is designed not to receive information through which the child's identity can readily be ascertained. Please ensure this architecture is explained explicitly so that the board can determine whether the child is a human subject for Common Rule purposes and whether Subpart D has any application. The intake appropriately leaves that determination to the IRB. </w:t>
      </w:r>
    </w:p>
    <w:p w14:paraId="7C932AE7" w14:textId="77777777" w:rsidR="001520BA" w:rsidRPr="001520BA" w:rsidRDefault="001520BA" w:rsidP="001520BA">
      <w:pPr>
        <w:numPr>
          <w:ilvl w:val="0"/>
          <w:numId w:val="1"/>
        </w:numPr>
      </w:pPr>
      <w:r w:rsidRPr="001520BA">
        <w:rPr>
          <w:b/>
          <w:bCs/>
        </w:rPr>
        <w:t>Final exemption basis.</w:t>
      </w:r>
      <w:r w:rsidRPr="001520BA">
        <w:t> You may request review for exemption if you believe it applies, but the IRB will make the determination. It will be helpful for Form 2 includes language that demonstrates the investigators cannot readily ascertain respondent or child identities from the recorded research information. </w:t>
      </w:r>
    </w:p>
    <w:p w14:paraId="34E1E6B7" w14:textId="77777777" w:rsidR="001520BA" w:rsidRPr="001520BA" w:rsidRDefault="001520BA" w:rsidP="001520BA">
      <w:pPr>
        <w:numPr>
          <w:ilvl w:val="0"/>
          <w:numId w:val="1"/>
        </w:numPr>
      </w:pPr>
      <w:r w:rsidRPr="001520BA">
        <w:rPr>
          <w:b/>
          <w:bCs/>
        </w:rPr>
        <w:t>Participant information page.</w:t>
      </w:r>
      <w:r w:rsidRPr="001520BA">
        <w:t> The actual language respondents see before beginning should be included in the proposal and it should identify the study and sponsor, describe the general subject matter, state that participation is voluntary, explain foreseeable privacy risks and data use, and explain the limits on withdrawal once an unlinked response can no longer be located.  </w:t>
      </w:r>
    </w:p>
    <w:p w14:paraId="595CCBA0" w14:textId="77777777" w:rsidR="001520BA" w:rsidRPr="001520BA" w:rsidRDefault="001520BA" w:rsidP="001520BA">
      <w:pPr>
        <w:numPr>
          <w:ilvl w:val="0"/>
          <w:numId w:val="1"/>
        </w:numPr>
      </w:pPr>
      <w:r w:rsidRPr="001520BA">
        <w:rPr>
          <w:b/>
          <w:bCs/>
        </w:rPr>
        <w:t>Final SORA definition and eligibility rules.</w:t>
      </w:r>
      <w:r w:rsidRPr="001520BA">
        <w:t> Several areas could be strengthened here: </w:t>
      </w:r>
    </w:p>
    <w:p w14:paraId="57FCAE76" w14:textId="77777777" w:rsidR="001520BA" w:rsidRPr="001520BA" w:rsidRDefault="001520BA" w:rsidP="001520BA">
      <w:pPr>
        <w:numPr>
          <w:ilvl w:val="1"/>
          <w:numId w:val="1"/>
        </w:numPr>
      </w:pPr>
      <w:r w:rsidRPr="001520BA">
        <w:t>The operational definition should be locked before data collection,  </w:t>
      </w:r>
    </w:p>
    <w:p w14:paraId="13BDCFF1" w14:textId="77777777" w:rsidR="001520BA" w:rsidRPr="001520BA" w:rsidRDefault="001520BA" w:rsidP="001520BA">
      <w:pPr>
        <w:numPr>
          <w:ilvl w:val="1"/>
          <w:numId w:val="1"/>
        </w:numPr>
      </w:pPr>
      <w:r w:rsidRPr="001520BA">
        <w:t>Discrete onset and “persistent” changes should be defined,  </w:t>
      </w:r>
    </w:p>
    <w:p w14:paraId="73DF19AE" w14:textId="77777777" w:rsidR="001520BA" w:rsidRPr="001520BA" w:rsidRDefault="001520BA" w:rsidP="001520BA">
      <w:pPr>
        <w:numPr>
          <w:ilvl w:val="1"/>
          <w:numId w:val="1"/>
        </w:numPr>
      </w:pPr>
      <w:r w:rsidRPr="001520BA">
        <w:t>Specify how prior developmental concerns are handled,  </w:t>
      </w:r>
    </w:p>
    <w:p w14:paraId="50E90CD7" w14:textId="77777777" w:rsidR="001520BA" w:rsidRPr="001520BA" w:rsidRDefault="001520BA" w:rsidP="001520BA">
      <w:pPr>
        <w:numPr>
          <w:ilvl w:val="1"/>
          <w:numId w:val="1"/>
        </w:numPr>
      </w:pPr>
      <w:r w:rsidRPr="001520BA">
        <w:t>Define how the parent reports the clinical ASD diagnosis, competing explanations, and the age boundary. The intake recognizes that several of these items remain to be finalized. </w:t>
      </w:r>
    </w:p>
    <w:p w14:paraId="179E6BD9" w14:textId="77777777" w:rsidR="001520BA" w:rsidRPr="001520BA" w:rsidRDefault="001520BA" w:rsidP="001520BA">
      <w:pPr>
        <w:numPr>
          <w:ilvl w:val="0"/>
          <w:numId w:val="1"/>
        </w:numPr>
      </w:pPr>
      <w:r w:rsidRPr="001520BA">
        <w:rPr>
          <w:b/>
          <w:bCs/>
        </w:rPr>
        <w:t>Privacy and survey architecture.</w:t>
      </w:r>
      <w:r w:rsidRPr="001520BA">
        <w:t> Details about the platform will be helpful, such as:  </w:t>
      </w:r>
    </w:p>
    <w:p w14:paraId="339C3235" w14:textId="77777777" w:rsidR="001520BA" w:rsidRPr="001520BA" w:rsidRDefault="001520BA" w:rsidP="001520BA">
      <w:pPr>
        <w:numPr>
          <w:ilvl w:val="1"/>
          <w:numId w:val="1"/>
        </w:numPr>
      </w:pPr>
      <w:r w:rsidRPr="001520BA">
        <w:t>Name of the survey platform and describe what operational metadata it necessarily processes, </w:t>
      </w:r>
    </w:p>
    <w:p w14:paraId="0A3EF4F2" w14:textId="77777777" w:rsidR="001520BA" w:rsidRPr="001520BA" w:rsidRDefault="001520BA" w:rsidP="001520BA">
      <w:pPr>
        <w:numPr>
          <w:ilvl w:val="1"/>
          <w:numId w:val="1"/>
        </w:numPr>
      </w:pPr>
      <w:r w:rsidRPr="001520BA">
        <w:t>Who has access,  </w:t>
      </w:r>
    </w:p>
    <w:p w14:paraId="2C47ABA7" w14:textId="77777777" w:rsidR="001520BA" w:rsidRPr="001520BA" w:rsidRDefault="001520BA" w:rsidP="001520BA">
      <w:pPr>
        <w:numPr>
          <w:ilvl w:val="1"/>
          <w:numId w:val="1"/>
        </w:numPr>
      </w:pPr>
      <w:r w:rsidRPr="001520BA">
        <w:t>Retention and deletion rules,  </w:t>
      </w:r>
    </w:p>
    <w:p w14:paraId="5490E0EF" w14:textId="77777777" w:rsidR="001520BA" w:rsidRPr="001520BA" w:rsidRDefault="001520BA" w:rsidP="001520BA">
      <w:pPr>
        <w:numPr>
          <w:ilvl w:val="1"/>
          <w:numId w:val="1"/>
        </w:numPr>
      </w:pPr>
      <w:r w:rsidRPr="001520BA">
        <w:t>Encryption and access controls,  </w:t>
      </w:r>
    </w:p>
    <w:p w14:paraId="551224AA" w14:textId="77777777" w:rsidR="001520BA" w:rsidRPr="001520BA" w:rsidRDefault="001520BA" w:rsidP="001520BA">
      <w:pPr>
        <w:numPr>
          <w:ilvl w:val="1"/>
          <w:numId w:val="1"/>
        </w:numPr>
      </w:pPr>
      <w:r w:rsidRPr="001520BA">
        <w:lastRenderedPageBreak/>
        <w:t>Confirmation that third-party advertising, profiling, session replay, device fingerprinting, and unrelated analytics are disabled. </w:t>
      </w:r>
    </w:p>
    <w:p w14:paraId="3415608E" w14:textId="77777777" w:rsidR="001520BA" w:rsidRPr="001520BA" w:rsidRDefault="001520BA" w:rsidP="001520BA">
      <w:pPr>
        <w:numPr>
          <w:ilvl w:val="0"/>
          <w:numId w:val="1"/>
        </w:numPr>
      </w:pPr>
      <w:r w:rsidRPr="001520BA">
        <w:rPr>
          <w:b/>
          <w:bCs/>
        </w:rPr>
        <w:t>Withdrawal after unlinking.</w:t>
      </w:r>
      <w:r w:rsidRPr="001520BA">
        <w:t> Respondents should understand that once a response becomes directly unlinked, the investigators ordinarily cannot locate it to modify or delete it.  </w:t>
      </w:r>
    </w:p>
    <w:p w14:paraId="3325F669" w14:textId="77777777" w:rsidR="001520BA" w:rsidRPr="001520BA" w:rsidRDefault="001520BA" w:rsidP="001520BA">
      <w:pPr>
        <w:numPr>
          <w:ilvl w:val="1"/>
          <w:numId w:val="1"/>
        </w:numPr>
      </w:pPr>
      <w:r w:rsidRPr="001520BA">
        <w:t>Explain the pre-submission review/correction process, </w:t>
      </w:r>
    </w:p>
    <w:p w14:paraId="526AF748" w14:textId="77777777" w:rsidR="001520BA" w:rsidRPr="001520BA" w:rsidRDefault="001520BA" w:rsidP="001520BA">
      <w:pPr>
        <w:numPr>
          <w:ilvl w:val="1"/>
          <w:numId w:val="1"/>
        </w:numPr>
      </w:pPr>
      <w:r w:rsidRPr="001520BA">
        <w:t>Define the “withdraw and delete” mechanism, </w:t>
      </w:r>
    </w:p>
    <w:p w14:paraId="6C9D5687" w14:textId="77777777" w:rsidR="001520BA" w:rsidRPr="001520BA" w:rsidRDefault="001520BA" w:rsidP="001520BA">
      <w:pPr>
        <w:numPr>
          <w:ilvl w:val="1"/>
          <w:numId w:val="1"/>
        </w:numPr>
      </w:pPr>
      <w:r w:rsidRPr="001520BA">
        <w:t>Clearly disclose that once a response is directly unlinked, it generally cannot be found, modified, or deleted. </w:t>
      </w:r>
    </w:p>
    <w:p w14:paraId="6B0D5CEC" w14:textId="77777777" w:rsidR="001520BA" w:rsidRPr="001520BA" w:rsidRDefault="001520BA" w:rsidP="001520BA">
      <w:pPr>
        <w:numPr>
          <w:ilvl w:val="0"/>
          <w:numId w:val="1"/>
        </w:numPr>
      </w:pPr>
      <w:r w:rsidRPr="001520BA">
        <w:rPr>
          <w:b/>
          <w:bCs/>
        </w:rPr>
        <w:t>Incomplete responses.</w:t>
      </w:r>
      <w:r w:rsidRPr="001520BA">
        <w:t> If post-entry partial or abandoned surveys are retained for missingness and breakoff analyses, Form 2 should specify what is retained, when an abandoned session closes, and how this is disclosed to respondents. </w:t>
      </w:r>
    </w:p>
    <w:p w14:paraId="7AB2A884" w14:textId="77777777" w:rsidR="001520BA" w:rsidRPr="001520BA" w:rsidRDefault="001520BA" w:rsidP="001520BA">
      <w:pPr>
        <w:numPr>
          <w:ilvl w:val="0"/>
          <w:numId w:val="1"/>
        </w:numPr>
      </w:pPr>
      <w:r w:rsidRPr="001520BA">
        <w:rPr>
          <w:b/>
          <w:bCs/>
        </w:rPr>
        <w:t>Duplicate responses.</w:t>
      </w:r>
      <w:r w:rsidRPr="001520BA">
        <w:t> Establishing a prospective approach for possible repeat submissions will be helpful, specifically: multiple guardians reporting the same child, siblings, forwarded survey links, and families reached through more than one participating clinic.  </w:t>
      </w:r>
    </w:p>
    <w:p w14:paraId="32F7C79D" w14:textId="77777777" w:rsidR="001520BA" w:rsidRPr="001520BA" w:rsidRDefault="001520BA" w:rsidP="001520BA">
      <w:pPr>
        <w:numPr>
          <w:ilvl w:val="0"/>
          <w:numId w:val="1"/>
        </w:numPr>
      </w:pPr>
      <w:r w:rsidRPr="001520BA">
        <w:rPr>
          <w:b/>
          <w:bCs/>
        </w:rPr>
        <w:t>Clinic recruitment materials.</w:t>
      </w:r>
      <w:r w:rsidRPr="001520BA">
        <w:t> All recruitment materials are to be submitted with the application so the Board may review the language.  </w:t>
      </w:r>
    </w:p>
    <w:p w14:paraId="66B1AF05" w14:textId="77777777" w:rsidR="001520BA" w:rsidRPr="001520BA" w:rsidRDefault="001520BA" w:rsidP="001520BA">
      <w:pPr>
        <w:numPr>
          <w:ilvl w:val="0"/>
          <w:numId w:val="1"/>
        </w:numPr>
      </w:pPr>
      <w:r w:rsidRPr="001520BA">
        <w:rPr>
          <w:b/>
          <w:bCs/>
        </w:rPr>
        <w:t>Clinic compensation.</w:t>
      </w:r>
      <w:r w:rsidRPr="001520BA">
        <w:t>  It will be helpful for Form 2 to document the payment agreement and reasonable-cost/fair-value basis, payment is not tied to response rate, SORA cases, vaccine history, timing patterns or study outcomes if accurate. </w:t>
      </w:r>
    </w:p>
    <w:p w14:paraId="49943C9D" w14:textId="77777777" w:rsidR="001520BA" w:rsidRPr="001520BA" w:rsidRDefault="001520BA" w:rsidP="001520BA">
      <w:pPr>
        <w:numPr>
          <w:ilvl w:val="0"/>
          <w:numId w:val="1"/>
        </w:numPr>
      </w:pPr>
      <w:r w:rsidRPr="001520BA">
        <w:rPr>
          <w:b/>
          <w:bCs/>
        </w:rPr>
        <w:t>Funding and conflicts of interest.</w:t>
      </w:r>
      <w:r w:rsidRPr="001520BA">
        <w:t xml:space="preserve"> Please disclose CHD's role, funding, organizational interests, and relevant investigator financial and </w:t>
      </w:r>
      <w:proofErr w:type="gramStart"/>
      <w:r w:rsidRPr="001520BA">
        <w:t>nonfinancial</w:t>
      </w:r>
      <w:proofErr w:type="gramEnd"/>
      <w:r w:rsidRPr="001520BA">
        <w:t xml:space="preserve"> interests in Form 2. The appropriate protections are transparency, prospective definitions, outcome-independent clinic recruitment, restricted access to preliminary timing results, and independent verification/review where appropriate. The intake already proposes those kinds of safeguards. </w:t>
      </w:r>
    </w:p>
    <w:p w14:paraId="56E63F28" w14:textId="77777777" w:rsidR="001520BA" w:rsidRPr="001520BA" w:rsidRDefault="001520BA" w:rsidP="001520BA">
      <w:pPr>
        <w:numPr>
          <w:ilvl w:val="0"/>
          <w:numId w:val="1"/>
        </w:numPr>
      </w:pPr>
      <w:r w:rsidRPr="001520BA">
        <w:rPr>
          <w:b/>
          <w:bCs/>
        </w:rPr>
        <w:t>Scientific boundaries.</w:t>
      </w:r>
      <w:r w:rsidRPr="001520BA">
        <w:t> Suggest keeping the study’s claims within scientific scope as applicable: creation and characterization of a parent-reported data resource (rather than representing it as estimation of SORA incidence, vaccine-attributable risk, vaccinated-versus-unvaccinated ASD risk, or establishing that vaccination caused or did not cause regression). </w:t>
      </w:r>
    </w:p>
    <w:p w14:paraId="35AC29D7" w14:textId="77777777" w:rsidR="009B67A3" w:rsidRDefault="009B67A3"/>
    <w:sectPr w:rsidR="009B6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61D62"/>
    <w:multiLevelType w:val="multilevel"/>
    <w:tmpl w:val="EC96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87099174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045"/>
    <w:rsid w:val="000E6940"/>
    <w:rsid w:val="001520BA"/>
    <w:rsid w:val="00787ECD"/>
    <w:rsid w:val="00870759"/>
    <w:rsid w:val="009B67A3"/>
    <w:rsid w:val="009F160D"/>
    <w:rsid w:val="00A5590F"/>
    <w:rsid w:val="00BF2EB4"/>
    <w:rsid w:val="00CD0045"/>
    <w:rsid w:val="00D81CCF"/>
    <w:rsid w:val="00F15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D4EB8-DCCF-4EA4-851C-BA1E88F9E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0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0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0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0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0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0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0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0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045"/>
    <w:rPr>
      <w:rFonts w:eastAsiaTheme="majorEastAsia" w:cstheme="majorBidi"/>
      <w:color w:val="272727" w:themeColor="text1" w:themeTint="D8"/>
    </w:rPr>
  </w:style>
  <w:style w:type="paragraph" w:styleId="Title">
    <w:name w:val="Title"/>
    <w:basedOn w:val="Normal"/>
    <w:next w:val="Normal"/>
    <w:link w:val="TitleChar"/>
    <w:uiPriority w:val="10"/>
    <w:qFormat/>
    <w:rsid w:val="00CD0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045"/>
    <w:pPr>
      <w:spacing w:before="160"/>
      <w:jc w:val="center"/>
    </w:pPr>
    <w:rPr>
      <w:i/>
      <w:iCs/>
      <w:color w:val="404040" w:themeColor="text1" w:themeTint="BF"/>
    </w:rPr>
  </w:style>
  <w:style w:type="character" w:customStyle="1" w:styleId="QuoteChar">
    <w:name w:val="Quote Char"/>
    <w:basedOn w:val="DefaultParagraphFont"/>
    <w:link w:val="Quote"/>
    <w:uiPriority w:val="29"/>
    <w:rsid w:val="00CD0045"/>
    <w:rPr>
      <w:i/>
      <w:iCs/>
      <w:color w:val="404040" w:themeColor="text1" w:themeTint="BF"/>
    </w:rPr>
  </w:style>
  <w:style w:type="paragraph" w:styleId="ListParagraph">
    <w:name w:val="List Paragraph"/>
    <w:basedOn w:val="Normal"/>
    <w:uiPriority w:val="34"/>
    <w:qFormat/>
    <w:rsid w:val="00CD0045"/>
    <w:pPr>
      <w:ind w:left="720"/>
      <w:contextualSpacing/>
    </w:pPr>
  </w:style>
  <w:style w:type="character" w:styleId="IntenseEmphasis">
    <w:name w:val="Intense Emphasis"/>
    <w:basedOn w:val="DefaultParagraphFont"/>
    <w:uiPriority w:val="21"/>
    <w:qFormat/>
    <w:rsid w:val="00CD0045"/>
    <w:rPr>
      <w:i/>
      <w:iCs/>
      <w:color w:val="0F4761" w:themeColor="accent1" w:themeShade="BF"/>
    </w:rPr>
  </w:style>
  <w:style w:type="paragraph" w:styleId="IntenseQuote">
    <w:name w:val="Intense Quote"/>
    <w:basedOn w:val="Normal"/>
    <w:next w:val="Normal"/>
    <w:link w:val="IntenseQuoteChar"/>
    <w:uiPriority w:val="30"/>
    <w:qFormat/>
    <w:rsid w:val="00CD0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0045"/>
    <w:rPr>
      <w:i/>
      <w:iCs/>
      <w:color w:val="0F4761" w:themeColor="accent1" w:themeShade="BF"/>
    </w:rPr>
  </w:style>
  <w:style w:type="character" w:styleId="IntenseReference">
    <w:name w:val="Intense Reference"/>
    <w:basedOn w:val="DefaultParagraphFont"/>
    <w:uiPriority w:val="32"/>
    <w:qFormat/>
    <w:rsid w:val="00CD0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2026-08-17T03:39:00Z</dcterms:created>
  <dcterms:modified xsi:type="dcterms:W3CDTF">2026-08-17T03:41:00Z</dcterms:modified>
</cp:coreProperties>
</file>