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ed13a39a60c7ad6b456377dc1a3d6f0f3f1ea0b"/>
    <w:p>
      <w:pPr>
        <w:pStyle w:val="Heading1"/>
      </w:pPr>
      <w:r>
        <w:t xml:space="preserve">Temporal Relationship Between Vaccination and Sudden-Onset Regressive Autism (SORA)</w:t>
      </w:r>
    </w:p>
    <w:bookmarkStart w:id="9" w:name="executive-summary"/>
    <w:p>
      <w:pPr>
        <w:pStyle w:val="Heading2"/>
      </w:pPr>
      <w:r>
        <w:t xml:space="preserve">Executive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Item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Principal Investigator</w:t>
            </w:r>
          </w:p>
        </w:tc>
        <w:tc>
          <w:tcPr/>
          <w:p>
            <w:pPr>
              <w:pStyle w:val="Compact"/>
            </w:pPr>
            <w:r>
              <w:t xml:space="preserve">Elizabeth “Liz” Mumper, M.D. [confirm degree/title and institutional affiliation]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Sponsor / coordinating organization</w:t>
            </w:r>
          </w:p>
        </w:tc>
        <w:tc>
          <w:tcPr/>
          <w:p>
            <w:pPr>
              <w:pStyle w:val="Compact"/>
            </w:pPr>
            <w:r>
              <w:t xml:space="preserve">Medical Academy of Pediatric Special Needs (MAPS) [confirm legal entity]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Protocol number / version / date</w:t>
            </w:r>
          </w:p>
        </w:tc>
        <w:tc>
          <w:tcPr/>
          <w:p>
            <w:pPr>
              <w:pStyle w:val="Compact"/>
            </w:pPr>
            <w:r>
              <w:t xml:space="preserve">[IRB assigned] / Version 1.1 / 11 August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Study design</w:t>
            </w:r>
          </w:p>
        </w:tc>
        <w:tc>
          <w:tcPr/>
          <w:p>
            <w:pPr>
              <w:pStyle w:val="Compact"/>
            </w:pPr>
            <w:r>
              <w:t xml:space="preserve">Retrospective, multisite medical-record review; minimal-risk secondary research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Requested determination</w:t>
            </w:r>
          </w:p>
        </w:tc>
        <w:tc>
          <w:tcPr/>
          <w:p>
            <w:pPr>
              <w:pStyle w:val="Compact"/>
            </w:pPr>
            <w:r>
              <w:t xml:space="preserve">Exempt under 45 CFR 46.104(d)(4)(ii)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Study population</w:t>
            </w:r>
          </w:p>
        </w:tc>
        <w:tc>
          <w:tcPr/>
          <w:p>
            <w:pPr>
              <w:pStyle w:val="Compact"/>
            </w:pPr>
            <w:r>
              <w:t xml:space="preserve">Children with documented ASD and narrowly defined abrupt, parent-observed developmental regression</w:t>
            </w:r>
          </w:p>
        </w:tc>
      </w:tr>
    </w:tbl>
    <w:p>
      <w:pPr>
        <w:pStyle w:val="BodyText"/>
      </w:pPr>
      <w:r>
        <w:t xml:space="preserve">DRAFTING NOTE. Bracketed text requires completion by the PI, relying</w:t>
      </w:r>
      <w:r>
        <w:t xml:space="preserve"> </w:t>
      </w:r>
      <w:r>
        <w:t xml:space="preserve">institution, privacy officer, or reviewing IRB. The reviewing IRB—not</w:t>
      </w:r>
      <w:r>
        <w:t xml:space="preserve"> </w:t>
      </w:r>
      <w:r>
        <w:t xml:space="preserve">the investigators—determines whether the activity is non-human-subjects</w:t>
      </w:r>
      <w:r>
        <w:t xml:space="preserve"> </w:t>
      </w:r>
      <w:r>
        <w:t xml:space="preserve">research, exempt, or requires expedited review. Public release is not</w:t>
      </w:r>
      <w:r>
        <w:t xml:space="preserve"> </w:t>
      </w:r>
      <w:r>
        <w:t xml:space="preserve">permitted until disclosure-risk review is completed.</w:t>
      </w:r>
    </w:p>
    <w:bookmarkEnd w:id="9"/>
    <w:bookmarkEnd w:id="10"/>
    <w:bookmarkStart w:id="32" w:name="part-1-full-research-protocol"/>
    <w:p>
      <w:pPr>
        <w:pStyle w:val="Heading1"/>
      </w:pPr>
      <w:r>
        <w:t xml:space="preserve">Part 1. Full Research Protocol</w:t>
      </w:r>
    </w:p>
    <w:bookmarkStart w:id="11" w:name="X88f1ceec4e72957df133183fcc92b47880a5487"/>
    <w:p>
      <w:pPr>
        <w:pStyle w:val="Heading2"/>
      </w:pPr>
      <w:r>
        <w:t xml:space="preserve">1. Protocol synopsis</w:t>
      </w:r>
    </w:p>
    <w:p>
      <w:pPr>
        <w:pStyle w:val="FirstParagraph"/>
      </w:pPr>
      <w:r>
        <w:t xml:space="preserve">This exploratory study will test whether the parent-observed onset of</w:t>
      </w:r>
      <w:r>
        <w:t xml:space="preserve"> </w:t>
      </w:r>
      <w:r>
        <w:t xml:space="preserve">narrowly defined sudden-onset regressive autism (SORA) clusters</w:t>
      </w:r>
      <w:r>
        <w:t xml:space="preserve"> </w:t>
      </w:r>
      <w:r>
        <w:t xml:space="preserve">temporally after vaccination. Participating clinics will identify</w:t>
      </w:r>
      <w:r>
        <w:t xml:space="preserve"> </w:t>
      </w:r>
      <w:r>
        <w:t xml:space="preserve">eligible records and derive a minimal analytic dataset locally.</w:t>
      </w:r>
      <w:r>
        <w:t xml:space="preserve"> </w:t>
      </w:r>
      <w:r>
        <w:t xml:space="preserve">Investigators receive only a study site code, a clinic-assigned row ID,</w:t>
      </w:r>
      <w:r>
        <w:t xml:space="preserve"> </w:t>
      </w:r>
      <w:r>
        <w:t xml:space="preserve">sex, age at onset in days, vaccination-before-onset status,</w:t>
      </w:r>
      <w:r>
        <w:t xml:space="preserve"> </w:t>
      </w:r>
      <w:r>
        <w:t xml:space="preserve">days from the preceding vaccination to onset (Dpre, when applicable),</w:t>
      </w:r>
      <w:r>
        <w:t xml:space="preserve"> </w:t>
      </w:r>
      <w:r>
        <w:t xml:space="preserve">and days from onset to the subsequent vaccination (Dpost, when</w:t>
      </w:r>
      <w:r>
        <w:t xml:space="preserve"> </w:t>
      </w:r>
      <w:r>
        <w:t xml:space="preserve">available). Each clinic also submits four aggregate counts concerning</w:t>
      </w:r>
      <w:r>
        <w:t xml:space="preserve"> </w:t>
      </w:r>
      <w:r>
        <w:t xml:space="preserve">vaccination status through 24 months.</w:t>
      </w:r>
      <w:r>
        <w:t xml:space="preserve"> </w:t>
      </w:r>
      <w:r>
        <w:t xml:space="preserve">Investigators will not receive clinical phenotypes, names, contact</w:t>
      </w:r>
      <w:r>
        <w:t xml:space="preserve"> </w:t>
      </w:r>
      <w:r>
        <w:t xml:space="preserve">information, dates of birth, medical-record numbers, calendar dates,</w:t>
      </w:r>
      <w:r>
        <w:t xml:space="preserve"> </w:t>
      </w:r>
      <w:r>
        <w:t xml:space="preserve">free text, geography, clinic names, or the clinic’s re-identification key. The study</w:t>
      </w:r>
      <w:r>
        <w:t xml:space="preserve"> </w:t>
      </w:r>
      <w:r>
        <w:t xml:space="preserve">is designed to describe timing; it cannot establish that vaccination</w:t>
      </w:r>
      <w:r>
        <w:t xml:space="preserve"> </w:t>
      </w:r>
      <w:r>
        <w:t xml:space="preserve">caused regression.</w:t>
      </w:r>
    </w:p>
    <w:bookmarkEnd w:id="11"/>
    <w:bookmarkStart w:id="12" w:name="X74c579f767cbc80f767bbb4c31e48475c04b06f"/>
    <w:p>
      <w:pPr>
        <w:pStyle w:val="Heading2"/>
      </w:pPr>
      <w:r>
        <w:t xml:space="preserve">2. Background and rationale</w:t>
      </w:r>
    </w:p>
    <w:p>
      <w:pPr>
        <w:pStyle w:val="FirstParagraph"/>
      </w:pPr>
      <w:r>
        <w:t xml:space="preserve">Developmental regression is reported in a substantial minority of</w:t>
      </w:r>
      <w:r>
        <w:t xml:space="preserve"> </w:t>
      </w:r>
      <w:r>
        <w:t xml:space="preserve">children with autism spectrum disorder (ASD), but definitions,</w:t>
      </w:r>
      <w:r>
        <w:t xml:space="preserve"> </w:t>
      </w:r>
      <w:r>
        <w:t xml:space="preserve">ascertainment methods, and estimated onset ages vary. A 2021 systematic</w:t>
      </w:r>
      <w:r>
        <w:t xml:space="preserve"> </w:t>
      </w:r>
      <w:r>
        <w:t xml:space="preserve">review of 97 studies estimated a pooled regression prevalence of 30% and</w:t>
      </w:r>
      <w:r>
        <w:t xml:space="preserve"> </w:t>
      </w:r>
      <w:r>
        <w:t xml:space="preserve">a weighted mean onset age of 19.8 months, with substantial</w:t>
      </w:r>
      <w:r>
        <w:t xml:space="preserve"> </w:t>
      </w:r>
      <w:r>
        <w:t xml:space="preserve">heterogeneity. Reviews comparing retrospective parent report with</w:t>
      </w:r>
      <w:r>
        <w:t xml:space="preserve"> </w:t>
      </w:r>
      <w:r>
        <w:t xml:space="preserve">prospective observation caution that precise onset dating is vulnerable</w:t>
      </w:r>
      <w:r>
        <w:t xml:space="preserve"> </w:t>
      </w:r>
      <w:r>
        <w:t xml:space="preserve">to recall error and that developmental change may be gradual even when</w:t>
      </w:r>
      <w:r>
        <w:t xml:space="preserve"> </w:t>
      </w:r>
      <w:r>
        <w:t xml:space="preserve">recognized abruptly.</w:t>
      </w:r>
    </w:p>
    <w:p>
      <w:pPr>
        <w:pStyle w:val="BodyText"/>
      </w:pPr>
      <w:r>
        <w:t xml:space="preserve">Extensive epidemiologic research has generally not found an association</w:t>
      </w:r>
      <w:r>
        <w:t xml:space="preserve"> </w:t>
      </w:r>
      <w:r>
        <w:t xml:space="preserve">between vaccination and autism spectrum disorder at the population</w:t>
      </w:r>
      <w:r>
        <w:t xml:space="preserve"> </w:t>
      </w:r>
      <w:r>
        <w:t xml:space="preserve">level. However, some observational studies using vaccinated-versus-</w:t>
      </w:r>
      <w:r>
        <w:t xml:space="preserve"> </w:t>
      </w:r>
      <w:r>
        <w:t xml:space="preserve">unvaccinated comparisons have reported associations, and questions</w:t>
      </w:r>
      <w:r>
        <w:t xml:space="preserve"> </w:t>
      </w:r>
      <w:r>
        <w:t xml:space="preserve">remain regarding whether a narrowly defined subgroup characterized by</w:t>
      </w:r>
      <w:r>
        <w:t xml:space="preserve"> </w:t>
      </w:r>
      <w:r>
        <w:t xml:space="preserve">sudden, readily dateable regression could exhibit a distinct temporal</w:t>
      </w:r>
      <w:r>
        <w:t xml:space="preserve"> </w:t>
      </w:r>
      <w:r>
        <w:t xml:space="preserve">pattern. Existing studies may not have been designed specifically to</w:t>
      </w:r>
      <w:r>
        <w:t xml:space="preserve"> </w:t>
      </w:r>
      <w:r>
        <w:t xml:space="preserve">detect short-term clustering of an unambiguous parent-observed onset</w:t>
      </w:r>
      <w:r>
        <w:t xml:space="preserve"> </w:t>
      </w:r>
      <w:r>
        <w:t xml:space="preserve">relative to adjacent vaccination dates.</w:t>
      </w:r>
    </w:p>
    <w:p>
      <w:pPr>
        <w:pStyle w:val="BodyText"/>
      </w:pPr>
      <w:r>
        <w:t xml:space="preserve">This study addresses that narrower question in three complementary ways.</w:t>
      </w:r>
      <w:r>
        <w:t xml:space="preserve"> </w:t>
      </w:r>
      <w:r>
        <w:t xml:space="preserve">First, the broad age-dependent pattern of parent-recognized SORA onset</w:t>
      </w:r>
      <w:r>
        <w:t xml:space="preserve"> </w:t>
      </w:r>
      <w:r>
        <w:t xml:space="preserve">is estimated from all qualifying SORA cases using a prespecified smooth,</w:t>
      </w:r>
      <w:r>
        <w:t xml:space="preserve"> </w:t>
      </w:r>
      <w:r>
        <w:t xml:space="preserve">cross-fitted model. Second, the complete Dpre distribution among cases</w:t>
      </w:r>
      <w:r>
        <w:t xml:space="preserve"> </w:t>
      </w:r>
      <w:r>
        <w:t xml:space="preserve">vaccinated before onset is examined for short-term clustering, including</w:t>
      </w:r>
      <w:r>
        <w:t xml:space="preserve"> </w:t>
      </w:r>
      <w:r>
        <w:t xml:space="preserve">localized peaks that do not begin on the day of vaccination. Cases with</w:t>
      </w:r>
      <w:r>
        <w:t xml:space="preserve"> </w:t>
      </w:r>
      <w:r>
        <w:t xml:space="preserve">no vaccination before onset provide a supplementary age-distribution</w:t>
      </w:r>
      <w:r>
        <w:t xml:space="preserve"> </w:t>
      </w:r>
      <w:r>
        <w:t xml:space="preserve">comparison but are not expected to be numerous enough to estimate the</w:t>
      </w:r>
      <w:r>
        <w:t xml:space="preserve"> </w:t>
      </w:r>
      <w:r>
        <w:t xml:space="preserve">baseline independently. Third, aggregate clinic counts</w:t>
      </w:r>
      <w:r>
        <w:t xml:space="preserve"> </w:t>
      </w:r>
      <w:r>
        <w:t xml:space="preserve">compare the proportion with no documented vaccination through 24 months</w:t>
      </w:r>
      <w:r>
        <w:t xml:space="preserve"> </w:t>
      </w:r>
      <w:r>
        <w:t xml:space="preserve">among SORA cases with the corresponding proportion in the clinic source</w:t>
      </w:r>
      <w:r>
        <w:t xml:space="preserve"> </w:t>
      </w:r>
      <w:r>
        <w:t xml:space="preserve">population. These analyses avoid assuming that the natural age of onset</w:t>
      </w:r>
      <w:r>
        <w:t xml:space="preserve"> </w:t>
      </w:r>
      <w:r>
        <w:t xml:space="preserve">is uniformly distributed.</w:t>
      </w:r>
    </w:p>
    <w:p>
      <w:pPr>
        <w:pStyle w:val="BodyText"/>
      </w:pPr>
      <w:r>
        <w:t xml:space="preserve">The study is intended to clarify temporal association in the defined</w:t>
      </w:r>
      <w:r>
        <w:t xml:space="preserve"> </w:t>
      </w:r>
      <w:r>
        <w:t xml:space="preserve">SORA cohort. It does not, by itself, estimate vaccine-attributable autism</w:t>
      </w:r>
      <w:r>
        <w:t xml:space="preserve"> </w:t>
      </w:r>
      <w:r>
        <w:t xml:space="preserve">risk or establish causation. Selection, recall, documentation,</w:t>
      </w:r>
      <w:r>
        <w:t xml:space="preserve"> </w:t>
      </w:r>
      <w:r>
        <w:t xml:space="preserve">diagnostic, age-related, healthcare-contact, and other potential</w:t>
      </w:r>
      <w:r>
        <w:t xml:space="preserve"> </w:t>
      </w:r>
      <w:r>
        <w:t xml:space="preserve">confounding must be addressed explicitly. Any observed clustering would</w:t>
      </w:r>
      <w:r>
        <w:t xml:space="preserve"> </w:t>
      </w:r>
      <w:r>
        <w:t xml:space="preserve">be hypothesis-generating and require independent confirmation using</w:t>
      </w:r>
      <w:r>
        <w:t xml:space="preserve"> </w:t>
      </w:r>
      <w:r>
        <w:t xml:space="preserve">designs capable of addressing those limitations. A null result would</w:t>
      </w:r>
      <w:r>
        <w:t xml:space="preserve"> </w:t>
      </w:r>
      <w:r>
        <w:t xml:space="preserve">constrain the magnitude of temporal clustering in this selected cohort.</w:t>
      </w:r>
    </w:p>
    <w:bookmarkEnd w:id="12"/>
    <w:bookmarkStart w:id="13" w:name="X684d46860716d881910e92096668c227ffef0e1"/>
    <w:p>
      <w:pPr>
        <w:pStyle w:val="Heading2"/>
      </w:pPr>
      <w:r>
        <w:t xml:space="preserve">3. Specific aims and hypotheses</w:t>
      </w:r>
    </w:p>
    <w:p>
      <w:pPr>
        <w:numPr>
          <w:ilvl w:val="0"/>
          <w:numId w:val="1001"/>
        </w:numPr>
      </w:pPr>
      <w:r>
        <w:t xml:space="preserve">Aim 1: Estimate the broad age-dependent pattern of parent-recognized</w:t>
      </w:r>
      <w:r>
        <w:t xml:space="preserve"> </w:t>
      </w:r>
      <w:r>
        <w:t xml:space="preserve">SORA onset from all qualifying cases using age in days and a</w:t>
      </w:r>
      <w:r>
        <w:t xml:space="preserve"> </w:t>
      </w:r>
      <w:r>
        <w:t xml:space="preserve">prespecified smooth model cross-fitted by site. Compare vaccinated-</w:t>
      </w:r>
      <w:r>
        <w:t xml:space="preserve"> </w:t>
      </w:r>
      <w:r>
        <w:t xml:space="preserve">before-onset and unvaccinated-before-onset age distributions as a</w:t>
      </w:r>
      <w:r>
        <w:t xml:space="preserve"> </w:t>
      </w:r>
      <w:r>
        <w:t xml:space="preserve">supplementary analysis.</w:t>
      </w:r>
    </w:p>
    <w:p>
      <w:pPr>
        <w:numPr>
          <w:ilvl w:val="0"/>
          <w:numId w:val="1001"/>
        </w:numPr>
      </w:pPr>
      <w:r>
        <w:t xml:space="preserve">Aim 2: Describe the complete Dpre distribution among SORA cases</w:t>
      </w:r>
      <w:r>
        <w:t xml:space="preserve"> </w:t>
      </w:r>
      <w:r>
        <w:t xml:space="preserve">vaccinated before onset and evaluate prespecified 0–2-day and</w:t>
      </w:r>
      <w:r>
        <w:t xml:space="preserve"> </w:t>
      </w:r>
      <w:r>
        <w:t xml:space="preserve">0–7-day windows plus a multiplicity-adjusted moving-window scan.</w:t>
      </w:r>
      <w:r>
        <w:t xml:space="preserve"> </w:t>
      </w:r>
      <w:r>
        <w:t xml:space="preserve">These analyses are exploratory and do not assume a uniform natural</w:t>
      </w:r>
      <w:r>
        <w:t xml:space="preserve"> </w:t>
      </w:r>
      <w:r>
        <w:t xml:space="preserve">onset distribution.</w:t>
      </w:r>
    </w:p>
    <w:p>
      <w:pPr>
        <w:numPr>
          <w:ilvl w:val="0"/>
          <w:numId w:val="1001"/>
        </w:numPr>
      </w:pPr>
      <w:r>
        <w:t xml:space="preserve">Aim 3: Compare, within each clinic and overall, the proportion with</w:t>
      </w:r>
      <w:r>
        <w:t xml:space="preserve"> </w:t>
      </w:r>
      <w:r>
        <w:t xml:space="preserve">no documented vaccination through 24 months among qualifying SORA</w:t>
      </w:r>
      <w:r>
        <w:t xml:space="preserve"> </w:t>
      </w:r>
      <w:r>
        <w:t xml:space="preserve">cases with the corresponding proportion among all clinic patients</w:t>
      </w:r>
      <w:r>
        <w:t xml:space="preserve"> </w:t>
      </w:r>
      <w:r>
        <w:t xml:space="preserve">whose vaccination status through 24 months can be established.</w:t>
      </w:r>
    </w:p>
    <w:p>
      <w:pPr>
        <w:pStyle w:val="FirstParagraph"/>
      </w:pPr>
      <w:r>
        <w:t xml:space="preserve">No confirmatory causal hypothesis is proposed. All language in reports</w:t>
      </w:r>
      <w:r>
        <w:t xml:space="preserve"> </w:t>
      </w:r>
      <w:r>
        <w:t xml:space="preserve">will distinguish temporal association from causation.</w:t>
      </w:r>
    </w:p>
    <w:bookmarkEnd w:id="13"/>
    <w:bookmarkStart w:id="14" w:name="Xd3c214e92ba4ef7bb182c29b9e1aff6f805a076"/>
    <w:p>
      <w:pPr>
        <w:pStyle w:val="Heading2"/>
      </w:pPr>
      <w:r>
        <w:t xml:space="preserve">4. Study design and setting</w:t>
      </w:r>
    </w:p>
    <w:p>
      <w:pPr>
        <w:pStyle w:val="FirstParagraph"/>
      </w:pPr>
      <w:r>
        <w:t xml:space="preserve">Retrospective, multisite clinical case series using only records and</w:t>
      </w:r>
      <w:r>
        <w:t xml:space="preserve"> </w:t>
      </w:r>
      <w:r>
        <w:t xml:space="preserve">clinical data created before the study cutoff date of [date] for</w:t>
      </w:r>
      <w:r>
        <w:t xml:space="preserve"> </w:t>
      </w:r>
      <w:r>
        <w:t xml:space="preserve">purposes of clinical care, not for this research. Clinic personnel will</w:t>
      </w:r>
      <w:r>
        <w:t xml:space="preserve"> </w:t>
      </w:r>
      <w:r>
        <w:t xml:space="preserve">screen records, verify eligibility,</w:t>
      </w:r>
      <w:r>
        <w:t xml:space="preserve"> </w:t>
      </w:r>
      <w:r>
        <w:t xml:space="preserve">abstract source dates, calculate intervals locally, remove identifiers,</w:t>
      </w:r>
      <w:r>
        <w:t xml:space="preserve"> </w:t>
      </w:r>
      <w:r>
        <w:t xml:space="preserve">and transmit only the approved dataset. The coordinating team will not</w:t>
      </w:r>
      <w:r>
        <w:t xml:space="preserve"> </w:t>
      </w:r>
      <w:r>
        <w:t xml:space="preserve">contact patients and will not access clinic electronic medical records</w:t>
      </w:r>
      <w:r>
        <w:t xml:space="preserve"> </w:t>
      </w:r>
      <w:r>
        <w:t xml:space="preserve">or linkage keys. The study will enroll at least 300 eligible records in</w:t>
      </w:r>
      <w:r>
        <w:t xml:space="preserve"> </w:t>
      </w:r>
      <w:r>
        <w:t xml:space="preserve">total from at least five participating clinics. Each clinic will</w:t>
      </w:r>
      <w:r>
        <w:t xml:space="preserve"> </w:t>
      </w:r>
      <w:r>
        <w:t xml:space="preserve">contribute all eligible records identified during its prespecified</w:t>
      </w:r>
      <w:r>
        <w:t xml:space="preserve"> </w:t>
      </w:r>
      <w:r>
        <w:t xml:space="preserve">ascertainment period. No fixed number is required from an individual</w:t>
      </w:r>
      <w:r>
        <w:t xml:space="preserve"> </w:t>
      </w:r>
      <w:r>
        <w:t xml:space="preserve">clinic, and enrollment will not be stopped or extended based on observed</w:t>
      </w:r>
      <w:r>
        <w:t xml:space="preserve"> </w:t>
      </w:r>
      <w:r>
        <w:t xml:space="preserve">timing results. The final minimum sample-size requirement will be</w:t>
      </w:r>
      <w:r>
        <w:t xml:space="preserve"> </w:t>
      </w:r>
      <w:r>
        <w:t xml:space="preserve">confirmed through simulation by the study statistician before data</w:t>
      </w:r>
      <w:r>
        <w:t xml:space="preserve"> </w:t>
      </w:r>
      <w:r>
        <w:t xml:space="preserve">collection begins.</w:t>
      </w:r>
    </w:p>
    <w:bookmarkEnd w:id="14"/>
    <w:bookmarkStart w:id="15" w:name="Xf39e739640b451916791e78cc7a9b93389ae618"/>
    <w:p>
      <w:pPr>
        <w:pStyle w:val="Heading2"/>
      </w:pPr>
      <w:r>
        <w:t xml:space="preserve">5. Operational definition of SORA</w:t>
      </w:r>
    </w:p>
    <w:p>
      <w:pPr>
        <w:pStyle w:val="FirstParagraph"/>
      </w:pPr>
      <w:r>
        <w:t xml:space="preserve">A record qualifies only when all criteria below are documented. “Sudden</w:t>
      </w:r>
      <w:r>
        <w:t xml:space="preserve"> </w:t>
      </w:r>
      <w:r>
        <w:t xml:space="preserve">onset” means a parent or primary caregiver identified a specific</w:t>
      </w:r>
      <w:r>
        <w:t xml:space="preserve"> </w:t>
      </w:r>
      <w:r>
        <w:t xml:space="preserve">calendar date when persistent</w:t>
      </w:r>
      <w:r>
        <w:t xml:space="preserve"> </w:t>
      </w:r>
      <w:r>
        <w:t xml:space="preserve">new ASD-relevant behaviors or a marked loss of previously acquired</w:t>
      </w:r>
      <w:r>
        <w:t xml:space="preserve"> </w:t>
      </w:r>
      <w:r>
        <w:t xml:space="preserve">developmental skills first became obvious. Examples may include new</w:t>
      </w:r>
      <w:r>
        <w:t xml:space="preserve"> </w:t>
      </w:r>
      <w:r>
        <w:t xml:space="preserve">persistent head banging or other repetitive behavior, loss of eye</w:t>
      </w:r>
      <w:r>
        <w:t xml:space="preserve"> </w:t>
      </w:r>
      <w:r>
        <w:t xml:space="preserve">contact or reciprocal social engagement, or marked loss of language or</w:t>
      </w:r>
      <w:r>
        <w:t xml:space="preserve"> </w:t>
      </w:r>
      <w:r>
        <w:t xml:space="preserve">another acquired skill. Transient post-vaccination symptoms alone</w:t>
      </w:r>
      <w:r>
        <w:t xml:space="preserve"> </w:t>
      </w:r>
      <w:r>
        <w:t xml:space="preserve">(fever, irritability, sleep change, reduced appetite) do not constitute</w:t>
      </w:r>
      <w:r>
        <w:t xml:space="preserve"> </w:t>
      </w:r>
      <w:r>
        <w:t xml:space="preserve">regression.</w:t>
      </w:r>
    </w:p>
    <w:bookmarkEnd w:id="15"/>
    <w:bookmarkStart w:id="18" w:name="X8cece9b7b7e0b1bd8b6e04c287ec54e6234b94e"/>
    <w:p>
      <w:pPr>
        <w:pStyle w:val="Heading2"/>
      </w:pPr>
      <w:r>
        <w:t xml:space="preserve">6. Eligibility criteria</w:t>
      </w:r>
    </w:p>
    <w:bookmarkStart w:id="16" w:name="inclusion"/>
    <w:p>
      <w:pPr>
        <w:pStyle w:val="Heading3"/>
      </w:pPr>
      <w:r>
        <w:t xml:space="preserve">Inclusion</w:t>
      </w:r>
    </w:p>
    <w:p>
      <w:pPr>
        <w:numPr>
          <w:ilvl w:val="0"/>
          <w:numId w:val="1002"/>
        </w:numPr>
      </w:pPr>
      <w:r>
        <w:t xml:space="preserve">Age 0–60 months at the documented onset.</w:t>
      </w:r>
    </w:p>
    <w:p>
      <w:pPr>
        <w:numPr>
          <w:ilvl w:val="0"/>
          <w:numId w:val="1002"/>
        </w:numPr>
      </w:pPr>
      <w:r>
        <w:t xml:space="preserve">Subsequent ASD diagnosis documented by a qualified clinician using the</w:t>
      </w:r>
      <w:r>
        <w:t xml:space="preserve"> </w:t>
      </w:r>
      <w:r>
        <w:t xml:space="preserve">clinic’s standard diagnostic process; diagnostic method recorded when</w:t>
      </w:r>
      <w:r>
        <w:t xml:space="preserve"> </w:t>
      </w:r>
      <w:r>
        <w:t xml:space="preserve">available.</w:t>
      </w:r>
    </w:p>
    <w:p>
      <w:pPr>
        <w:numPr>
          <w:ilvl w:val="0"/>
          <w:numId w:val="1002"/>
        </w:numPr>
      </w:pPr>
      <w:r>
        <w:t xml:space="preserve">Documentation that development before onset was described as typical</w:t>
      </w:r>
      <w:r>
        <w:t xml:space="preserve"> </w:t>
      </w:r>
      <w:r>
        <w:t xml:space="preserve">or meeting expected milestones, with no persistent ASD-specific</w:t>
      </w:r>
      <w:r>
        <w:t xml:space="preserve"> </w:t>
      </w:r>
      <w:r>
        <w:t xml:space="preserve">concern recorded before the index onset.</w:t>
      </w:r>
    </w:p>
    <w:p>
      <w:pPr>
        <w:numPr>
          <w:ilvl w:val="0"/>
          <w:numId w:val="1002"/>
        </w:numPr>
      </w:pPr>
      <w:r>
        <w:t xml:space="preserve">A parent/caregiver-reported specific calendar onset date for a</w:t>
      </w:r>
      <w:r>
        <w:t xml:space="preserve"> </w:t>
      </w:r>
      <w:r>
        <w:t xml:space="preserve">persistent change meeting the SORA definition.</w:t>
      </w:r>
    </w:p>
    <w:p>
      <w:pPr>
        <w:numPr>
          <w:ilvl w:val="0"/>
          <w:numId w:val="1002"/>
        </w:numPr>
      </w:pPr>
      <w:r>
        <w:t xml:space="preserve">Vaccination history sufficient to determine whether any vaccination</w:t>
      </w:r>
      <w:r>
        <w:t xml:space="preserve"> </w:t>
      </w:r>
      <w:r>
        <w:t xml:space="preserve">occurred before onset. A preceding vaccination date is required only</w:t>
      </w:r>
      <w:r>
        <w:t xml:space="preserve"> </w:t>
      </w:r>
      <w:r>
        <w:t xml:space="preserve">for cases classified as vaccinated before onset. Absence of a later</w:t>
      </w:r>
      <w:r>
        <w:t xml:space="preserve"> </w:t>
      </w:r>
      <w:r>
        <w:t xml:space="preserve">vaccination does not exclude a case.</w:t>
      </w:r>
    </w:p>
    <w:p>
      <w:pPr>
        <w:numPr>
          <w:ilvl w:val="0"/>
          <w:numId w:val="1002"/>
        </w:numPr>
      </w:pPr>
      <w:r>
        <w:t xml:space="preserve">Record falls within the clinic’s prespecified ascertainment period:</w:t>
      </w:r>
      <w:r>
        <w:t xml:space="preserve"> </w:t>
      </w:r>
      <w:r>
        <w:t xml:space="preserve">[start year] through [end year].</w:t>
      </w:r>
    </w:p>
    <w:bookmarkEnd w:id="16"/>
    <w:bookmarkStart w:id="17" w:name="exclusion"/>
    <w:p>
      <w:pPr>
        <w:pStyle w:val="Heading3"/>
      </w:pPr>
      <w:r>
        <w:t xml:space="preserve">Exclusion</w:t>
      </w:r>
    </w:p>
    <w:p>
      <w:pPr>
        <w:numPr>
          <w:ilvl w:val="0"/>
          <w:numId w:val="1003"/>
        </w:numPr>
      </w:pPr>
      <w:r>
        <w:t xml:space="preserve">Documented genetic, neurologic, metabolic, infectious, traumatic, or</w:t>
      </w:r>
      <w:r>
        <w:t xml:space="preserve"> </w:t>
      </w:r>
      <w:r>
        <w:t xml:space="preserve">other condition judged to explain regression (examples: Rett syndrome,</w:t>
      </w:r>
      <w:r>
        <w:t xml:space="preserve"> </w:t>
      </w:r>
      <w:r>
        <w:t xml:space="preserve">Fragile X syndrome, epileptic encephalopathy), unless retained in a</w:t>
      </w:r>
      <w:r>
        <w:t xml:space="preserve"> </w:t>
      </w:r>
      <w:r>
        <w:t xml:space="preserve">prespecified sensitivity stratum.</w:t>
      </w:r>
    </w:p>
    <w:p>
      <w:pPr>
        <w:numPr>
          <w:ilvl w:val="0"/>
          <w:numId w:val="1003"/>
        </w:numPr>
      </w:pPr>
      <w:r>
        <w:t xml:space="preserve">Developmental or ASD-specific concern documented before the proposed</w:t>
      </w:r>
      <w:r>
        <w:t xml:space="preserve"> </w:t>
      </w:r>
      <w:r>
        <w:t xml:space="preserve">onset date.</w:t>
      </w:r>
    </w:p>
    <w:p>
      <w:pPr>
        <w:numPr>
          <w:ilvl w:val="0"/>
          <w:numId w:val="1003"/>
        </w:numPr>
      </w:pPr>
      <w:r>
        <w:t xml:space="preserve">Gradual, interval-censored, uncertain, or retrospectively approximated</w:t>
      </w:r>
      <w:r>
        <w:t xml:space="preserve"> </w:t>
      </w:r>
      <w:r>
        <w:t xml:space="preserve">onset without a specific calendar date; these are logged as screen</w:t>
      </w:r>
      <w:r>
        <w:t xml:space="preserve"> </w:t>
      </w:r>
      <w:r>
        <w:t xml:space="preserve">failures and are not included in the analytic cohort.</w:t>
      </w:r>
    </w:p>
    <w:p>
      <w:pPr>
        <w:numPr>
          <w:ilvl w:val="0"/>
          <w:numId w:val="1003"/>
        </w:numPr>
      </w:pPr>
      <w:r>
        <w:t xml:space="preserve">Onset defined only by nonspecific acute symptoms without persistent</w:t>
      </w:r>
      <w:r>
        <w:t xml:space="preserve"> </w:t>
      </w:r>
      <w:r>
        <w:t xml:space="preserve">developmental/behavioral change.</w:t>
      </w:r>
    </w:p>
    <w:p>
      <w:pPr>
        <w:numPr>
          <w:ilvl w:val="0"/>
          <w:numId w:val="1003"/>
        </w:numPr>
      </w:pPr>
      <w:r>
        <w:t xml:space="preserve">Conflicting onset information that cannot be resolved by the site</w:t>
      </w:r>
      <w:r>
        <w:t xml:space="preserve"> </w:t>
      </w:r>
      <w:r>
        <w:t xml:space="preserve">adjudicator, or vaccination history insufficient to classify exposure</w:t>
      </w:r>
      <w:r>
        <w:t xml:space="preserve"> </w:t>
      </w:r>
      <w:r>
        <w:t xml:space="preserve">before onset.</w:t>
      </w:r>
    </w:p>
    <w:bookmarkEnd w:id="17"/>
    <w:bookmarkEnd w:id="18"/>
    <w:bookmarkStart w:id="19" w:name="Xf82a4025126ff7fbd7432abfc3f3e53c3419f12"/>
    <w:p>
      <w:pPr>
        <w:pStyle w:val="Heading2"/>
      </w:pPr>
      <w:r>
        <w:t xml:space="preserve">7. Identification, screening, and adjudication</w:t>
      </w:r>
    </w:p>
    <w:p>
      <w:pPr>
        <w:numPr>
          <w:ilvl w:val="0"/>
          <w:numId w:val="1004"/>
        </w:numPr>
      </w:pPr>
      <w:r>
        <w:t xml:space="preserve">Each site defines the complete ASD source population, referral type,</w:t>
      </w:r>
      <w:r>
        <w:t xml:space="preserve"> </w:t>
      </w:r>
      <w:r>
        <w:t xml:space="preserve">reproducible search method, and ascertainment dates</w:t>
      </w:r>
      <w:r>
        <w:t xml:space="preserve"> </w:t>
      </w:r>
      <w:r>
        <w:t xml:space="preserve">before screening. Searches may use ASD diagnosis codes and terms</w:t>
      </w:r>
      <w:r>
        <w:t xml:space="preserve"> </w:t>
      </w:r>
      <w:r>
        <w:t xml:space="preserve">indicating regression or skill loss.</w:t>
      </w:r>
    </w:p>
    <w:p>
      <w:pPr>
        <w:numPr>
          <w:ilvl w:val="0"/>
          <w:numId w:val="1004"/>
        </w:numPr>
      </w:pPr>
      <w:r>
        <w:t xml:space="preserve">Site staff create a screening log containing aggregate counts only:</w:t>
      </w:r>
      <w:r>
        <w:t xml:space="preserve"> </w:t>
      </w:r>
      <w:r>
        <w:t xml:space="preserve">records screened, excluded by each criterion, eligible, and missing</w:t>
      </w:r>
      <w:r>
        <w:t xml:space="preserve"> </w:t>
      </w:r>
      <w:r>
        <w:t xml:space="preserve">timing data.</w:t>
      </w:r>
    </w:p>
    <w:p>
      <w:pPr>
        <w:numPr>
          <w:ilvl w:val="0"/>
          <w:numId w:val="1004"/>
        </w:numPr>
      </w:pPr>
      <w:r>
        <w:t xml:space="preserve">Two trained site reviewers independently assess eligibility where</w:t>
      </w:r>
      <w:r>
        <w:t xml:space="preserve"> </w:t>
      </w:r>
      <w:r>
        <w:t xml:space="preserve">feasible. Disagreements are resolved by a third clinician without</w:t>
      </w:r>
      <w:r>
        <w:t xml:space="preserve"> </w:t>
      </w:r>
      <w:r>
        <w:t xml:space="preserve">considering calculated Dpre or Dpost. Eligibility details are not</w:t>
      </w:r>
      <w:r>
        <w:t xml:space="preserve"> </w:t>
      </w:r>
      <w:r>
        <w:t xml:space="preserve">transmitted.</w:t>
      </w:r>
    </w:p>
    <w:p>
      <w:pPr>
        <w:numPr>
          <w:ilvl w:val="0"/>
          <w:numId w:val="1004"/>
        </w:numPr>
      </w:pPr>
      <w:r>
        <w:t xml:space="preserve">Onset is taken from the earliest parent/caregiver report documented</w:t>
      </w:r>
      <w:r>
        <w:t xml:space="preserve"> </w:t>
      </w:r>
      <w:r>
        <w:t xml:space="preserve">in the record that supports an unambiguous onset date under the</w:t>
      </w:r>
      <w:r>
        <w:t xml:space="preserve"> </w:t>
      </w:r>
      <w:r>
        <w:t xml:space="preserve">protocol. The source date and narrative remain at the clinic.</w:t>
      </w:r>
    </w:p>
    <w:p>
      <w:pPr>
        <w:numPr>
          <w:ilvl w:val="0"/>
          <w:numId w:val="1004"/>
        </w:numPr>
      </w:pPr>
      <w:r>
        <w:t xml:space="preserve">Vaccination dates must reflect administration, not ordering,</w:t>
      </w:r>
      <w:r>
        <w:t xml:space="preserve"> </w:t>
      </w:r>
      <w:r>
        <w:t xml:space="preserve">billing, recommendation, or a generic well-child visit. Multiple</w:t>
      </w:r>
      <w:r>
        <w:t xml:space="preserve"> </w:t>
      </w:r>
      <w:r>
        <w:t xml:space="preserve">vaccines administered on the same calendar date count as one</w:t>
      </w:r>
      <w:r>
        <w:t xml:space="preserve"> </w:t>
      </w:r>
      <w:r>
        <w:t xml:space="preserve">vaccination event. Vaccine product, manufacturer, dose, lot, and</w:t>
      </w:r>
      <w:r>
        <w:t xml:space="preserve"> </w:t>
      </w:r>
      <w:r>
        <w:t xml:space="preserve">antigen information will not be collected or transmitted. Outside</w:t>
      </w:r>
      <w:r>
        <w:t xml:space="preserve"> </w:t>
      </w:r>
      <w:r>
        <w:t xml:space="preserve">immunization histories must be sufficiently complete to support the</w:t>
      </w:r>
      <w:r>
        <w:t xml:space="preserve"> </w:t>
      </w:r>
      <w:r>
        <w:t xml:space="preserve">assigned exposure classification.</w:t>
      </w:r>
    </w:p>
    <w:p>
      <w:pPr>
        <w:numPr>
          <w:ilvl w:val="0"/>
          <w:numId w:val="1004"/>
        </w:numPr>
      </w:pPr>
      <w:r>
        <w:t xml:space="preserve">The site calculates Dpre and Dpost only after eligibility is locked.</w:t>
      </w:r>
      <w:r>
        <w:t xml:space="preserve"> </w:t>
      </w:r>
      <w:r>
        <w:t xml:space="preserve">Negative values are invalid. Same-day administration and onset are</w:t>
      </w:r>
      <w:r>
        <w:t xml:space="preserve"> </w:t>
      </w:r>
      <w:r>
        <w:t xml:space="preserve">coded Dpre=0. The endpoint is parent-recognized onset, not asserted</w:t>
      </w:r>
      <w:r>
        <w:t xml:space="preserve"> </w:t>
      </w:r>
      <w:r>
        <w:t xml:space="preserve">biological onset. If onset and vaccination occur on the same date,</w:t>
      </w:r>
      <w:r>
        <w:t xml:space="preserve"> </w:t>
      </w:r>
      <w:r>
        <w:t xml:space="preserve">within-day ordering will not be inferred unless contemporaneously</w:t>
      </w:r>
      <w:r>
        <w:t xml:space="preserve"> </w:t>
      </w:r>
      <w:r>
        <w:t xml:space="preserve">documented; same-day cases will also be reported separately.</w:t>
      </w:r>
    </w:p>
    <w:bookmarkEnd w:id="19"/>
    <w:bookmarkStart w:id="20" w:name="Xd38b0e0a14fe4b0e8f5d50d0c5724d19b5c6006"/>
    <w:p>
      <w:pPr>
        <w:pStyle w:val="Heading2"/>
      </w:pPr>
      <w:r>
        <w:t xml:space="preserve">8. Variables and data collection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Variable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Definition / coding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code</w:t>
            </w:r>
          </w:p>
        </w:tc>
        <w:tc>
          <w:tcPr/>
          <w:p>
            <w:pPr>
              <w:pStyle w:val="Compact"/>
            </w:pPr>
            <w:r>
              <w:t xml:space="preserve">Nonidentifying code assigned for analysis; clinic-name mapping is restricted</w:t>
            </w:r>
          </w:p>
        </w:tc>
        <w:tc>
          <w:tcPr/>
          <w:p>
            <w:pPr>
              <w:pStyle w:val="Compact"/>
            </w:pPr>
            <w:r>
              <w:t xml:space="preserve">Required internally; recoded or removed before public release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Clinic row ID</w:t>
            </w:r>
          </w:p>
        </w:tc>
        <w:tc>
          <w:tcPr/>
          <w:p>
            <w:pPr>
              <w:pStyle w:val="Compact"/>
            </w:pPr>
            <w:r>
              <w:t xml:space="preserve">Arbitrary sequential or random code; not derived from identifiers; mapping retained only by clinic</w:t>
            </w:r>
          </w:p>
        </w:tc>
        <w:tc>
          <w:tcPr/>
          <w:p>
            <w:pPr>
              <w:pStyle w:val="Compact"/>
            </w:pPr>
            <w:r>
              <w:t xml:space="preserve">Required; replaced before public release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 at onset</w:t>
            </w:r>
          </w:p>
        </w:tc>
        <w:tc>
          <w:tcPr/>
          <w:p>
            <w:pPr>
              <w:pStyle w:val="Compact"/>
            </w:pPr>
            <w:r>
              <w:t xml:space="preserve">Age in whole days on the parent-recognized onset date, calculated locally from dates that are not transmitted; public release may bin age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Sex</w:t>
            </w:r>
          </w:p>
        </w:tc>
        <w:tc>
          <w:tcPr/>
          <w:p>
            <w:pPr>
              <w:pStyle w:val="Compact"/>
            </w:pPr>
            <w:r>
              <w:t xml:space="preserve">Clinic-recorded value using prespecified categories; suppress small cells publicly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Vaccination before onset</w:t>
            </w:r>
          </w:p>
        </w:tc>
        <w:tc>
          <w:tcPr/>
          <w:p>
            <w:pPr>
              <w:pStyle w:val="Compact"/>
            </w:pPr>
            <w:r>
              <w:t xml:space="preserve">Yes = at least one documented vaccination before/on onset; No = documented absence before onset; Unknown is not eligible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Dpre</w:t>
            </w:r>
          </w:p>
        </w:tc>
        <w:tc>
          <w:tcPr/>
          <w:p>
            <w:pPr>
              <w:pStyle w:val="Compact"/>
            </w:pPr>
            <w:r>
              <w:t xml:space="preserve">Calendar days: onset minus most recent administered vaccination before/on onset; NA when vaccination-before-onset = No</w:t>
            </w:r>
          </w:p>
        </w:tc>
        <w:tc>
          <w:tcPr/>
          <w:p>
            <w:pPr>
              <w:pStyle w:val="Compact"/>
            </w:pPr>
            <w:r>
              <w:t xml:space="preserve">Required when applicable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Dpost</w:t>
            </w:r>
          </w:p>
        </w:tc>
        <w:tc>
          <w:tcPr/>
          <w:p>
            <w:pPr>
              <w:pStyle w:val="Compact"/>
            </w:pPr>
            <w:r>
              <w:t xml:space="preserve">Calendar days: first administered vaccination after onset minus onset; NA if none is documented</w:t>
            </w:r>
          </w:p>
        </w:tc>
        <w:tc>
          <w:tcPr/>
          <w:p>
            <w:pPr>
              <w:pStyle w:val="Compact"/>
            </w:pPr>
            <w:r>
              <w:t xml:space="preserve">Optional secondary timing variable</w:t>
            </w:r>
          </w:p>
        </w:tc>
      </w:tr>
    </w:tbl>
    <w:p>
      <w:pPr>
        <w:pStyle w:val="BodyText"/>
      </w:pPr>
      <w:r>
        <w:t xml:space="preserve">The patient-level dataset contains the seven variables shown above. Sex</w:t>
      </w:r>
      <w:r>
        <w:t xml:space="preserve"> </w:t>
      </w:r>
      <w:r>
        <w:t xml:space="preserve">is recorded as Female, Male, Intersex, or Unknown/not recorded; clinic</w:t>
      </w:r>
      <w:r>
        <w:t xml:space="preserve"> </w:t>
      </w:r>
      <w:r>
        <w:t xml:space="preserve">staff will not infer a value. No</w:t>
      </w:r>
      <w:r>
        <w:t xml:space="preserve"> </w:t>
      </w:r>
      <w:r>
        <w:t xml:space="preserve">calendar dates, phenotype variables, clinical narratives, vaccine</w:t>
      </w:r>
      <w:r>
        <w:t xml:space="preserve"> </w:t>
      </w:r>
      <w:r>
        <w:t xml:space="preserve">products, clinic names, or eligibility details leave the clinic. The</w:t>
      </w:r>
      <w:r>
        <w:t xml:space="preserve"> </w:t>
      </w:r>
      <w:r>
        <w:t xml:space="preserve">nonidentifying site code is retained internally only to support</w:t>
      </w:r>
      <w:r>
        <w:t xml:space="preserve"> </w:t>
      </w:r>
      <w:r>
        <w:t xml:space="preserve">site-aware analyses.</w:t>
      </w:r>
    </w:p>
    <w:bookmarkEnd w:id="20"/>
    <w:bookmarkStart w:id="28" w:name="Xf9fabf6844541499ab840434c2ee93523a991e4"/>
    <w:p>
      <w:pPr>
        <w:pStyle w:val="Heading2"/>
      </w:pPr>
      <w:r>
        <w:t xml:space="preserve">9. Statistical analysis plan</w:t>
      </w:r>
    </w:p>
    <w:bookmarkStart w:id="21" w:name="Xb9be467960ffee3b19b2aad4955293885f1fd4f"/>
    <w:p>
      <w:pPr>
        <w:pStyle w:val="Heading3"/>
      </w:pPr>
      <w:r>
        <w:t xml:space="preserve">9.1 Analysis populations</w:t>
      </w:r>
    </w:p>
    <w:p>
      <w:pPr>
        <w:pStyle w:val="Compact"/>
        <w:numPr>
          <w:ilvl w:val="0"/>
          <w:numId w:val="1005"/>
        </w:numPr>
      </w:pPr>
      <w:r>
        <w:t xml:space="preserve">Age-reference analysis: all eligible SORA records with known</w:t>
      </w:r>
      <w:r>
        <w:t xml:space="preserve"> </w:t>
      </w:r>
      <w:r>
        <w:t xml:space="preserve">vaccination-before-onset status, regardless of whether a subsequent</w:t>
      </w:r>
      <w:r>
        <w:t xml:space="preserve"> </w:t>
      </w:r>
      <w:r>
        <w:t xml:space="preserve">vaccination occurred.</w:t>
      </w:r>
    </w:p>
    <w:p>
      <w:pPr>
        <w:pStyle w:val="Compact"/>
        <w:numPr>
          <w:ilvl w:val="0"/>
          <w:numId w:val="1005"/>
        </w:numPr>
      </w:pPr>
      <w:r>
        <w:t xml:space="preserve">Dpre analysis: eligible SORA records vaccinated before onset with a</w:t>
      </w:r>
      <w:r>
        <w:t xml:space="preserve"> </w:t>
      </w:r>
      <w:r>
        <w:t xml:space="preserve">verified preceding administration date. Dpost is not required.</w:t>
      </w:r>
    </w:p>
    <w:p>
      <w:pPr>
        <w:pStyle w:val="Compact"/>
        <w:numPr>
          <w:ilvl w:val="0"/>
          <w:numId w:val="1005"/>
        </w:numPr>
      </w:pPr>
      <w:r>
        <w:t xml:space="preserve">Adjacent-interval analysis: the subset with verified vaccination dates</w:t>
      </w:r>
      <w:r>
        <w:t xml:space="preserve"> </w:t>
      </w:r>
      <w:r>
        <w:t xml:space="preserve">on both sides of onset; this is secondary because vaccination behavior</w:t>
      </w:r>
      <w:r>
        <w:t xml:space="preserve"> </w:t>
      </w:r>
      <w:r>
        <w:t xml:space="preserve">after onset may be affected by the onset itself.</w:t>
      </w:r>
    </w:p>
    <w:p>
      <w:pPr>
        <w:pStyle w:val="Compact"/>
        <w:numPr>
          <w:ilvl w:val="0"/>
          <w:numId w:val="1005"/>
        </w:numPr>
      </w:pPr>
      <w:r>
        <w:t xml:space="preserve">Aggregate 24-month analysis: clinic counts restricted to patients and</w:t>
      </w:r>
      <w:r>
        <w:t xml:space="preserve"> </w:t>
      </w:r>
      <w:r>
        <w:t xml:space="preserve">SORA cases whose records are sufficient to establish vaccination</w:t>
      </w:r>
      <w:r>
        <w:t xml:space="preserve"> </w:t>
      </w:r>
      <w:r>
        <w:t xml:space="preserve">status through 24 months. Unknown histories are excluded from both</w:t>
      </w:r>
      <w:r>
        <w:t xml:space="preserve"> </w:t>
      </w:r>
      <w:r>
        <w:t xml:space="preserve">numerator and denominator and reported separately.</w:t>
      </w:r>
    </w:p>
    <w:bookmarkEnd w:id="21"/>
    <w:bookmarkStart w:id="22" w:name="X7d3ebbf94b76a898032def6d14159704b33edf1"/>
    <w:p>
      <w:pPr>
        <w:pStyle w:val="Heading3"/>
      </w:pPr>
      <w:r>
        <w:t xml:space="preserve">9.2 Age-at-onset reference analysis</w:t>
      </w:r>
    </w:p>
    <w:p>
      <w:pPr>
        <w:pStyle w:val="FirstParagraph"/>
      </w:pPr>
      <w:r>
        <w:t xml:space="preserve">The broad age-dependent SORA-onset curve will be estimated from all</w:t>
      </w:r>
      <w:r>
        <w:t xml:space="preserve"> </w:t>
      </w:r>
      <w:r>
        <w:t xml:space="preserve">qualifying cases using age in whole days. Before database lock, the</w:t>
      </w:r>
      <w:r>
        <w:t xml:space="preserve"> </w:t>
      </w:r>
      <w:r>
        <w:t xml:space="preserve">statistician will prespecify a smoothing scale substantially wider than</w:t>
      </w:r>
      <w:r>
        <w:t xml:space="preserve"> </w:t>
      </w:r>
      <w:r>
        <w:t xml:space="preserve">the 1–7-day windows being examined, so short localized peaks are not</w:t>
      </w:r>
      <w:r>
        <w:t xml:space="preserve"> </w:t>
      </w:r>
      <w:r>
        <w:t xml:space="preserve">absorbed into the developmental-age trend. Estimation will be</w:t>
      </w:r>
      <w:r>
        <w:t xml:space="preserve"> </w:t>
      </w:r>
      <w:r>
        <w:t xml:space="preserve">cross-fitted by site: each site's expected age curve will be estimated</w:t>
      </w:r>
      <w:r>
        <w:t xml:space="preserve"> </w:t>
      </w:r>
      <w:r>
        <w:t xml:space="preserve">without that site's cases, or by another prespecified cross-fitting</w:t>
      </w:r>
      <w:r>
        <w:t xml:space="preserve"> </w:t>
      </w:r>
      <w:r>
        <w:t xml:space="preserve">scheme appropriate to site sizes. Raw age histograms, the smooth curve,</w:t>
      </w:r>
      <w:r>
        <w:t xml:space="preserve"> </w:t>
      </w:r>
      <w:r>
        <w:t xml:space="preserve">site-specific displays, and leave-one-site-out results will be shown.</w:t>
      </w:r>
    </w:p>
    <w:p>
      <w:pPr>
        <w:pStyle w:val="BodyText"/>
      </w:pPr>
      <w:r>
        <w:t xml:space="preserve">For secondary age-adjusted analyses among cases with both adjacent</w:t>
      </w:r>
      <w:r>
        <w:t xml:space="preserve"> </w:t>
      </w:r>
      <w:r>
        <w:t xml:space="preserve">vaccination dates, the expected probability of onset on each eligible</w:t>
      </w:r>
      <w:r>
        <w:t xml:space="preserve"> </w:t>
      </w:r>
      <w:r>
        <w:t xml:space="preserve">day in the interval will be proportional to the cross-fitted smooth</w:t>
      </w:r>
      <w:r>
        <w:t xml:space="preserve"> </w:t>
      </w:r>
      <w:r>
        <w:t xml:space="preserve">onset frequency at that developmental age rather than assumed uniform.</w:t>
      </w:r>
      <w:r>
        <w:t xml:space="preserve"> </w:t>
      </w:r>
      <w:r>
        <w:t xml:space="preserve">The clinic-transmitted variables permit reconstruction of age at the</w:t>
      </w:r>
      <w:r>
        <w:t xml:space="preserve"> </w:t>
      </w:r>
      <w:r>
        <w:t xml:space="preserve">preceding vaccination as age-at-onset-days minus Dpre and age at the</w:t>
      </w:r>
      <w:r>
        <w:t xml:space="preserve"> </w:t>
      </w:r>
      <w:r>
        <w:t xml:space="preserve">subsequent vaccination as age-at-onset-days plus Dpost, without</w:t>
      </w:r>
      <w:r>
        <w:t xml:space="preserve"> </w:t>
      </w:r>
      <w:r>
        <w:t xml:space="preserve">transmitting calendar dates. Unvaccinated-before-onset cases will be</w:t>
      </w:r>
      <w:r>
        <w:t xml:space="preserve"> </w:t>
      </w:r>
      <w:r>
        <w:t xml:space="preserve">shown separately as a supplementary comparison, not as the sole source</w:t>
      </w:r>
      <w:r>
        <w:t xml:space="preserve"> </w:t>
      </w:r>
      <w:r>
        <w:t xml:space="preserve">of the baseline curve.</w:t>
      </w:r>
    </w:p>
    <w:p>
      <w:pPr>
        <w:pStyle w:val="BodyText"/>
      </w:pPr>
      <w:r>
        <w:t xml:space="preserve">The age curve is estimated from a selected case series and could contain</w:t>
      </w:r>
      <w:r>
        <w:t xml:space="preserve"> </w:t>
      </w:r>
      <w:r>
        <w:t xml:space="preserve">effects of vaccination or ascertainment. Cross-fitting and broad</w:t>
      </w:r>
      <w:r>
        <w:t xml:space="preserve"> </w:t>
      </w:r>
      <w:r>
        <w:t xml:space="preserve">smoothing reduce circularity but do not eliminate it; therefore this</w:t>
      </w:r>
      <w:r>
        <w:t xml:space="preserve"> </w:t>
      </w:r>
      <w:r>
        <w:t xml:space="preserve">analysis remains exploratory and does not estimate incidence or a causal</w:t>
      </w:r>
      <w:r>
        <w:t xml:space="preserve"> </w:t>
      </w:r>
      <w:r>
        <w:t xml:space="preserve">effect.</w:t>
      </w:r>
    </w:p>
    <w:bookmarkEnd w:id="22"/>
    <w:bookmarkStart w:id="23" w:name="Xcbd04d51aa7c3c1d1728a482d130d52820496be"/>
    <w:p>
      <w:pPr>
        <w:pStyle w:val="Heading3"/>
      </w:pPr>
      <w:r>
        <w:t xml:space="preserve">9.3 Dpre timing analysis</w:t>
      </w:r>
    </w:p>
    <w:p>
      <w:pPr>
        <w:pStyle w:val="FirstParagraph"/>
      </w:pPr>
      <w:r>
        <w:t xml:space="preserve">For cases vaccinated before onset, the complete integer-day Dpre</w:t>
      </w:r>
      <w:r>
        <w:t xml:space="preserve"> </w:t>
      </w:r>
      <w:r>
        <w:t xml:space="preserve">distribution will be shown with raw counts, proportions, an empirical</w:t>
      </w:r>
      <w:r>
        <w:t xml:space="preserve"> </w:t>
      </w:r>
      <w:r>
        <w:t xml:space="preserve">cumulative distribution, and site-stratified results. Prespecified</w:t>
      </w:r>
      <w:r>
        <w:t xml:space="preserve"> </w:t>
      </w:r>
      <w:r>
        <w:t xml:space="preserve">descriptive windows are 0–2 and 0–7 days. A moving-window scan will</w:t>
      </w:r>
      <w:r>
        <w:t xml:space="preserve"> </w:t>
      </w:r>
      <w:r>
        <w:t xml:space="preserve">evaluate every contiguous window of width 1–7 days with endpoints within</w:t>
      </w:r>
      <w:r>
        <w:t xml:space="preserve"> </w:t>
      </w:r>
      <w:r>
        <w:t xml:space="preserve">days 0–30, including a possible days 2–4 peak. The maximum standardized</w:t>
      </w:r>
      <w:r>
        <w:t xml:space="preserve"> </w:t>
      </w:r>
      <w:r>
        <w:t xml:space="preserve">excess statistic and its randomization-adjusted p value may be reported</w:t>
      </w:r>
      <w:r>
        <w:t xml:space="preserve"> </w:t>
      </w:r>
      <w:r>
        <w:t xml:space="preserve">only under a statistician-approved null model finalized before database</w:t>
      </w:r>
      <w:r>
        <w:t xml:space="preserve"> </w:t>
      </w:r>
      <w:r>
        <w:t xml:space="preserve">lock; otherwise the scan is descriptive. The selected peak will always</w:t>
      </w:r>
      <w:r>
        <w:t xml:space="preserve"> </w:t>
      </w:r>
      <w:r>
        <w:t xml:space="preserve">be labeled data-adaptive. The protocol does not assume onset is uniform</w:t>
      </w:r>
      <w:r>
        <w:t xml:space="preserve"> </w:t>
      </w:r>
      <w:r>
        <w:t xml:space="preserve">between vaccinations.</w:t>
      </w:r>
    </w:p>
    <w:p>
      <w:pPr>
        <w:pStyle w:val="BodyText"/>
      </w:pPr>
      <w:r>
        <w:t xml:space="preserve">The normalized position U=Dpre/(Dpre+Dpost) will be reported only as a</w:t>
      </w:r>
      <w:r>
        <w:t xml:space="preserve"> </w:t>
      </w:r>
      <w:r>
        <w:t xml:space="preserve">secondary sensitivity analysis among cases with a later vaccination. No</w:t>
      </w:r>
      <w:r>
        <w:t xml:space="preserve"> </w:t>
      </w:r>
      <w:r>
        <w:t xml:space="preserve">causal or confirmatory inference will rely on that complete-case subset.</w:t>
      </w:r>
    </w:p>
    <w:bookmarkEnd w:id="23"/>
    <w:bookmarkStart w:id="24" w:name="Xc2c9b5fbf3d3664e5a49a3368a3a6c3d0836356"/>
    <w:p>
      <w:pPr>
        <w:pStyle w:val="Heading3"/>
      </w:pPr>
      <w:r>
        <w:t xml:space="preserve">9.4 Aggregate 24-month comparison</w:t>
      </w:r>
    </w:p>
    <w:p>
      <w:pPr>
        <w:pStyle w:val="FirstParagraph"/>
      </w:pPr>
      <w:r>
        <w:t xml:space="preserve">Each clinic will provide separately from the patient-level file: (1) all</w:t>
      </w:r>
      <w:r>
        <w:t xml:space="preserve"> </w:t>
      </w:r>
      <w:r>
        <w:t xml:space="preserve">clinic patients with records sufficient to establish vaccination status</w:t>
      </w:r>
      <w:r>
        <w:t xml:space="preserve"> </w:t>
      </w:r>
      <w:r>
        <w:t xml:space="preserve">through 24 months; (2) those patients with no documented vaccination</w:t>
      </w:r>
      <w:r>
        <w:t xml:space="preserve"> </w:t>
      </w:r>
      <w:r>
        <w:t xml:space="preserve">through 24 months; (3) qualifying SORA cases with sufficient records to</w:t>
      </w:r>
      <w:r>
        <w:t xml:space="preserve"> </w:t>
      </w:r>
      <w:r>
        <w:t xml:space="preserve">establish vaccination status through 24 months; and (4) those SORA cases</w:t>
      </w:r>
      <w:r>
        <w:t xml:space="preserve"> </w:t>
      </w:r>
      <w:r>
        <w:t xml:space="preserve">with no documented vaccination through 24 months. The proportion</w:t>
      </w:r>
      <w:r>
        <w:t xml:space="preserve"> </w:t>
      </w:r>
      <w:r>
        <w:t xml:space="preserve">unvaccinated through 24 months among SORA cases will be compared with the</w:t>
      </w:r>
      <w:r>
        <w:t xml:space="preserve"> </w:t>
      </w:r>
      <w:r>
        <w:t xml:space="preserve">corresponding proportion in the clinic source population using</w:t>
      </w:r>
      <w:r>
        <w:t xml:space="preserve"> </w:t>
      </w:r>
      <w:r>
        <w:t xml:space="preserve">site-stratified estimates and a pooled method prespecified by the</w:t>
      </w:r>
      <w:r>
        <w:t xml:space="preserve"> </w:t>
      </w:r>
      <w:r>
        <w:t xml:space="preserve">statistician. These aggregate counts contain no patient-level data.</w:t>
      </w:r>
    </w:p>
    <w:p>
      <w:pPr>
        <w:pStyle w:val="BodyText"/>
      </w:pPr>
      <w:r>
        <w:t xml:space="preserve">This exploratory comparison does not estimate population-level vaccine</w:t>
      </w:r>
      <w:r>
        <w:t xml:space="preserve"> </w:t>
      </w:r>
      <w:r>
        <w:t xml:space="preserve">effects unless the clinic source population and follow-up are complete</w:t>
      </w:r>
      <w:r>
        <w:t xml:space="preserve"> </w:t>
      </w:r>
      <w:r>
        <w:t xml:space="preserve">and comparable. Unknown or incomplete histories will never be classified</w:t>
      </w:r>
      <w:r>
        <w:t xml:space="preserve"> </w:t>
      </w:r>
      <w:r>
        <w:t xml:space="preserve">as unvaccinated.</w:t>
      </w:r>
    </w:p>
    <w:bookmarkEnd w:id="24"/>
    <w:bookmarkStart w:id="25" w:name="X170c0877b138649bffbe8304ee693384b59d60d"/>
    <w:p>
      <w:pPr>
        <w:pStyle w:val="Heading3"/>
      </w:pPr>
      <w:r>
        <w:t xml:space="preserve">9.5 Missing data, site effects, and multiplicity</w:t>
      </w:r>
    </w:p>
    <w:p>
      <w:pPr>
        <w:pStyle w:val="FirstParagraph"/>
      </w:pPr>
      <w:r>
        <w:t xml:space="preserve">Missing Dpost does not exclude a case from the age-reference or Dpre</w:t>
      </w:r>
      <w:r>
        <w:t xml:space="preserve"> </w:t>
      </w:r>
      <w:r>
        <w:t xml:space="preserve">analyses. Missingness and exclusions will be reported by site and, when</w:t>
      </w:r>
      <w:r>
        <w:t xml:space="preserve"> </w:t>
      </w:r>
      <w:r>
        <w:t xml:space="preserve">observable, by age, sex, vaccination-before-onset status, and Dpre. Site</w:t>
      </w:r>
      <w:r>
        <w:t xml:space="preserve"> </w:t>
      </w:r>
      <w:r>
        <w:t xml:space="preserve">heterogeneity is an estimand; analyses will include site-stratified and</w:t>
      </w:r>
      <w:r>
        <w:t xml:space="preserve"> </w:t>
      </w:r>
      <w:r>
        <w:t xml:space="preserve">leave-one-site-out results. With only five or a small number of sites,</w:t>
      </w:r>
      <w:r>
        <w:t xml:space="preserve"> </w:t>
      </w:r>
      <w:r>
        <w:t xml:space="preserve">the statistician will use a small-sample-valid fixed-effect,</w:t>
      </w:r>
      <w:r>
        <w:t xml:space="preserve"> </w:t>
      </w:r>
      <w:r>
        <w:t xml:space="preserve">randomization, or hierarchical method rather than uncorrected</w:t>
      </w:r>
      <w:r>
        <w:t xml:space="preserve"> </w:t>
      </w:r>
      <w:r>
        <w:t xml:space="preserve">cluster-robust standard errors. Confirmatory and exploratory analyses,</w:t>
      </w:r>
      <w:r>
        <w:t xml:space="preserve"> </w:t>
      </w:r>
      <w:r>
        <w:t xml:space="preserve">if any, and their multiplicity family will be frozen before database</w:t>
      </w:r>
      <w:r>
        <w:t xml:space="preserve"> </w:t>
      </w:r>
      <w:r>
        <w:t xml:space="preserve">lock. No record will be excluded because its timing value is unfavorable</w:t>
      </w:r>
      <w:r>
        <w:t xml:space="preserve"> </w:t>
      </w:r>
      <w:r>
        <w:t xml:space="preserve">to a hypothesis.</w:t>
      </w:r>
    </w:p>
    <w:bookmarkEnd w:id="25"/>
    <w:bookmarkStart w:id="26" w:name="Xd9e05f5c57bd1dc1192502d5e02374e10a1dbf0"/>
    <w:p>
      <w:pPr>
        <w:pStyle w:val="Heading3"/>
      </w:pPr>
      <w:r>
        <w:t xml:space="preserve">9.6 Sample size</w:t>
      </w:r>
    </w:p>
    <w:p>
      <w:pPr>
        <w:pStyle w:val="FirstParagraph"/>
      </w:pPr>
      <w:r>
        <w:t xml:space="preserve">The study will target at least 300 eligible records from at least five</w:t>
      </w:r>
      <w:r>
        <w:t xml:space="preserve"> </w:t>
      </w:r>
      <w:r>
        <w:t xml:space="preserve">clinics. The final sample-size calculation must be completed by the</w:t>
      </w:r>
      <w:r>
        <w:t xml:space="preserve"> </w:t>
      </w:r>
      <w:r>
        <w:t xml:space="preserve">study statistician using conservative age-curve shapes, alternative</w:t>
      </w:r>
      <w:r>
        <w:t xml:space="preserve"> </w:t>
      </w:r>
      <w:r>
        <w:t xml:space="preserve">smoothing scales, short-window concentrations including a days 2–4</w:t>
      </w:r>
      <w:r>
        <w:t xml:space="preserve"> </w:t>
      </w:r>
      <w:r>
        <w:t xml:space="preserve">peak, unequal site contributions,</w:t>
      </w:r>
      <w:r>
        <w:t xml:space="preserve"> </w:t>
      </w:r>
      <w:r>
        <w:t xml:space="preserve">within-site dependence, missing Dpost, and any multiplicity adjustment.</w:t>
      </w:r>
      <w:r>
        <w:t xml:space="preserve"> </w:t>
      </w:r>
      <w:r>
        <w:t xml:space="preserve">The simulation and its assumptions will be finalized before IRB approval</w:t>
      </w:r>
      <w:r>
        <w:t xml:space="preserve"> </w:t>
      </w:r>
      <w:r>
        <w:t xml:space="preserve">and data collection and will not use observed study outcomes to stop or</w:t>
      </w:r>
      <w:r>
        <w:t xml:space="preserve"> </w:t>
      </w:r>
      <w:r>
        <w:t xml:space="preserve">extend enrollment.</w:t>
      </w:r>
    </w:p>
    <w:bookmarkEnd w:id="26"/>
    <w:bookmarkStart w:id="27" w:name="Xd04103762daf08f52f583ea17d52cd2b8ea3643"/>
    <w:p>
      <w:pPr>
        <w:pStyle w:val="Heading3"/>
      </w:pPr>
      <w:r>
        <w:t xml:space="preserve">9.7 Interpretation limits</w:t>
      </w:r>
    </w:p>
    <w:p>
      <w:pPr>
        <w:pStyle w:val="FirstParagraph"/>
      </w:pPr>
      <w:r>
        <w:t xml:space="preserve">This case-series design cannot estimate ASD incidence or</w:t>
      </w:r>
      <w:r>
        <w:t xml:space="preserve"> </w:t>
      </w:r>
      <w:r>
        <w:t xml:space="preserve">vaccine-attributable risk, or by itself distinguish a causal trigger from</w:t>
      </w:r>
      <w:r>
        <w:t xml:space="preserve"> </w:t>
      </w:r>
      <w:r>
        <w:t xml:space="preserve">recall anchoring, healthcare-contact patterns, concurrent illness,</w:t>
      </w:r>
      <w:r>
        <w:t xml:space="preserve"> </w:t>
      </w:r>
      <w:r>
        <w:t xml:space="preserve">age-related developmental change, or selective documentation.</w:t>
      </w:r>
      <w:r>
        <w:t xml:space="preserve"> </w:t>
      </w:r>
      <w:r>
        <w:t xml:space="preserve">Conclusions will be limited to age and temporal distributions in the</w:t>
      </w:r>
      <w:r>
        <w:t xml:space="preserve"> </w:t>
      </w:r>
      <w:r>
        <w:t xml:space="preserve">defined cohort and the exploratory 24-month proportions within</w:t>
      </w:r>
      <w:r>
        <w:t xml:space="preserve"> </w:t>
      </w:r>
      <w:r>
        <w:t xml:space="preserve">participating clinics.</w:t>
      </w:r>
    </w:p>
    <w:bookmarkEnd w:id="27"/>
    <w:bookmarkEnd w:id="28"/>
    <w:bookmarkStart w:id="29" w:name="X8ce97a550421320c70f07bfcc10976969dcc001"/>
    <w:p>
      <w:pPr>
        <w:pStyle w:val="Heading2"/>
      </w:pPr>
      <w:r>
        <w:t xml:space="preserve">10. Risks, benefits, and safeguards</w:t>
      </w:r>
    </w:p>
    <w:p>
      <w:pPr>
        <w:pStyle w:val="FirstParagraph"/>
      </w:pPr>
      <w:r>
        <w:t xml:space="preserve">There is no intervention and no direct participant benefit. Principal</w:t>
      </w:r>
      <w:r>
        <w:t xml:space="preserve"> </w:t>
      </w:r>
      <w:r>
        <w:t xml:space="preserve">risk is informational: re-identification or unwanted disclosure of a</w:t>
      </w:r>
      <w:r>
        <w:t xml:space="preserve"> </w:t>
      </w:r>
      <w:r>
        <w:t xml:space="preserve">child’s developmental and vaccination history. Risk is minimized by</w:t>
      </w:r>
      <w:r>
        <w:t xml:space="preserve"> </w:t>
      </w:r>
      <w:r>
        <w:t xml:space="preserve">site-level abstraction; no central access to PHI; no direct identifiers,</w:t>
      </w:r>
      <w:r>
        <w:t xml:space="preserve"> </w:t>
      </w:r>
      <w:r>
        <w:t xml:space="preserve">exact dates, free text, or MRN-derived codes; encrypted transfer and</w:t>
      </w:r>
      <w:r>
        <w:t xml:space="preserve"> </w:t>
      </w:r>
      <w:r>
        <w:t xml:space="preserve">storage; least-privilege access; audit logging;</w:t>
      </w:r>
      <w:r>
        <w:t xml:space="preserve"> </w:t>
      </w:r>
      <w:r>
        <w:t xml:space="preserve">suppression/generalization for public release; and incident-response</w:t>
      </w:r>
      <w:r>
        <w:t xml:space="preserve"> </w:t>
      </w:r>
      <w:r>
        <w:t xml:space="preserve">procedures. Record inclusion will not affect a child's care or services.</w:t>
      </w:r>
    </w:p>
    <w:bookmarkEnd w:id="29"/>
    <w:bookmarkStart w:id="30" w:name="X924529b758df2bb5b0bf97f11a5774f23e51811"/>
    <w:p>
      <w:pPr>
        <w:pStyle w:val="Heading2"/>
      </w:pPr>
      <w:r>
        <w:t xml:space="preserve">11. Quality assurance and reproducibility</w:t>
      </w:r>
    </w:p>
    <w:p>
      <w:pPr>
        <w:numPr>
          <w:ilvl w:val="0"/>
          <w:numId w:val="1006"/>
        </w:numPr>
      </w:pPr>
      <w:r>
        <w:t xml:space="preserve">Training manual and worked examples for onset and vaccination-date</w:t>
      </w:r>
      <w:r>
        <w:t xml:space="preserve"> </w:t>
      </w:r>
      <w:r>
        <w:t xml:space="preserve">abstraction.</w:t>
      </w:r>
    </w:p>
    <w:p>
      <w:pPr>
        <w:numPr>
          <w:ilvl w:val="0"/>
          <w:numId w:val="1006"/>
        </w:numPr>
      </w:pPr>
      <w:r>
        <w:t xml:space="preserve">Pilot abstraction of at least 10 records per site and inter-rater</w:t>
      </w:r>
      <w:r>
        <w:t xml:space="preserve"> </w:t>
      </w:r>
      <w:r>
        <w:t xml:space="preserve">agreement reporting.</w:t>
      </w:r>
    </w:p>
    <w:p>
      <w:pPr>
        <w:numPr>
          <w:ilvl w:val="0"/>
          <w:numId w:val="1006"/>
        </w:numPr>
      </w:pPr>
      <w:r>
        <w:t xml:space="preserve">Publicly timestamped preregistration and frozen protocol, data</w:t>
      </w:r>
      <w:r>
        <w:t xml:space="preserve"> </w:t>
      </w:r>
      <w:r>
        <w:t xml:space="preserve">dictionary, and statistical code before database lock.</w:t>
      </w:r>
    </w:p>
    <w:p>
      <w:pPr>
        <w:numPr>
          <w:ilvl w:val="0"/>
          <w:numId w:val="1006"/>
        </w:numPr>
      </w:pPr>
      <w:r>
        <w:t xml:space="preserve">Aggregate screening flow by site and a reproducible analysis</w:t>
      </w:r>
      <w:r>
        <w:t xml:space="preserve"> </w:t>
      </w:r>
      <w:r>
        <w:t xml:space="preserve">repository.</w:t>
      </w:r>
    </w:p>
    <w:p>
      <w:pPr>
        <w:numPr>
          <w:ilvl w:val="0"/>
          <w:numId w:val="1006"/>
        </w:numPr>
      </w:pPr>
      <w:r>
        <w:t xml:space="preserve">Independent statistical review before public claims or manuscript</w:t>
      </w:r>
      <w:r>
        <w:t xml:space="preserve"> </w:t>
      </w:r>
      <w:r>
        <w:t xml:space="preserve">submission.</w:t>
      </w:r>
    </w:p>
    <w:bookmarkEnd w:id="30"/>
    <w:bookmarkStart w:id="31" w:name="X4c8c0127a27889c36b522e8e8c19f99d7d4efcd"/>
    <w:p>
      <w:pPr>
        <w:pStyle w:val="Heading2"/>
      </w:pPr>
      <w:r>
        <w:t xml:space="preserve">12. Dissemination</w:t>
      </w:r>
    </w:p>
    <w:p>
      <w:pPr>
        <w:pStyle w:val="FirstParagraph"/>
      </w:pPr>
      <w:r>
        <w:t xml:space="preserve">Results will be reported regardless of direction. Row-level public</w:t>
      </w:r>
      <w:r>
        <w:t xml:space="preserve"> </w:t>
      </w:r>
      <w:r>
        <w:t xml:space="preserve">release may occur only after documented disclosure-risk review by</w:t>
      </w:r>
      <w:r>
        <w:t xml:space="preserve"> </w:t>
      </w:r>
      <w:r>
        <w:t xml:space="preserve">[named qualified reviewer/privacy office]. If acceptable risk cannot</w:t>
      </w:r>
      <w:r>
        <w:t xml:space="preserve"> </w:t>
      </w:r>
      <w:r>
        <w:t xml:space="preserve">be achieved, only aggregate results and analysis code will be released.</w:t>
      </w:r>
      <w:r>
        <w:t xml:space="preserve"> </w:t>
      </w:r>
      <w:r>
        <w:t xml:space="preserve">The internal analytic dataset will not automatically be public. Cell</w:t>
      </w:r>
      <w:r>
        <w:t xml:space="preserve"> </w:t>
      </w:r>
      <w:r>
        <w:t xml:space="preserve">suppression, age binning, top/bottom coding of intervals, clinic masking</w:t>
      </w:r>
      <w:r>
        <w:t xml:space="preserve"> </w:t>
      </w:r>
      <w:r>
        <w:t xml:space="preserve">or pooling, and removal of rare combinations will be applied as needed.</w:t>
      </w:r>
      <w:r>
        <w:t xml:space="preserve"> </w:t>
      </w:r>
      <w:r>
        <w:t xml:space="preserve">If Safe Harbor cannot be established because a retained variable is a</w:t>
      </w:r>
      <w:r>
        <w:t xml:space="preserve"> </w:t>
      </w:r>
      <w:r>
        <w:t xml:space="preserve">unique characteristic or code, a qualified expert determination will be</w:t>
      </w:r>
      <w:r>
        <w:t xml:space="preserve"> </w:t>
      </w:r>
      <w:r>
        <w:t xml:space="preserve">obtained before release. Neither MAPS nor investigators will attempt</w:t>
      </w:r>
      <w:r>
        <w:t xml:space="preserve"> </w:t>
      </w:r>
      <w:r>
        <w:t xml:space="preserve">re-identification.</w:t>
      </w:r>
    </w:p>
    <w:bookmarkEnd w:id="31"/>
    <w:bookmarkEnd w:id="32"/>
    <w:bookmarkStart w:id="38" w:name="part-2-data-privacy-and-security-plan"/>
    <w:p>
      <w:pPr>
        <w:pStyle w:val="Heading1"/>
      </w:pPr>
      <w:r>
        <w:t xml:space="preserve">Part 2. Data Privacy and Security Plan</w:t>
      </w:r>
    </w:p>
    <w:bookmarkStart w:id="33" w:name="X321b5802770932e8c3d279a536fa97c740522fd"/>
    <w:p>
      <w:pPr>
        <w:pStyle w:val="Heading2"/>
      </w:pPr>
      <w:r>
        <w:t xml:space="preserve">1. Data flow</w:t>
      </w:r>
    </w:p>
    <w:p>
      <w:pPr>
        <w:numPr>
          <w:ilvl w:val="0"/>
          <w:numId w:val="1007"/>
        </w:numPr>
      </w:pPr>
      <w:r>
        <w:t xml:space="preserve">Authorized clinic workforce members access PHI inside the clinic</w:t>
      </w:r>
      <w:r>
        <w:t xml:space="preserve"> </w:t>
      </w:r>
      <w:r>
        <w:t xml:space="preserve">under local policy and the IRB/privacy determination.</w:t>
      </w:r>
    </w:p>
    <w:p>
      <w:pPr>
        <w:numPr>
          <w:ilvl w:val="0"/>
          <w:numId w:val="1007"/>
        </w:numPr>
      </w:pPr>
      <w:r>
        <w:t xml:space="preserve">Clinic staff determine eligibility, record source dates in a local</w:t>
      </w:r>
      <w:r>
        <w:t xml:space="preserve"> </w:t>
      </w:r>
      <w:r>
        <w:t xml:space="preserve">worksheet, calculate age in months, Dpre, and Dpost, and run</w:t>
      </w:r>
      <w:r>
        <w:t xml:space="preserve"> </w:t>
      </w:r>
      <w:r>
        <w:t xml:space="preserve">validation checks.</w:t>
      </w:r>
    </w:p>
    <w:p>
      <w:pPr>
        <w:numPr>
          <w:ilvl w:val="0"/>
          <w:numId w:val="1007"/>
        </w:numPr>
      </w:pPr>
      <w:r>
        <w:t xml:space="preserve">Before transmission, clinic staff delete direct identifiers, exact</w:t>
      </w:r>
      <w:r>
        <w:t xml:space="preserve"> </w:t>
      </w:r>
      <w:r>
        <w:t xml:space="preserve">dates, free text, granular geography, contact data, device/IP data,</w:t>
      </w:r>
      <w:r>
        <w:t xml:space="preserve"> </w:t>
      </w:r>
      <w:r>
        <w:t xml:space="preserve">and any MRN-derived identifier. A random study ID is assigned. The</w:t>
      </w:r>
      <w:r>
        <w:t xml:space="preserve"> </w:t>
      </w:r>
      <w:r>
        <w:t xml:space="preserve">linkage key remains at the clinic and is never shared.</w:t>
      </w:r>
    </w:p>
    <w:p>
      <w:pPr>
        <w:numPr>
          <w:ilvl w:val="0"/>
          <w:numId w:val="1007"/>
        </w:numPr>
      </w:pPr>
      <w:r>
        <w:t xml:space="preserve">The clinic submits the patient-level data electronically as the study-provided</w:t>
      </w:r>
      <w:r>
        <w:t xml:space="preserve"> </w:t>
      </w:r>
      <w:r>
        <w:t xml:space="preserve">Excel workbook or an equivalent CSV file through [approved secure</w:t>
      </w:r>
      <w:r>
        <w:t xml:space="preserve"> </w:t>
      </w:r>
      <w:r>
        <w:t xml:space="preserve">upload portal]. Paper forms, scanned forms, photographs, fax, and</w:t>
      </w:r>
      <w:r>
        <w:t xml:space="preserve"> </w:t>
      </w:r>
      <w:r>
        <w:t xml:space="preserve">submission in an email body are not accepted. The electronic table</w:t>
      </w:r>
      <w:r>
        <w:t xml:space="preserve"> </w:t>
      </w:r>
      <w:r>
        <w:t xml:space="preserve">contains only site code, clinic row ID, sex, age at onset in days,</w:t>
      </w:r>
      <w:r>
        <w:t xml:space="preserve"> </w:t>
      </w:r>
      <w:r>
        <w:t xml:space="preserve">vaccination-before-onset status, Dpre, and Dpost. The four aggregate</w:t>
      </w:r>
      <w:r>
        <w:t xml:space="preserve"> </w:t>
      </w:r>
      <w:r>
        <w:t xml:space="preserve">24-month counts and screening-flow counts are transmitted separately</w:t>
      </w:r>
      <w:r>
        <w:t xml:space="preserve"> </w:t>
      </w:r>
      <w:r>
        <w:t xml:space="preserve">and contain no patient rows or free text.</w:t>
      </w:r>
    </w:p>
    <w:p>
      <w:pPr>
        <w:numPr>
          <w:ilvl w:val="0"/>
          <w:numId w:val="1007"/>
        </w:numPr>
      </w:pPr>
      <w:r>
        <w:t xml:space="preserve">The coordinating center stores the internal analytic file in [named</w:t>
      </w:r>
      <w:r>
        <w:t xml:space="preserve"> </w:t>
      </w:r>
      <w:r>
        <w:t xml:space="preserve">institution-managed encrypted platform], encrypted in transit and</w:t>
      </w:r>
      <w:r>
        <w:t xml:space="preserve"> </w:t>
      </w:r>
      <w:r>
        <w:t xml:space="preserve">at rest, with multifactor authentication, role-based access, audit</w:t>
      </w:r>
      <w:r>
        <w:t xml:space="preserve"> </w:t>
      </w:r>
      <w:r>
        <w:t xml:space="preserve">logging, endpoint encryption, and institutional backups.</w:t>
      </w:r>
    </w:p>
    <w:p>
      <w:pPr>
        <w:numPr>
          <w:ilvl w:val="0"/>
          <w:numId w:val="1007"/>
        </w:numPr>
      </w:pPr>
      <w:r>
        <w:t xml:space="preserve">Before any approved public release, the received clinic row IDs are replaced with</w:t>
      </w:r>
      <w:r>
        <w:t xml:space="preserve"> </w:t>
      </w:r>
      <w:r>
        <w:t xml:space="preserve">new public row numbers. The clinic-issued codes and mapping keys are</w:t>
      </w:r>
      <w:r>
        <w:t xml:space="preserve"> </w:t>
      </w:r>
      <w:r>
        <w:t xml:space="preserve">not published.</w:t>
      </w:r>
    </w:p>
    <w:bookmarkEnd w:id="33"/>
    <w:bookmarkStart w:id="34" w:name="X7396c84537fd1b0c86ec9b7526d22d5b203d5f4"/>
    <w:p>
      <w:pPr>
        <w:pStyle w:val="Heading2"/>
      </w:pPr>
      <w:r>
        <w:t xml:space="preserve">2. Data classification and HIPAA pathway</w:t>
      </w:r>
    </w:p>
    <w:p>
      <w:pPr>
        <w:pStyle w:val="FirstParagraph"/>
      </w:pPr>
      <w:r>
        <w:t xml:space="preserve">The clinic’s source records and local mapping file contain PHI. Before</w:t>
      </w:r>
      <w:r>
        <w:t xml:space="preserve"> </w:t>
      </w:r>
      <w:r>
        <w:t xml:space="preserve">research-specific screening, each clinic will document the lawful basis</w:t>
      </w:r>
      <w:r>
        <w:t xml:space="preserve"> </w:t>
      </w:r>
      <w:r>
        <w:t xml:space="preserve">for local PHI use and determine whether it is engaged in human-subjects</w:t>
      </w:r>
      <w:r>
        <w:t xml:space="preserve"> </w:t>
      </w:r>
      <w:r>
        <w:t xml:space="preserve">research, requires reliance on the reviewing IRB, or requires a local</w:t>
      </w:r>
      <w:r>
        <w:t xml:space="preserve"> </w:t>
      </w:r>
      <w:r>
        <w:t xml:space="preserve">determination. Before transfer, its privacy officer will document Safe</w:t>
      </w:r>
      <w:r>
        <w:t xml:space="preserve"> </w:t>
      </w:r>
      <w:r>
        <w:t xml:space="preserve">Harbor or Expert Determination; the seven fields alone do not</w:t>
      </w:r>
      <w:r>
        <w:t xml:space="preserve"> </w:t>
      </w:r>
      <w:r>
        <w:t xml:space="preserve">automatically establish HIPAA de-identification. The</w:t>
      </w:r>
      <w:r>
        <w:t xml:space="preserve"> </w:t>
      </w:r>
      <w:r>
        <w:t xml:space="preserve">clinic-generated row ID must not be derived from a name, medical-record</w:t>
      </w:r>
      <w:r>
        <w:t xml:space="preserve"> </w:t>
      </w:r>
      <w:r>
        <w:t xml:space="preserve">number, date, or other identifying information, and the</w:t>
      </w:r>
      <w:r>
        <w:t xml:space="preserve"> </w:t>
      </w:r>
      <w:r>
        <w:t xml:space="preserve">re-identification mechanism must not be disclosed. Each clinic’s covered</w:t>
      </w:r>
      <w:r>
        <w:t xml:space="preserve"> </w:t>
      </w:r>
      <w:r>
        <w:t xml:space="preserve">entity/privacy officer will document the applicable determination before</w:t>
      </w:r>
      <w:r>
        <w:t xml:space="preserve"> </w:t>
      </w:r>
      <w:r>
        <w:t xml:space="preserve">transfer. Written site terms prohibit requesting or receiving the</w:t>
      </w:r>
      <w:r>
        <w:t xml:space="preserve"> </w:t>
      </w:r>
      <w:r>
        <w:t xml:space="preserve">patient mapping key and prohibit re-identification. If the file is coded</w:t>
      </w:r>
      <w:r>
        <w:t xml:space="preserve"> </w:t>
      </w:r>
      <w:r>
        <w:t xml:space="preserve">PHI or a HIPAA limited data set, the applicable authorization or waiver</w:t>
      </w:r>
      <w:r>
        <w:t xml:space="preserve"> </w:t>
      </w:r>
      <w:r>
        <w:t xml:space="preserve">and, for a limited data set, a data use agreement must be in place.</w:t>
      </w:r>
    </w:p>
    <w:p>
      <w:pPr>
        <w:pStyle w:val="BodyText"/>
      </w:pPr>
      <w:r>
        <w:t xml:space="preserve">Authorized coordinating personnel may know which clinic corresponds to</w:t>
      </w:r>
      <w:r>
        <w:t xml:space="preserve"> </w:t>
      </w:r>
      <w:r>
        <w:t xml:space="preserve">a site code for contracting and quality queries. The site-code mapping</w:t>
      </w:r>
      <w:r>
        <w:t xml:space="preserve"> </w:t>
      </w:r>
      <w:r>
        <w:t xml:space="preserve">identifies a clinic, not a patient; it will be stored separately from</w:t>
      </w:r>
      <w:r>
        <w:t xml:space="preserve"> </w:t>
      </w:r>
      <w:r>
        <w:t xml:space="preserve">patient-level analytic data and restricted to operations personnel.</w:t>
      </w:r>
    </w:p>
    <w:bookmarkEnd w:id="34"/>
    <w:bookmarkStart w:id="35" w:name="Xaecde47d4ef6250885165924ba61f51416bb3ac"/>
    <w:p>
      <w:pPr>
        <w:pStyle w:val="Heading2"/>
      </w:pPr>
      <w:r>
        <w:t xml:space="preserve">3. Access matrix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 PHI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Mapping key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Received analytic data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Public-use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Clinic abstractor</w:t>
            </w:r>
          </w:p>
        </w:tc>
        <w:tc>
          <w:tcPr/>
          <w:p>
            <w:pPr>
              <w:pStyle w:val="Compact"/>
            </w:pPr>
            <w:r>
              <w:t xml:space="preserve">Yes, locally</w:t>
            </w:r>
          </w:p>
        </w:tc>
        <w:tc>
          <w:tcPr/>
          <w:p>
            <w:pPr>
              <w:pStyle w:val="Compact"/>
            </w:pPr>
            <w:r>
              <w:t xml:space="preserve">If authorized</w:t>
            </w:r>
          </w:p>
        </w:tc>
        <w:tc>
          <w:tcPr/>
          <w:p>
            <w:pPr>
              <w:pStyle w:val="Compact"/>
            </w:pPr>
            <w:r>
              <w:t xml:space="preserve">Local/transmit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Clinic PI/privacy officer</w:t>
            </w:r>
          </w:p>
        </w:tc>
        <w:tc>
          <w:tcPr/>
          <w:p>
            <w:pPr>
              <w:pStyle w:val="Compact"/>
            </w:pPr>
            <w:r>
              <w:t xml:space="preserve">As authorized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Coordinating PI / statistician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Other MAPS personnel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Only if named/authorized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 after review</w:t>
            </w:r>
          </w:p>
        </w:tc>
      </w:tr>
    </w:tbl>
    <w:bookmarkEnd w:id="35"/>
    <w:bookmarkStart w:id="36" w:name="X845763d3baf2fde4f7f4181b440e73c159cddaa"/>
    <w:p>
      <w:pPr>
        <w:pStyle w:val="Heading2"/>
      </w:pPr>
      <w:r>
        <w:t xml:space="preserve">4. Retention and destruction</w:t>
      </w:r>
    </w:p>
    <w:p>
      <w:pPr>
        <w:pStyle w:val="FirstParagraph"/>
      </w:pPr>
      <w:r>
        <w:t xml:space="preserve">The clinic retains its mapping key under clinic policy and never shares</w:t>
      </w:r>
      <w:r>
        <w:t xml:space="preserve"> </w:t>
      </w:r>
      <w:r>
        <w:t xml:space="preserve">it with investigators. The received analytic dataset, audit logs, code,</w:t>
      </w:r>
      <w:r>
        <w:t xml:space="preserve"> </w:t>
      </w:r>
      <w:r>
        <w:t xml:space="preserve">and regulatory records will be retained for [institutional requirement,</w:t>
      </w:r>
      <w:r>
        <w:t xml:space="preserve"> </w:t>
      </w:r>
      <w:r>
        <w:t xml:space="preserve">commonly at least 3–7 years after study closure/publication]. Before</w:t>
      </w:r>
      <w:r>
        <w:t xml:space="preserve"> </w:t>
      </w:r>
      <w:r>
        <w:t xml:space="preserve">public release, clinic row IDs are replaced with new public row numbers.</w:t>
      </w:r>
      <w:r>
        <w:t xml:space="preserve"> </w:t>
      </w:r>
      <w:r>
        <w:t xml:space="preserve">Public-use data cannot be recalled after publication, making pre-release</w:t>
      </w:r>
      <w:r>
        <w:t xml:space="preserve"> </w:t>
      </w:r>
      <w:r>
        <w:t xml:space="preserve">review mandatory.</w:t>
      </w:r>
    </w:p>
    <w:bookmarkEnd w:id="36"/>
    <w:bookmarkStart w:id="37" w:name="Xc73486b64caa0ecf8c2a7dab761875f5cb8e567"/>
    <w:p>
      <w:pPr>
        <w:pStyle w:val="Heading2"/>
      </w:pPr>
      <w:r>
        <w:t xml:space="preserve">5. Incident response</w:t>
      </w:r>
    </w:p>
    <w:p>
      <w:pPr>
        <w:pStyle w:val="FirstParagraph"/>
      </w:pPr>
      <w:r>
        <w:t xml:space="preserve">Suspected loss, unauthorized access, or disclosure will be reported</w:t>
      </w:r>
      <w:r>
        <w:t xml:space="preserve"> </w:t>
      </w:r>
      <w:r>
        <w:t xml:space="preserve">immediately to the PI and [privacy/security office]. Access will be</w:t>
      </w:r>
      <w:r>
        <w:t xml:space="preserve"> </w:t>
      </w:r>
      <w:r>
        <w:t xml:space="preserve">suspended, logs preserved, scope assessed, and required institutional,</w:t>
      </w:r>
      <w:r>
        <w:t xml:space="preserve"> </w:t>
      </w:r>
      <w:r>
        <w:t xml:space="preserve">IRB, HIPAA, contractual, and participant notifications completed within</w:t>
      </w:r>
      <w:r>
        <w:t xml:space="preserve"> </w:t>
      </w:r>
      <w:r>
        <w:t xml:space="preserve">applicable timelines. Corrective actions will be documented.</w:t>
      </w:r>
    </w:p>
    <w:bookmarkEnd w:id="37"/>
    <w:bookmarkEnd w:id="38"/>
    <w:bookmarkStart w:id="42" w:name="Xb78555386fa9229c0ea41bd17f13610e90be9f9"/>
    <w:p>
      <w:pPr>
        <w:pStyle w:val="Heading1"/>
      </w:pPr>
      <w:r>
        <w:t xml:space="preserve">Part 3. Request for Waiver of Consent and HIPAA Authorization</w:t>
      </w:r>
    </w:p>
    <w:bookmarkStart w:id="39" w:name="a-requested-regulatory-determination"/>
    <w:p>
      <w:pPr>
        <w:pStyle w:val="Heading2"/>
      </w:pPr>
      <w:r>
        <w:t xml:space="preserve">A. Requested regulatory determination</w:t>
      </w:r>
    </w:p>
    <w:p>
      <w:pPr>
        <w:pStyle w:val="FirstParagraph"/>
      </w:pPr>
      <w:r>
        <w:t xml:space="preserve">Primary request: exemption under 45 CFR 46.104(d)(4)(ii) for the</w:t>
      </w:r>
      <w:r>
        <w:t xml:space="preserve"> </w:t>
      </w:r>
      <w:r>
        <w:t xml:space="preserve">coordinating institution's receipt and analysis of information recorded</w:t>
      </w:r>
      <w:r>
        <w:t xml:space="preserve"> </w:t>
      </w:r>
      <w:r>
        <w:t xml:space="preserve">so identities cannot readily be ascertained, with no subject contact or</w:t>
      </w:r>
      <w:r>
        <w:t xml:space="preserve"> </w:t>
      </w:r>
      <w:r>
        <w:t xml:space="preserve">re-identification attempt. Each clinic must obtain a documented</w:t>
      </w:r>
      <w:r>
        <w:t xml:space="preserve"> </w:t>
      </w:r>
      <w:r>
        <w:t xml:space="preserve">engagement, reliance/local IRB, and privacy determination before</w:t>
      </w:r>
      <w:r>
        <w:t xml:space="preserve"> </w:t>
      </w:r>
      <w:r>
        <w:t xml:space="preserve">screening or transfer; one central exemption determination is not</w:t>
      </w:r>
      <w:r>
        <w:t xml:space="preserve"> </w:t>
      </w:r>
      <w:r>
        <w:t xml:space="preserve">presumed to bind unaffiliated clinics. If an activity is found</w:t>
      </w:r>
      <w:r>
        <w:t xml:space="preserve"> </w:t>
      </w:r>
      <w:r>
        <w:t xml:space="preserve">nonexempt, it will not begin until the required expedited review,</w:t>
      </w:r>
      <w:r>
        <w:t xml:space="preserve"> </w:t>
      </w:r>
      <w:r>
        <w:t xml:space="preserve">parental-permission waiver under 45 CFR 46.408(c) applying the criteria</w:t>
      </w:r>
      <w:r>
        <w:t xml:space="preserve"> </w:t>
      </w:r>
      <w:r>
        <w:t xml:space="preserve">of 45 CFR 46.116(f), and any HIPAA waiver under 45 CFR 164.512(i) are</w:t>
      </w:r>
      <w:r>
        <w:t xml:space="preserve"> </w:t>
      </w:r>
      <w:r>
        <w:t xml:space="preserve">approved. No child assent is practicable because this is retrospective</w:t>
      </w:r>
      <w:r>
        <w:t xml:space="preserve"> </w:t>
      </w:r>
      <w:r>
        <w:t xml:space="preserve">records research with no contact.</w:t>
      </w:r>
    </w:p>
    <w:bookmarkEnd w:id="39"/>
    <w:bookmarkStart w:id="40" w:name="X60a25cda090c65b83f78d5083bc2e6e55cbdd43"/>
    <w:p>
      <w:pPr>
        <w:pStyle w:val="Heading2"/>
      </w:pPr>
      <w:r>
        <w:t xml:space="preserve">B. Waiver of informed consent / parental permission justification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Justification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more than minimal risk</w:t>
            </w:r>
          </w:p>
        </w:tc>
        <w:tc>
          <w:tcPr/>
          <w:p>
            <w:pPr>
              <w:pStyle w:val="Compact"/>
            </w:pPr>
            <w:r>
              <w:t xml:space="preserve">No intervention or contact occurs. The only foreseeable research risk is informational and is reduced by clinic-side abstraction, minimal variables, removal of identifiers/dates/free text, restricted access, encryption, and disclosure review.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Rights and welfare not adversely affected</w:t>
            </w:r>
          </w:p>
        </w:tc>
        <w:tc>
          <w:tcPr/>
          <w:p>
            <w:pPr>
              <w:pStyle w:val="Compact"/>
            </w:pPr>
            <w:r>
              <w:t xml:space="preserve">Clinical care, benefits, and legal rights are unchanged. Findings are aggregate; investigators cannot identify or contact families.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Impracticable without waiver</w:t>
            </w:r>
          </w:p>
        </w:tc>
        <w:tc>
          <w:tcPr/>
          <w:p>
            <w:pPr>
              <w:pStyle w:val="Compact"/>
            </w:pPr>
            <w:r>
              <w:t xml:space="preserve">Eligible cases span historical records and multiple clinics; contact information may be stale, and requiring contact would produce substantial nonresponse and selection bias that defeats a valid complete-record review. “Impracticable” is based on scientific feasibility, not convenience or cost alone.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Additional information after participation</w:t>
            </w:r>
          </w:p>
        </w:tc>
        <w:tc>
          <w:tcPr/>
          <w:p>
            <w:pPr>
              <w:pStyle w:val="Compact"/>
            </w:pPr>
            <w:r>
              <w:t xml:space="preserve">Not applicable: there is no subject contact and no clinically pertinent information to return. Dissemination is separate; aggregate results and code will be posted, while row-level data may be posted only after approval through disclosure-risk review.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Identifiable format necessity (if applicable)</w:t>
            </w:r>
          </w:p>
        </w:tc>
        <w:tc>
          <w:tcPr/>
          <w:p>
            <w:pPr>
              <w:pStyle w:val="Compact"/>
            </w:pPr>
            <w:r>
              <w:t xml:space="preserve">Clinic staff must temporarily inspect identifiable records to determine eligibility and derive intervals. Central investigators do not require or receive identifiers.</w:t>
            </w:r>
          </w:p>
        </w:tc>
      </w:tr>
    </w:tbl>
    <w:bookmarkEnd w:id="40"/>
    <w:bookmarkStart w:id="41" w:name="c-hipaa-waiver-justification-if-needed"/>
    <w:p>
      <w:pPr>
        <w:pStyle w:val="Heading2"/>
      </w:pPr>
      <w:r>
        <w:t xml:space="preserve">C. HIPAA waiver justification (if needed)</w:t>
      </w:r>
    </w:p>
    <w:p>
      <w:pPr>
        <w:numPr>
          <w:ilvl w:val="0"/>
          <w:numId w:val="1008"/>
        </w:numPr>
      </w:pPr>
      <w:r>
        <w:t xml:space="preserve">Privacy risk is minimal because identifiers stay at the clinic; access</w:t>
      </w:r>
      <w:r>
        <w:t xml:space="preserve"> </w:t>
      </w:r>
      <w:r>
        <w:t xml:space="preserve">is limited; transfer/storage are encrypted; and written assurances</w:t>
      </w:r>
      <w:r>
        <w:t xml:space="preserve"> </w:t>
      </w:r>
      <w:r>
        <w:t xml:space="preserve">prohibit reuse, disclosure, and re-identification except as required</w:t>
      </w:r>
      <w:r>
        <w:t xml:space="preserve"> </w:t>
      </w:r>
      <w:r>
        <w:t xml:space="preserve">by law or oversight.</w:t>
      </w:r>
    </w:p>
    <w:p>
      <w:pPr>
        <w:numPr>
          <w:ilvl w:val="0"/>
          <w:numId w:val="1008"/>
        </w:numPr>
      </w:pPr>
      <w:r>
        <w:t xml:space="preserve">Clinical source records will not be destroyed. Research working files</w:t>
      </w:r>
      <w:r>
        <w:t xml:space="preserve"> </w:t>
      </w:r>
      <w:r>
        <w:t xml:space="preserve">and mapping materials will be retained or destroyed under approved</w:t>
      </w:r>
      <w:r>
        <w:t xml:space="preserve"> </w:t>
      </w:r>
      <w:r>
        <w:t xml:space="preserve">site policy at the earliest practicable time consistent with quality</w:t>
      </w:r>
      <w:r>
        <w:t xml:space="preserve"> </w:t>
      </w:r>
      <w:r>
        <w:t xml:space="preserve">review and legal requirements.</w:t>
      </w:r>
    </w:p>
    <w:p>
      <w:pPr>
        <w:numPr>
          <w:ilvl w:val="0"/>
          <w:numId w:val="1008"/>
        </w:numPr>
      </w:pPr>
      <w:r>
        <w:t xml:space="preserve">The research cannot practicably be conducted without local access to</w:t>
      </w:r>
      <w:r>
        <w:t xml:space="preserve"> </w:t>
      </w:r>
      <w:r>
        <w:t xml:space="preserve">PHI because eligibility and exact temporal intervals must be derived</w:t>
      </w:r>
      <w:r>
        <w:t xml:space="preserve"> </w:t>
      </w:r>
      <w:r>
        <w:t xml:space="preserve">from source records.</w:t>
      </w:r>
    </w:p>
    <w:p>
      <w:pPr>
        <w:numPr>
          <w:ilvl w:val="0"/>
          <w:numId w:val="1008"/>
        </w:numPr>
      </w:pPr>
      <w:r>
        <w:t xml:space="preserve">The research cannot practicably be conducted without the waiver</w:t>
      </w:r>
      <w:r>
        <w:t xml:space="preserve"> </w:t>
      </w:r>
      <w:r>
        <w:t xml:space="preserve">because obtaining authorization from a historical multisite cohort</w:t>
      </w:r>
      <w:r>
        <w:t xml:space="preserve"> </w:t>
      </w:r>
      <w:r>
        <w:t xml:space="preserve">would materially bias ascertainment and make complete-case screening</w:t>
      </w:r>
      <w:r>
        <w:t xml:space="preserve"> </w:t>
      </w:r>
      <w:r>
        <w:t xml:space="preserve">infeasible.</w:t>
      </w:r>
    </w:p>
    <w:p>
      <w:pPr>
        <w:numPr>
          <w:ilvl w:val="0"/>
          <w:numId w:val="1008"/>
        </w:numPr>
      </w:pPr>
      <w:r>
        <w:t xml:space="preserve">Only the minimum necessary PHI is accessed locally; no PHI is</w:t>
      </w:r>
      <w:r>
        <w:t xml:space="preserve"> </w:t>
      </w:r>
      <w:r>
        <w:t xml:space="preserve">disclosed centrally unless separately approved.</w:t>
      </w:r>
    </w:p>
    <w:bookmarkEnd w:id="41"/>
    <w:bookmarkEnd w:id="42"/>
    <w:bookmarkStart w:id="43" w:name="part-4-data-collection-instrument"/>
    <w:p>
      <w:pPr>
        <w:pStyle w:val="Heading1"/>
      </w:pPr>
      <w:r>
        <w:t xml:space="preserve">Part 4. Data Collection Instrument</w:t>
      </w:r>
    </w:p>
    <w:p>
      <w:pPr>
        <w:pStyle w:val="FirstParagraph"/>
      </w:pPr>
      <w:r>
        <w:t xml:space="preserve">This is an electronic data table, not a paper case-report form. The</w:t>
      </w:r>
      <w:r>
        <w:t xml:space="preserve"> </w:t>
      </w:r>
      <w:r>
        <w:t xml:space="preserve">clinic must enter one eligible patient per row in the study-provided</w:t>
      </w:r>
      <w:r>
        <w:t xml:space="preserve"> </w:t>
      </w:r>
      <w:r>
        <w:t xml:space="preserve">Excel workbook or an equivalent CSV file and upload the completed file</w:t>
      </w:r>
      <w:r>
        <w:t xml:space="preserve"> </w:t>
      </w:r>
      <w:r>
        <w:t xml:space="preserve">through the approved secure portal. Do not print, handwrite, scan,</w:t>
      </w:r>
      <w:r>
        <w:t xml:space="preserve"> </w:t>
      </w:r>
      <w:r>
        <w:t xml:space="preserve">photograph, fax, or paste the data into an email. Do not transmit exact</w:t>
      </w:r>
      <w:r>
        <w:t xml:space="preserve"> </w:t>
      </w:r>
      <w:r>
        <w:t xml:space="preserve">dates or free text. Keep the source-date worksheet and re-identification</w:t>
      </w:r>
      <w:r>
        <w:t xml:space="preserve"> </w:t>
      </w:r>
      <w:r>
        <w:t xml:space="preserve">key at the clinic.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Site code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Clinic row 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 at onset (days)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Vaccination before onset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Dpre (days)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Dpost (days)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Definitions: Vaccination before onset is Yes only when at least one</w:t>
      </w:r>
      <w:r>
        <w:t xml:space="preserve"> </w:t>
      </w:r>
      <w:r>
        <w:t xml:space="preserve">administration before/on onset is documented and No only when records</w:t>
      </w:r>
      <w:r>
        <w:t xml:space="preserve"> </w:t>
      </w:r>
      <w:r>
        <w:t xml:space="preserve">document no prior vaccination; incomplete history is not coded No. Dpre</w:t>
      </w:r>
      <w:r>
        <w:t xml:space="preserve"> </w:t>
      </w:r>
      <w:r>
        <w:t xml:space="preserve">= onset minus the most recent administered vaccination before/on onset</w:t>
      </w:r>
      <w:r>
        <w:t xml:space="preserve"> </w:t>
      </w:r>
      <w:r>
        <w:t xml:space="preserve">and is NA when status is No. Dpost = first administered vaccination</w:t>
      </w:r>
      <w:r>
        <w:t xml:space="preserve"> </w:t>
      </w:r>
      <w:r>
        <w:t xml:space="preserve">after onset minus onset and is NA when none is documented. Same-day</w:t>
      </w:r>
      <w:r>
        <w:t xml:space="preserve"> </w:t>
      </w:r>
      <w:r>
        <w:t xml:space="preserve">Dpre=0. Do not substitute a routine visit for documented administration.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Site-level screening summary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Unique records screened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Eligible SORA records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Excluded: onset not abrupt/dateable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Excluded: prior developmental concern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Excluded: alternative explanatory condition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Excluded: missing/invalid vaccination timing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Other exclusions (per protocol)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The clinic also submits these four aggregate counts separately: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24-month aggregate measure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clinic patients with sufficient records to establish vaccination status through 24 months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Above patients with no documented vaccination through 24 months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Qualifying SORA cases with sufficient records to establish vaccination status through 24 months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Above SORA cases with no documented vaccination through 24 months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Site certification: I certify that the transmitted file contains only</w:t>
      </w:r>
      <w:r>
        <w:t xml:space="preserve"> </w:t>
      </w:r>
      <w:r>
        <w:t xml:space="preserve">the seven columns shown above plus the separately labeled aggregate</w:t>
      </w:r>
      <w:r>
        <w:t xml:space="preserve"> </w:t>
      </w:r>
      <w:r>
        <w:t xml:space="preserve">counts. The site code is the approved</w:t>
      </w:r>
      <w:r>
        <w:t xml:space="preserve"> </w:t>
      </w:r>
      <w:r>
        <w:t xml:space="preserve">nonidentifying study code, and the clinic row ID is not derived from an</w:t>
      </w:r>
      <w:r>
        <w:t xml:space="preserve"> </w:t>
      </w:r>
      <w:r>
        <w:t xml:space="preserve">identifier. No clinic name, names, calendar dates, phenotype</w:t>
      </w:r>
      <w:r>
        <w:t xml:space="preserve"> </w:t>
      </w:r>
      <w:r>
        <w:t xml:space="preserve">information, free text, MRNs or MRN-derived codes, contact information,</w:t>
      </w:r>
      <w:r>
        <w:t xml:space="preserve"> </w:t>
      </w:r>
      <w:r>
        <w:t xml:space="preserve">or mapping key are included. Name/title: __________ Signature:</w:t>
      </w:r>
      <w:r>
        <w:t xml:space="preserve"> </w:t>
      </w:r>
      <w:r>
        <w:t xml:space="preserve">__________ Date: __________</w:t>
      </w:r>
    </w:p>
    <w:bookmarkEnd w:id="43"/>
    <w:bookmarkStart w:id="46" w:name="Xfdb838c57fd8feb44caa8e3ee7b4aa144a209ea"/>
    <w:p>
      <w:pPr>
        <w:pStyle w:val="Heading1"/>
      </w:pPr>
      <w:r>
        <w:t xml:space="preserve">Part 5. Conflict of Interest and Funding Disclosure</w:t>
      </w:r>
    </w:p>
    <w:bookmarkStart w:id="44" w:name="investigator-disclosure-statement"/>
    <w:p>
      <w:pPr>
        <w:pStyle w:val="Heading2"/>
      </w:pPr>
      <w:r>
        <w:t xml:space="preserve">Investigator disclosure statement</w:t>
      </w:r>
    </w:p>
    <w:p>
      <w:pPr>
        <w:pStyle w:val="FirstParagraph"/>
      </w:pPr>
      <w:r>
        <w:t xml:space="preserve">Each investigator and key study staff member must disclose financial and</w:t>
      </w:r>
      <w:r>
        <w:t xml:space="preserve"> </w:t>
      </w:r>
      <w:r>
        <w:t xml:space="preserve">nonfinancial interests under the reviewing institution’s policy.</w:t>
      </w:r>
      <w:r>
        <w:t xml:space="preserve"> </w:t>
      </w:r>
      <w:r>
        <w:t xml:space="preserve">Complete the statements below; do not represent “none” until each person</w:t>
      </w:r>
      <w:r>
        <w:t xml:space="preserve"> </w:t>
      </w:r>
      <w:r>
        <w:t xml:space="preserve">has submitted the institution’s required disclosure.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Disclosure item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Response /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Study funding and in-kind support</w:t>
            </w:r>
          </w:p>
        </w:tc>
        <w:tc>
          <w:tcPr/>
          <w:p>
            <w:pPr>
              <w:pStyle w:val="Compact"/>
            </w:pPr>
            <w:r>
              <w:t xml:space="preserve">MAPS: [amount/source/terms]. Clinic compensation: up to $5,000 per clinic for reasonable, documented actual screening and abstraction effort, independent of whether records qualify and independent of timing or results [confirm structure]. Other support: [list/none].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 and investigator financial interests</w:t>
            </w:r>
          </w:p>
        </w:tc>
        <w:tc>
          <w:tcPr/>
          <w:p>
            <w:pPr>
              <w:pStyle w:val="Compact"/>
            </w:pPr>
            <w:r>
              <w:t xml:space="preserve">[Consulting, equity, honoraria, patents, paid advocacy, litigation roles, or none after formal disclosure].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Nonfinancial interests</w:t>
            </w:r>
          </w:p>
        </w:tc>
        <w:tc>
          <w:tcPr/>
          <w:p>
            <w:pPr>
              <w:pStyle w:val="Compact"/>
            </w:pPr>
            <w:r>
              <w:t xml:space="preserve">[Public positions, organizational leadership, advocacy, prior public claims, or other interests reasonably perceived to affect objectivity].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interests</w:t>
            </w:r>
          </w:p>
        </w:tc>
        <w:tc>
          <w:tcPr/>
          <w:p>
            <w:pPr>
              <w:pStyle w:val="Compact"/>
            </w:pPr>
            <w:r>
              <w:t xml:space="preserve">[Recruitment/data-abstraction payments; confirm payment is for reasonable costs and is not contingent on eligible-case count or study outcome].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 plan</w:t>
            </w:r>
          </w:p>
        </w:tc>
        <w:tc>
          <w:tcPr/>
          <w:p>
            <w:pPr>
              <w:pStyle w:val="Compact"/>
            </w:pPr>
            <w:r>
              <w:t xml:space="preserve">Independent eligibility adjudication where feasible; blinded timing calculation until eligibility lock; prespecified analysis; independent statistician; full reporting; funding and interests disclosed in publications. [Add institutional COI committee requirements].</w:t>
            </w:r>
          </w:p>
        </w:tc>
      </w:tr>
    </w:tbl>
    <w:bookmarkEnd w:id="44"/>
    <w:bookmarkStart w:id="45" w:name="suggested-publication-disclosure"/>
    <w:p>
      <w:pPr>
        <w:pStyle w:val="Heading2"/>
      </w:pPr>
      <w:r>
        <w:t xml:space="preserve">Suggested publication disclosure</w:t>
      </w:r>
    </w:p>
    <w:p>
      <w:pPr>
        <w:pStyle w:val="FirstParagraph"/>
      </w:pPr>
      <w:r>
        <w:t xml:space="preserve">“This study was supported by [full legal funder name and grant/contract</w:t>
      </w:r>
      <w:r>
        <w:t xml:space="preserve"> </w:t>
      </w:r>
      <w:r>
        <w:t xml:space="preserve">number]. Participating sites received reimbursement for reasonable</w:t>
      </w:r>
      <w:r>
        <w:t xml:space="preserve"> </w:t>
      </w:r>
      <w:r>
        <w:t xml:space="preserve">data-abstraction costs under agreements not contingent on the number or</w:t>
      </w:r>
      <w:r>
        <w:t xml:space="preserve"> </w:t>
      </w:r>
      <w:r>
        <w:t xml:space="preserve">timing distribution of eligible cases. The funder’s roles in study</w:t>
      </w:r>
      <w:r>
        <w:t xml:space="preserve"> </w:t>
      </w:r>
      <w:r>
        <w:t xml:space="preserve">design, data collection, analysis, interpretation, manuscript</w:t>
      </w:r>
      <w:r>
        <w:t xml:space="preserve"> </w:t>
      </w:r>
      <w:r>
        <w:t xml:space="preserve">preparation, and publication decision were: [state each role]. Author</w:t>
      </w:r>
      <w:r>
        <w:t xml:space="preserve"> </w:t>
      </w:r>
      <w:r>
        <w:t xml:space="preserve">disclosures: [insert].”</w:t>
      </w:r>
    </w:p>
    <w:bookmarkEnd w:id="45"/>
    <w:bookmarkEnd w:id="46"/>
    <w:bookmarkStart w:id="47" w:name="Xc15f36d66b92f5c4a313d91e0905dbb4abdfe88"/>
    <w:p>
      <w:pPr>
        <w:pStyle w:val="Heading1"/>
      </w:pPr>
      <w:r>
        <w:t xml:space="preserve">Part 6. Required Site and Submission Attachments</w:t>
      </w:r>
    </w:p>
    <w:p>
      <w:pPr>
        <w:numPr>
          <w:ilvl w:val="0"/>
          <w:numId w:val="1009"/>
        </w:numPr>
      </w:pPr>
      <w:r>
        <w:t xml:space="preserve">Completed institution-specific IRB application and protocol signature</w:t>
      </w:r>
      <w:r>
        <w:t xml:space="preserve"> </w:t>
      </w:r>
      <w:r>
        <w:t xml:space="preserve">page.</w:t>
      </w:r>
    </w:p>
    <w:p>
      <w:pPr>
        <w:numPr>
          <w:ilvl w:val="0"/>
          <w:numId w:val="1009"/>
        </w:numPr>
      </w:pPr>
      <w:r>
        <w:t xml:space="preserve">PI CV/biosketch, human-subjects and HIPAA training certificates, and</w:t>
      </w:r>
      <w:r>
        <w:t xml:space="preserve"> </w:t>
      </w:r>
      <w:r>
        <w:t xml:space="preserve">investigator roster.</w:t>
      </w:r>
    </w:p>
    <w:p>
      <w:pPr>
        <w:numPr>
          <w:ilvl w:val="0"/>
          <w:numId w:val="1009"/>
        </w:numPr>
      </w:pPr>
      <w:r>
        <w:t xml:space="preserve">Statistical simulation/power appendix approved by a named</w:t>
      </w:r>
      <w:r>
        <w:t xml:space="preserve"> </w:t>
      </w:r>
      <w:r>
        <w:t xml:space="preserve">statistician.</w:t>
      </w:r>
    </w:p>
    <w:p>
      <w:pPr>
        <w:numPr>
          <w:ilvl w:val="0"/>
          <w:numId w:val="1009"/>
        </w:numPr>
      </w:pPr>
      <w:r>
        <w:t xml:space="preserve">Data dictionary, abstraction manual, and validation rules.</w:t>
      </w:r>
    </w:p>
    <w:p>
      <w:pPr>
        <w:numPr>
          <w:ilvl w:val="0"/>
          <w:numId w:val="1009"/>
        </w:numPr>
      </w:pPr>
      <w:r>
        <w:t xml:space="preserve">Site agreement/data use agreement or reliance agreement, as</w:t>
      </w:r>
      <w:r>
        <w:t xml:space="preserve"> </w:t>
      </w:r>
      <w:r>
        <w:t xml:space="preserve">applicable.</w:t>
      </w:r>
    </w:p>
    <w:p>
      <w:pPr>
        <w:numPr>
          <w:ilvl w:val="0"/>
          <w:numId w:val="1009"/>
        </w:numPr>
      </w:pPr>
      <w:r>
        <w:t xml:space="preserve">Clinic payment schedule and budget justification showing reimbursement</w:t>
      </w:r>
      <w:r>
        <w:t xml:space="preserve"> </w:t>
      </w:r>
      <w:r>
        <w:t xml:space="preserve">is not outcome-contingent.</w:t>
      </w:r>
    </w:p>
    <w:p>
      <w:pPr>
        <w:numPr>
          <w:ilvl w:val="0"/>
          <w:numId w:val="1009"/>
        </w:numPr>
      </w:pPr>
      <w:r>
        <w:t xml:space="preserve">Recruitment/site outreach email and phone script labeled “do not use</w:t>
      </w:r>
      <w:r>
        <w:t xml:space="preserve"> </w:t>
      </w:r>
      <w:r>
        <w:t xml:space="preserve">until IRB determination.”</w:t>
      </w:r>
    </w:p>
    <w:p>
      <w:pPr>
        <w:numPr>
          <w:ilvl w:val="0"/>
          <w:numId w:val="1009"/>
        </w:numPr>
      </w:pPr>
      <w:r>
        <w:t xml:space="preserve">HIPAA de-identification attestation or Expert Determination</w:t>
      </w:r>
      <w:r>
        <w:t xml:space="preserve"> </w:t>
      </w:r>
      <w:r>
        <w:t xml:space="preserve">documentation for each data flow.</w:t>
      </w:r>
    </w:p>
    <w:p>
      <w:pPr>
        <w:numPr>
          <w:ilvl w:val="0"/>
          <w:numId w:val="1009"/>
        </w:numPr>
      </w:pPr>
      <w:r>
        <w:t xml:space="preserve">Public data disclosure-risk review plan and repository terms.</w:t>
      </w:r>
    </w:p>
    <w:p>
      <w:pPr>
        <w:numPr>
          <w:ilvl w:val="0"/>
          <w:numId w:val="1009"/>
        </w:numPr>
      </w:pPr>
      <w:r>
        <w:t xml:space="preserve">Conflict-of-interest forms and management plan, if required.</w:t>
      </w:r>
    </w:p>
    <w:bookmarkEnd w:id="47"/>
    <w:bookmarkStart w:id="48" w:name="references"/>
    <w:p>
      <w:pPr>
        <w:pStyle w:val="Heading1"/>
      </w:pPr>
      <w:r>
        <w:t xml:space="preserve">References</w:t>
      </w:r>
    </w:p>
    <w:p>
      <w:pPr>
        <w:numPr>
          <w:ilvl w:val="0"/>
          <w:numId w:val="1010"/>
        </w:numPr>
      </w:pPr>
      <w:r>
        <w:t xml:space="preserve">Tan C, Frewer V, Cox G, Williams K, Ure A. Prevalence and Age of</w:t>
      </w:r>
      <w:r>
        <w:t xml:space="preserve"> </w:t>
      </w:r>
      <w:r>
        <w:t xml:space="preserve">Onset of Regression in Children with Autism Spectrum Disorder: A</w:t>
      </w:r>
      <w:r>
        <w:t xml:space="preserve"> </w:t>
      </w:r>
      <w:r>
        <w:t xml:space="preserve">Systematic Review and Meta-analytical Update. Autism Research.</w:t>
      </w:r>
      <w:r>
        <w:t xml:space="preserve"> </w:t>
      </w:r>
      <w:r>
        <w:t xml:space="preserve">2021;14(3):582–598. doi:10.1002/aur.2463.</w:t>
      </w:r>
    </w:p>
    <w:p>
      <w:pPr>
        <w:numPr>
          <w:ilvl w:val="0"/>
          <w:numId w:val="1010"/>
        </w:numPr>
      </w:pPr>
      <w:r>
        <w:t xml:space="preserve">Ozonoff S, et al. Changing conceptualizations of regression: What</w:t>
      </w:r>
      <w:r>
        <w:t xml:space="preserve"> </w:t>
      </w:r>
      <w:r>
        <w:t xml:space="preserve">prospective studies reveal about the onset of autism spectrum</w:t>
      </w:r>
      <w:r>
        <w:t xml:space="preserve"> </w:t>
      </w:r>
      <w:r>
        <w:t xml:space="preserve">disorder. Neuroscience &amp; Biobehavioral Reviews. 2019. PMID:</w:t>
      </w:r>
      <w:r>
        <w:t xml:space="preserve"> </w:t>
      </w:r>
      <w:r>
        <w:t xml:space="preserve">30885812.</w:t>
      </w:r>
    </w:p>
    <w:p>
      <w:pPr>
        <w:numPr>
          <w:ilvl w:val="0"/>
          <w:numId w:val="1010"/>
        </w:numPr>
      </w:pPr>
      <w:r>
        <w:t xml:space="preserve">Taylor LE, Swerdfeger AL, Eslick GD. Vaccines are not associated</w:t>
      </w:r>
      <w:r>
        <w:t xml:space="preserve"> </w:t>
      </w:r>
      <w:r>
        <w:t xml:space="preserve">with autism: an evidence-based meta-analysis of case-control and</w:t>
      </w:r>
      <w:r>
        <w:t xml:space="preserve"> </w:t>
      </w:r>
      <w:r>
        <w:t xml:space="preserve">cohort studies. Vaccine. 2014;32(29):3623–3629.</w:t>
      </w:r>
      <w:r>
        <w:t xml:space="preserve"> </w:t>
      </w:r>
      <w:r>
        <w:t xml:space="preserve">doi:10.1016/j.vaccine.2014.04.085.</w:t>
      </w:r>
    </w:p>
    <w:p>
      <w:pPr>
        <w:numPr>
          <w:ilvl w:val="0"/>
          <w:numId w:val="1010"/>
        </w:numPr>
      </w:pPr>
      <w:r>
        <w:t xml:space="preserve">Hviid A, Hansen JV, Frisch M, Melbye M. Measles, Mumps, Rubella</w:t>
      </w:r>
      <w:r>
        <w:t xml:space="preserve"> </w:t>
      </w:r>
      <w:r>
        <w:t xml:space="preserve">Vaccination and Autism: A Nationwide Cohort Study. Ann Intern Med.</w:t>
      </w:r>
      <w:r>
        <w:t xml:space="preserve"> </w:t>
      </w:r>
      <w:r>
        <w:t xml:space="preserve">2019;170(8):513–520. doi:10.7326/M18-2101.</w:t>
      </w:r>
    </w:p>
    <w:p>
      <w:pPr>
        <w:numPr>
          <w:ilvl w:val="0"/>
          <w:numId w:val="1010"/>
        </w:numPr>
      </w:pPr>
      <w:r>
        <w:t xml:space="preserve">Taylor B, et al. Measles, mumps, and rubella vaccination and bowel</w:t>
      </w:r>
      <w:r>
        <w:t xml:space="preserve"> </w:t>
      </w:r>
      <w:r>
        <w:t xml:space="preserve">problems or developmental regression in children with autism:</w:t>
      </w:r>
      <w:r>
        <w:t xml:space="preserve"> </w:t>
      </w:r>
      <w:r>
        <w:t xml:space="preserve">population study. BMJ. 2002;324:393–396. PMID: 11850369.</w:t>
      </w:r>
    </w:p>
    <w:p>
      <w:pPr>
        <w:numPr>
          <w:ilvl w:val="0"/>
          <w:numId w:val="1010"/>
        </w:numPr>
      </w:pPr>
      <w:r>
        <w:t xml:space="preserve">U.S. Department of Health and Human Services, Office for Civil</w:t>
      </w:r>
      <w:r>
        <w:t xml:space="preserve"> </w:t>
      </w:r>
      <w:r>
        <w:t xml:space="preserve">Rights. Guidance Regarding Methods for De-identification of</w:t>
      </w:r>
      <w:r>
        <w:t xml:space="preserve"> </w:t>
      </w:r>
      <w:r>
        <w:t xml:space="preserve">Protected Health Information under the HIPAA Privacy Rule.</w:t>
      </w:r>
    </w:p>
    <w:p>
      <w:pPr>
        <w:numPr>
          <w:ilvl w:val="0"/>
          <w:numId w:val="1010"/>
        </w:numPr>
      </w:pPr>
      <w:r>
        <w:t xml:space="preserve">U.S. Department of Health and Human Services, Office for Human</w:t>
      </w:r>
      <w:r>
        <w:t xml:space="preserve"> </w:t>
      </w:r>
      <w:r>
        <w:t xml:space="preserve">Research Protections. 45 CFR part 46; guidance on coded private</w:t>
      </w:r>
      <w:r>
        <w:t xml:space="preserve"> </w:t>
      </w:r>
      <w:r>
        <w:t xml:space="preserve">information and waiver/alteration of informed consent.</w:t>
      </w:r>
    </w:p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2026-08-12T05:19:03Z</dcterms:created>
  <dcterms:modified xsi:type="dcterms:W3CDTF">2026-08-12T05:19:03Z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