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SORA Electronic Data Collection Template</w:t>
      </w:r>
    </w:p>
    <w:p>
      <w:pPr>
        <w:jc w:val="center"/>
      </w:pPr>
      <w:r>
        <w:rPr>
          <w:i/>
          <w:sz w:val="22"/>
        </w:rPr>
        <w:t>Protocol Version 1.0 — electronic spreadsheet submission; one row per eligible patient</w:t>
      </w:r>
    </w:p>
    <w:p>
      <w:r>
        <w:t>Submission method: Enter data in the study-provided Excel workbook or equivalent CSV file and upload through the approved secure portal. Do not use paper, scanned, photographed, faxed, email-body, or handwritten submissions.</w:t>
      </w:r>
    </w:p>
    <w:p>
      <w:r>
        <w:t>Site: __________  Site code: ______  Ascertainment period: __________  Abstractor: __________</w:t>
      </w:r>
    </w:p>
    <w:p>
      <w:r>
        <w:t>Eligibility must be locked before Dpre/Dpost are calculated. Use administered vaccination dates only. The clinic retains source dates and the linkage key.</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656"/>
            <w:shd w:fill="D9EAF7"/>
            <w:vAlign w:val="center"/>
          </w:tcPr>
          <w:p>
            <w:r>
              <w:rPr>
                <w:b/>
              </w:rPr>
              <w:t>Clinic row ID</w:t>
            </w:r>
          </w:p>
        </w:tc>
        <w:tc>
          <w:tcPr>
            <w:tcW w:type="dxa" w:w="1008"/>
            <w:shd w:fill="D9EAF7"/>
            <w:vAlign w:val="center"/>
          </w:tcPr>
          <w:p>
            <w:r>
              <w:rPr>
                <w:b/>
              </w:rPr>
              <w:t>Sex</w:t>
            </w:r>
          </w:p>
        </w:tc>
        <w:tc>
          <w:tcPr>
            <w:tcW w:type="dxa" w:w="2088"/>
            <w:shd w:fill="D9EAF7"/>
            <w:vAlign w:val="center"/>
          </w:tcPr>
          <w:p>
            <w:r>
              <w:rPr>
                <w:b/>
              </w:rPr>
              <w:t>Age onset (mo)</w:t>
            </w:r>
          </w:p>
        </w:tc>
        <w:tc>
          <w:tcPr>
            <w:tcW w:type="dxa" w:w="1944"/>
            <w:shd w:fill="D9EAF7"/>
            <w:vAlign w:val="center"/>
          </w:tcPr>
          <w:p>
            <w:r>
              <w:rPr>
                <w:b/>
              </w:rPr>
              <w:t>Dpre (days)</w:t>
            </w:r>
          </w:p>
        </w:tc>
        <w:tc>
          <w:tcPr>
            <w:tcW w:type="dxa" w:w="1944"/>
            <w:shd w:fill="D9EAF7"/>
            <w:vAlign w:val="center"/>
          </w:tcPr>
          <w:p>
            <w:r>
              <w:rPr>
                <w:b/>
              </w:rPr>
              <w:t>Dpost (days)</w:t>
            </w:r>
          </w:p>
        </w:tc>
      </w:tr>
      <w:tr>
        <w:tc>
          <w:tcPr>
            <w:tcW w:type="dxa" w:w="1656"/>
            <w:vAlign w:val="center"/>
          </w:tcPr>
          <w:p>
            <w:r/>
          </w:p>
        </w:tc>
        <w:tc>
          <w:tcPr>
            <w:tcW w:type="dxa" w:w="1008"/>
            <w:vAlign w:val="center"/>
          </w:tcPr>
          <w:p>
            <w:r/>
          </w:p>
        </w:tc>
        <w:tc>
          <w:tcPr>
            <w:tcW w:type="dxa" w:w="2088"/>
            <w:vAlign w:val="center"/>
          </w:tcPr>
          <w:p>
            <w:r/>
          </w:p>
        </w:tc>
        <w:tc>
          <w:tcPr>
            <w:tcW w:type="dxa" w:w="1944"/>
            <w:vAlign w:val="center"/>
          </w:tcPr>
          <w:p>
            <w:r/>
          </w:p>
        </w:tc>
        <w:tc>
          <w:tcPr>
            <w:tcW w:type="dxa" w:w="1944"/>
            <w:vAlign w:val="center"/>
          </w:tcPr>
          <w:p>
            <w:r/>
          </w:p>
        </w:tc>
      </w:tr>
      <w:tr>
        <w:tc>
          <w:tcPr>
            <w:tcW w:type="dxa" w:w="1656"/>
            <w:vAlign w:val="center"/>
          </w:tcPr>
          <w:p>
            <w:r/>
          </w:p>
        </w:tc>
        <w:tc>
          <w:tcPr>
            <w:tcW w:type="dxa" w:w="1008"/>
            <w:vAlign w:val="center"/>
          </w:tcPr>
          <w:p>
            <w:r/>
          </w:p>
        </w:tc>
        <w:tc>
          <w:tcPr>
            <w:tcW w:type="dxa" w:w="2088"/>
            <w:vAlign w:val="center"/>
          </w:tcPr>
          <w:p>
            <w:r/>
          </w:p>
        </w:tc>
        <w:tc>
          <w:tcPr>
            <w:tcW w:type="dxa" w:w="1944"/>
            <w:vAlign w:val="center"/>
          </w:tcPr>
          <w:p>
            <w:r/>
          </w:p>
        </w:tc>
        <w:tc>
          <w:tcPr>
            <w:tcW w:type="dxa" w:w="1944"/>
            <w:vAlign w:val="center"/>
          </w:tcPr>
          <w:p>
            <w:r/>
          </w:p>
        </w:tc>
      </w:tr>
      <w:tr>
        <w:tc>
          <w:tcPr>
            <w:tcW w:type="dxa" w:w="1656"/>
            <w:vAlign w:val="center"/>
          </w:tcPr>
          <w:p>
            <w:r/>
          </w:p>
        </w:tc>
        <w:tc>
          <w:tcPr>
            <w:tcW w:type="dxa" w:w="1008"/>
            <w:vAlign w:val="center"/>
          </w:tcPr>
          <w:p>
            <w:r/>
          </w:p>
        </w:tc>
        <w:tc>
          <w:tcPr>
            <w:tcW w:type="dxa" w:w="2088"/>
            <w:vAlign w:val="center"/>
          </w:tcPr>
          <w:p>
            <w:r/>
          </w:p>
        </w:tc>
        <w:tc>
          <w:tcPr>
            <w:tcW w:type="dxa" w:w="1944"/>
            <w:vAlign w:val="center"/>
          </w:tcPr>
          <w:p>
            <w:r/>
          </w:p>
        </w:tc>
        <w:tc>
          <w:tcPr>
            <w:tcW w:type="dxa" w:w="1944"/>
            <w:vAlign w:val="center"/>
          </w:tcPr>
          <w:p>
            <w:r/>
          </w:p>
        </w:tc>
      </w:tr>
      <w:tr>
        <w:tc>
          <w:tcPr>
            <w:tcW w:type="dxa" w:w="1656"/>
            <w:vAlign w:val="center"/>
          </w:tcPr>
          <w:p>
            <w:r/>
          </w:p>
        </w:tc>
        <w:tc>
          <w:tcPr>
            <w:tcW w:type="dxa" w:w="1008"/>
            <w:vAlign w:val="center"/>
          </w:tcPr>
          <w:p>
            <w:r/>
          </w:p>
        </w:tc>
        <w:tc>
          <w:tcPr>
            <w:tcW w:type="dxa" w:w="2088"/>
            <w:vAlign w:val="center"/>
          </w:tcPr>
          <w:p>
            <w:r/>
          </w:p>
        </w:tc>
        <w:tc>
          <w:tcPr>
            <w:tcW w:type="dxa" w:w="1944"/>
            <w:vAlign w:val="center"/>
          </w:tcPr>
          <w:p>
            <w:r/>
          </w:p>
        </w:tc>
        <w:tc>
          <w:tcPr>
            <w:tcW w:type="dxa" w:w="1944"/>
            <w:vAlign w:val="center"/>
          </w:tcPr>
          <w:p>
            <w:r/>
          </w:p>
        </w:tc>
      </w:tr>
      <w:tr>
        <w:tc>
          <w:tcPr>
            <w:tcW w:type="dxa" w:w="1656"/>
            <w:vAlign w:val="center"/>
          </w:tcPr>
          <w:p>
            <w:r/>
          </w:p>
        </w:tc>
        <w:tc>
          <w:tcPr>
            <w:tcW w:type="dxa" w:w="1008"/>
            <w:vAlign w:val="center"/>
          </w:tcPr>
          <w:p>
            <w:r/>
          </w:p>
        </w:tc>
        <w:tc>
          <w:tcPr>
            <w:tcW w:type="dxa" w:w="2088"/>
            <w:vAlign w:val="center"/>
          </w:tcPr>
          <w:p>
            <w:r/>
          </w:p>
        </w:tc>
        <w:tc>
          <w:tcPr>
            <w:tcW w:type="dxa" w:w="1944"/>
            <w:vAlign w:val="center"/>
          </w:tcPr>
          <w:p>
            <w:r/>
          </w:p>
        </w:tc>
        <w:tc>
          <w:tcPr>
            <w:tcW w:type="dxa" w:w="1944"/>
            <w:vAlign w:val="center"/>
          </w:tcPr>
          <w:p>
            <w:r/>
          </w:p>
        </w:tc>
      </w:tr>
      <w:tr>
        <w:tc>
          <w:tcPr>
            <w:tcW w:type="dxa" w:w="1656"/>
            <w:vAlign w:val="center"/>
          </w:tcPr>
          <w:p>
            <w:r/>
          </w:p>
        </w:tc>
        <w:tc>
          <w:tcPr>
            <w:tcW w:type="dxa" w:w="1008"/>
            <w:vAlign w:val="center"/>
          </w:tcPr>
          <w:p>
            <w:r/>
          </w:p>
        </w:tc>
        <w:tc>
          <w:tcPr>
            <w:tcW w:type="dxa" w:w="2088"/>
            <w:vAlign w:val="center"/>
          </w:tcPr>
          <w:p>
            <w:r/>
          </w:p>
        </w:tc>
        <w:tc>
          <w:tcPr>
            <w:tcW w:type="dxa" w:w="1944"/>
            <w:vAlign w:val="center"/>
          </w:tcPr>
          <w:p>
            <w:r/>
          </w:p>
        </w:tc>
        <w:tc>
          <w:tcPr>
            <w:tcW w:type="dxa" w:w="1944"/>
            <w:vAlign w:val="center"/>
          </w:tcPr>
          <w:p>
            <w:r/>
          </w:p>
        </w:tc>
      </w:tr>
      <w:tr>
        <w:tc>
          <w:tcPr>
            <w:tcW w:type="dxa" w:w="1656"/>
            <w:vAlign w:val="center"/>
          </w:tcPr>
          <w:p>
            <w:r/>
          </w:p>
        </w:tc>
        <w:tc>
          <w:tcPr>
            <w:tcW w:type="dxa" w:w="1008"/>
            <w:vAlign w:val="center"/>
          </w:tcPr>
          <w:p>
            <w:r/>
          </w:p>
        </w:tc>
        <w:tc>
          <w:tcPr>
            <w:tcW w:type="dxa" w:w="2088"/>
            <w:vAlign w:val="center"/>
          </w:tcPr>
          <w:p>
            <w:r/>
          </w:p>
        </w:tc>
        <w:tc>
          <w:tcPr>
            <w:tcW w:type="dxa" w:w="1944"/>
            <w:vAlign w:val="center"/>
          </w:tcPr>
          <w:p>
            <w:r/>
          </w:p>
        </w:tc>
        <w:tc>
          <w:tcPr>
            <w:tcW w:type="dxa" w:w="1944"/>
            <w:vAlign w:val="center"/>
          </w:tcPr>
          <w:p>
            <w:r/>
          </w:p>
        </w:tc>
      </w:tr>
      <w:tr>
        <w:tc>
          <w:tcPr>
            <w:tcW w:type="dxa" w:w="1656"/>
            <w:vAlign w:val="center"/>
          </w:tcPr>
          <w:p>
            <w:r/>
          </w:p>
        </w:tc>
        <w:tc>
          <w:tcPr>
            <w:tcW w:type="dxa" w:w="1008"/>
            <w:vAlign w:val="center"/>
          </w:tcPr>
          <w:p>
            <w:r/>
          </w:p>
        </w:tc>
        <w:tc>
          <w:tcPr>
            <w:tcW w:type="dxa" w:w="2088"/>
            <w:vAlign w:val="center"/>
          </w:tcPr>
          <w:p>
            <w:r/>
          </w:p>
        </w:tc>
        <w:tc>
          <w:tcPr>
            <w:tcW w:type="dxa" w:w="1944"/>
            <w:vAlign w:val="center"/>
          </w:tcPr>
          <w:p>
            <w:r/>
          </w:p>
        </w:tc>
        <w:tc>
          <w:tcPr>
            <w:tcW w:type="dxa" w:w="1944"/>
            <w:vAlign w:val="center"/>
          </w:tcPr>
          <w:p>
            <w:r/>
          </w:p>
        </w:tc>
      </w:tr>
      <w:tr>
        <w:tc>
          <w:tcPr>
            <w:tcW w:type="dxa" w:w="1656"/>
            <w:vAlign w:val="center"/>
          </w:tcPr>
          <w:p>
            <w:r/>
          </w:p>
        </w:tc>
        <w:tc>
          <w:tcPr>
            <w:tcW w:type="dxa" w:w="1008"/>
            <w:vAlign w:val="center"/>
          </w:tcPr>
          <w:p>
            <w:r/>
          </w:p>
        </w:tc>
        <w:tc>
          <w:tcPr>
            <w:tcW w:type="dxa" w:w="2088"/>
            <w:vAlign w:val="center"/>
          </w:tcPr>
          <w:p>
            <w:r/>
          </w:p>
        </w:tc>
        <w:tc>
          <w:tcPr>
            <w:tcW w:type="dxa" w:w="1944"/>
            <w:vAlign w:val="center"/>
          </w:tcPr>
          <w:p>
            <w:r/>
          </w:p>
        </w:tc>
        <w:tc>
          <w:tcPr>
            <w:tcW w:type="dxa" w:w="1944"/>
            <w:vAlign w:val="center"/>
          </w:tcPr>
          <w:p>
            <w:r/>
          </w:p>
        </w:tc>
      </w:tr>
      <w:tr>
        <w:tc>
          <w:tcPr>
            <w:tcW w:type="dxa" w:w="1656"/>
            <w:vAlign w:val="center"/>
          </w:tcPr>
          <w:p>
            <w:r/>
          </w:p>
        </w:tc>
        <w:tc>
          <w:tcPr>
            <w:tcW w:type="dxa" w:w="1008"/>
            <w:vAlign w:val="center"/>
          </w:tcPr>
          <w:p>
            <w:r/>
          </w:p>
        </w:tc>
        <w:tc>
          <w:tcPr>
            <w:tcW w:type="dxa" w:w="2088"/>
            <w:vAlign w:val="center"/>
          </w:tcPr>
          <w:p>
            <w:r/>
          </w:p>
        </w:tc>
        <w:tc>
          <w:tcPr>
            <w:tcW w:type="dxa" w:w="1944"/>
            <w:vAlign w:val="center"/>
          </w:tcPr>
          <w:p>
            <w:r/>
          </w:p>
        </w:tc>
        <w:tc>
          <w:tcPr>
            <w:tcW w:type="dxa" w:w="1944"/>
            <w:vAlign w:val="center"/>
          </w:tcPr>
          <w:p>
            <w:r/>
          </w:p>
        </w:tc>
      </w:tr>
      <w:tr>
        <w:tc>
          <w:tcPr>
            <w:tcW w:type="dxa" w:w="1656"/>
            <w:vAlign w:val="center"/>
          </w:tcPr>
          <w:p>
            <w:r/>
          </w:p>
        </w:tc>
        <w:tc>
          <w:tcPr>
            <w:tcW w:type="dxa" w:w="1008"/>
            <w:vAlign w:val="center"/>
          </w:tcPr>
          <w:p>
            <w:r/>
          </w:p>
        </w:tc>
        <w:tc>
          <w:tcPr>
            <w:tcW w:type="dxa" w:w="2088"/>
            <w:vAlign w:val="center"/>
          </w:tcPr>
          <w:p>
            <w:r/>
          </w:p>
        </w:tc>
        <w:tc>
          <w:tcPr>
            <w:tcW w:type="dxa" w:w="1944"/>
            <w:vAlign w:val="center"/>
          </w:tcPr>
          <w:p>
            <w:r/>
          </w:p>
        </w:tc>
        <w:tc>
          <w:tcPr>
            <w:tcW w:type="dxa" w:w="1944"/>
            <w:vAlign w:val="center"/>
          </w:tcPr>
          <w:p>
            <w:r/>
          </w:p>
        </w:tc>
      </w:tr>
      <w:tr>
        <w:tc>
          <w:tcPr>
            <w:tcW w:type="dxa" w:w="1656"/>
            <w:vAlign w:val="center"/>
          </w:tcPr>
          <w:p>
            <w:r/>
          </w:p>
        </w:tc>
        <w:tc>
          <w:tcPr>
            <w:tcW w:type="dxa" w:w="1008"/>
            <w:vAlign w:val="center"/>
          </w:tcPr>
          <w:p>
            <w:r/>
          </w:p>
        </w:tc>
        <w:tc>
          <w:tcPr>
            <w:tcW w:type="dxa" w:w="2088"/>
            <w:vAlign w:val="center"/>
          </w:tcPr>
          <w:p>
            <w:r/>
          </w:p>
        </w:tc>
        <w:tc>
          <w:tcPr>
            <w:tcW w:type="dxa" w:w="1944"/>
            <w:vAlign w:val="center"/>
          </w:tcPr>
          <w:p>
            <w:r/>
          </w:p>
        </w:tc>
        <w:tc>
          <w:tcPr>
            <w:tcW w:type="dxa" w:w="1944"/>
            <w:vAlign w:val="center"/>
          </w:tcPr>
          <w:p>
            <w:r/>
          </w:p>
        </w:tc>
      </w:tr>
      <w:tr>
        <w:tc>
          <w:tcPr>
            <w:tcW w:type="dxa" w:w="1656"/>
            <w:vAlign w:val="center"/>
          </w:tcPr>
          <w:p>
            <w:r/>
          </w:p>
        </w:tc>
        <w:tc>
          <w:tcPr>
            <w:tcW w:type="dxa" w:w="1008"/>
            <w:vAlign w:val="center"/>
          </w:tcPr>
          <w:p>
            <w:r/>
          </w:p>
        </w:tc>
        <w:tc>
          <w:tcPr>
            <w:tcW w:type="dxa" w:w="2088"/>
            <w:vAlign w:val="center"/>
          </w:tcPr>
          <w:p>
            <w:r/>
          </w:p>
        </w:tc>
        <w:tc>
          <w:tcPr>
            <w:tcW w:type="dxa" w:w="1944"/>
            <w:vAlign w:val="center"/>
          </w:tcPr>
          <w:p>
            <w:r/>
          </w:p>
        </w:tc>
        <w:tc>
          <w:tcPr>
            <w:tcW w:type="dxa" w:w="1944"/>
            <w:vAlign w:val="center"/>
          </w:tcPr>
          <w:p>
            <w:r/>
          </w:p>
        </w:tc>
      </w:tr>
      <w:tr>
        <w:tc>
          <w:tcPr>
            <w:tcW w:type="dxa" w:w="1656"/>
            <w:vAlign w:val="center"/>
          </w:tcPr>
          <w:p>
            <w:r/>
          </w:p>
        </w:tc>
        <w:tc>
          <w:tcPr>
            <w:tcW w:type="dxa" w:w="1008"/>
            <w:vAlign w:val="center"/>
          </w:tcPr>
          <w:p>
            <w:r/>
          </w:p>
        </w:tc>
        <w:tc>
          <w:tcPr>
            <w:tcW w:type="dxa" w:w="2088"/>
            <w:vAlign w:val="center"/>
          </w:tcPr>
          <w:p>
            <w:r/>
          </w:p>
        </w:tc>
        <w:tc>
          <w:tcPr>
            <w:tcW w:type="dxa" w:w="1944"/>
            <w:vAlign w:val="center"/>
          </w:tcPr>
          <w:p>
            <w:r/>
          </w:p>
        </w:tc>
        <w:tc>
          <w:tcPr>
            <w:tcW w:type="dxa" w:w="1944"/>
            <w:vAlign w:val="center"/>
          </w:tcPr>
          <w:p>
            <w:r/>
          </w:p>
        </w:tc>
      </w:tr>
    </w:tbl>
    <w:p>
      <w:pPr>
        <w:pStyle w:val="Heading2"/>
      </w:pPr>
      <w:r>
        <w:t>Definitions and validation</w:t>
      </w:r>
    </w:p>
    <w:p>
      <w:pPr>
        <w:pStyle w:val="ListBullet"/>
      </w:pPr>
      <w:r>
        <w:t>SORA onset: first obvious, persistent ASD-relevant behavior or marked loss of an acquired skill, dateable to a calendar date or ≤48-hour interval after previously typical development.</w:t>
      </w:r>
    </w:p>
    <w:p>
      <w:pPr>
        <w:pStyle w:val="ListBullet"/>
      </w:pPr>
      <w:r>
        <w:t>Dpre = onset date − most recent vaccination date before/on onset. Dpost = first vaccination date after onset − onset date.</w:t>
      </w:r>
    </w:p>
    <w:p>
      <w:pPr>
        <w:pStyle w:val="ListBullet"/>
      </w:pPr>
      <w:r>
        <w:t>Same-day = 0. Do not infer ordering. Do not use a routine visit without documented vaccine administration.</w:t>
      </w:r>
    </w:p>
    <w:p>
      <w:pPr>
        <w:pStyle w:val="ListBullet"/>
      </w:pPr>
      <w:r>
        <w:t>Transmit only the five columns shown. Do not transmit names, calendar dates, phenotype information, MRNs/MRN-derived IDs, contact data, free text, geography, clinic identity, or the mapping key.</w:t>
      </w:r>
    </w:p>
    <w:p>
      <w:r>
        <w:t>Certification: I verified eligibility locally. The row ID is not derived from an identifier, and the clinic retains the mapping. This form contains only the approved fields and no calendar dates or phenotype information. Signature: __________________ Date: __________</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IRB submission draft — institution-specific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