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d13a39a60c7ad6b456377dc1a3d6f0f3f1ea0b"/>
    <w:p>
      <w:pPr>
        <w:pStyle w:val="Heading1"/>
      </w:pPr>
      <w:r>
        <w:t xml:space="preserve">Temporal Relationship Between Vaccination and Sudden-Onset Regressive Autism (SORA)</w:t>
      </w:r>
    </w:p>
    <w:bookmarkStart w:id="9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Investigator</w:t>
            </w:r>
          </w:p>
        </w:tc>
        <w:tc>
          <w:tcPr/>
          <w:p>
            <w:pPr>
              <w:pStyle w:val="Compact"/>
            </w:pPr>
            <w:r>
              <w:t xml:space="preserve">Elizabeth “Liz” Mumper, M.D. [confirm degree/title and institutional affiliation]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 / coordinating organization</w:t>
            </w:r>
          </w:p>
        </w:tc>
        <w:tc>
          <w:tcPr/>
          <w:p>
            <w:pPr>
              <w:pStyle w:val="Compact"/>
            </w:pPr>
            <w:r>
              <w:t xml:space="preserve">Medical Academy of Pediatric Special Needs (MAPS) [confirm legal entity]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number / version / date</w:t>
            </w:r>
          </w:p>
        </w:tc>
        <w:tc>
          <w:tcPr/>
          <w:p>
            <w:pPr>
              <w:pStyle w:val="Compact"/>
            </w:pPr>
            <w:r>
              <w:t xml:space="preserve">[IRB assigned] / Version 1.0 / 11 August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design</w:t>
            </w:r>
          </w:p>
        </w:tc>
        <w:tc>
          <w:tcPr/>
          <w:p>
            <w:pPr>
              <w:pStyle w:val="Compact"/>
            </w:pPr>
            <w:r>
              <w:t xml:space="preserve">Retrospective, multisite medical-record review; minimal-risk secondary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 determination</w:t>
            </w:r>
          </w:p>
        </w:tc>
        <w:tc>
          <w:tcPr/>
          <w:p>
            <w:pPr>
              <w:pStyle w:val="Compact"/>
            </w:pPr>
            <w:r>
              <w:t xml:space="preserve">Exempt under 45 CFR 46.104(d)(4)(ii)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population</w:t>
            </w:r>
          </w:p>
        </w:tc>
        <w:tc>
          <w:tcPr/>
          <w:p>
            <w:pPr>
              <w:pStyle w:val="Compact"/>
            </w:pPr>
            <w:r>
              <w:t xml:space="preserve">Children with documented ASD and narrowly defined abrupt, parent-observed developmental regression</w:t>
            </w:r>
          </w:p>
        </w:tc>
      </w:tr>
    </w:tbl>
    <w:p>
      <w:pPr>
        <w:pStyle w:val="BodyText"/>
      </w:pPr>
      <w:r>
        <w:t xml:space="preserve">DRAFTING NOTE. Bracketed text requires completion by the PI, relying</w:t>
      </w:r>
      <w:r>
        <w:t xml:space="preserve"> </w:t>
      </w:r>
      <w:r>
        <w:t xml:space="preserve">institution, privacy officer, or reviewing IRB. The reviewing IRB—not</w:t>
      </w:r>
      <w:r>
        <w:t xml:space="preserve"> </w:t>
      </w:r>
      <w:r>
        <w:t xml:space="preserve">the investigators—determines whether the activity is non-human-subjects</w:t>
      </w:r>
      <w:r>
        <w:t xml:space="preserve"> </w:t>
      </w:r>
      <w:r>
        <w:t xml:space="preserve">research, exempt, or requires expedited review. Public release is not</w:t>
      </w:r>
      <w:r>
        <w:t xml:space="preserve"> </w:t>
      </w:r>
      <w:r>
        <w:t xml:space="preserve">permitted until disclosure-risk review is completed.</w:t>
      </w:r>
    </w:p>
    <w:bookmarkEnd w:id="9"/>
    <w:bookmarkEnd w:id="10"/>
    <w:bookmarkStart w:id="31" w:name="part-1-full-research-protocol"/>
    <w:p>
      <w:pPr>
        <w:pStyle w:val="Heading1"/>
      </w:pPr>
      <w:r>
        <w:t xml:space="preserve">Part 1. Full Research Protocol</w:t>
      </w:r>
    </w:p>
    <w:bookmarkStart w:id="11" w:name="X88f1ceec4e72957df133183fcc92b47880a5487"/>
    <w:p>
      <w:pPr>
        <w:pStyle w:val="Heading2"/>
      </w:pPr>
      <w:r>
        <w:t xml:space="preserve">1. Protocol synopsis</w:t>
      </w:r>
    </w:p>
    <w:p>
      <w:pPr>
        <w:pStyle w:val="FirstParagraph"/>
      </w:pPr>
      <w:r>
        <w:t xml:space="preserve">This exploratory study will test whether the parent-observed onset of</w:t>
      </w:r>
      <w:r>
        <w:t xml:space="preserve"> </w:t>
      </w:r>
      <w:r>
        <w:t xml:space="preserve">narrowly defined sudden-onset regressive autism (SORA) clusters</w:t>
      </w:r>
      <w:r>
        <w:t xml:space="preserve"> </w:t>
      </w:r>
      <w:r>
        <w:t xml:space="preserve">temporally after vaccination. Participating clinics will identify</w:t>
      </w:r>
      <w:r>
        <w:t xml:space="preserve"> </w:t>
      </w:r>
      <w:r>
        <w:t xml:space="preserve">eligible records and derive a minimal analytic dataset locally.</w:t>
      </w:r>
      <w:r>
        <w:t xml:space="preserve"> </w:t>
      </w:r>
      <w:r>
        <w:t xml:space="preserve">Investigators receive only a nonidentifying site code, a clinic-assigned</w:t>
      </w:r>
      <w:r>
        <w:t xml:space="preserve"> </w:t>
      </w:r>
      <w:r>
        <w:t xml:space="preserve">row ID, sex, age at onset in completed months, days from the preceding</w:t>
      </w:r>
      <w:r>
        <w:t xml:space="preserve"> </w:t>
      </w:r>
      <w:r>
        <w:t xml:space="preserve">vaccination to onset (Dpre), and days from onset to the subsequent</w:t>
      </w:r>
      <w:r>
        <w:t xml:space="preserve"> </w:t>
      </w:r>
      <w:r>
        <w:t xml:space="preserve">vaccination (Dpost).</w:t>
      </w:r>
      <w:r>
        <w:t xml:space="preserve"> </w:t>
      </w:r>
      <w:r>
        <w:t xml:space="preserve">Investigators will not receive clinical phenotypes, names, contact</w:t>
      </w:r>
      <w:r>
        <w:t xml:space="preserve"> </w:t>
      </w:r>
      <w:r>
        <w:t xml:space="preserve">information, dates of birth, medical-record numbers, calendar dates,</w:t>
      </w:r>
      <w:r>
        <w:t xml:space="preserve"> </w:t>
      </w:r>
      <w:r>
        <w:t xml:space="preserve">free text, geography, clinic names, or the clinic’s re-identification key. The study</w:t>
      </w:r>
      <w:r>
        <w:t xml:space="preserve"> </w:t>
      </w:r>
      <w:r>
        <w:t xml:space="preserve">is designed to describe timing; it cannot establish that vaccination</w:t>
      </w:r>
      <w:r>
        <w:t xml:space="preserve"> </w:t>
      </w:r>
      <w:r>
        <w:t xml:space="preserve">caused regression.</w:t>
      </w:r>
    </w:p>
    <w:bookmarkEnd w:id="11"/>
    <w:bookmarkStart w:id="12" w:name="X74c579f767cbc80f767bbb4c31e48475c04b06f"/>
    <w:p>
      <w:pPr>
        <w:pStyle w:val="Heading2"/>
      </w:pPr>
      <w:r>
        <w:t xml:space="preserve">2. Background and rationale</w:t>
      </w:r>
    </w:p>
    <w:p>
      <w:pPr>
        <w:pStyle w:val="FirstParagraph"/>
      </w:pPr>
      <w:r>
        <w:t xml:space="preserve">Developmental regression is reported in a substantial minority of</w:t>
      </w:r>
      <w:r>
        <w:t xml:space="preserve"> </w:t>
      </w:r>
      <w:r>
        <w:t xml:space="preserve">children with autism spectrum disorder (ASD), but definitions,</w:t>
      </w:r>
      <w:r>
        <w:t xml:space="preserve"> </w:t>
      </w:r>
      <w:r>
        <w:t xml:space="preserve">ascertainment methods, and estimated onset ages vary. A 2021 systematic</w:t>
      </w:r>
      <w:r>
        <w:t xml:space="preserve"> </w:t>
      </w:r>
      <w:r>
        <w:t xml:space="preserve">review of 97 studies estimated a pooled regression prevalence of 30% and</w:t>
      </w:r>
      <w:r>
        <w:t xml:space="preserve"> </w:t>
      </w:r>
      <w:r>
        <w:t xml:space="preserve">a weighted mean onset age of 19.8 months, with substantial</w:t>
      </w:r>
      <w:r>
        <w:t xml:space="preserve"> </w:t>
      </w:r>
      <w:r>
        <w:t xml:space="preserve">heterogeneity. Reviews comparing retrospective parent report with</w:t>
      </w:r>
      <w:r>
        <w:t xml:space="preserve"> </w:t>
      </w:r>
      <w:r>
        <w:t xml:space="preserve">prospective observation caution that precise onset dating is vulnerable</w:t>
      </w:r>
      <w:r>
        <w:t xml:space="preserve"> </w:t>
      </w:r>
      <w:r>
        <w:t xml:space="preserve">to recall error and that developmental change may be gradual even when</w:t>
      </w:r>
      <w:r>
        <w:t xml:space="preserve"> </w:t>
      </w:r>
      <w:r>
        <w:t xml:space="preserve">recognized abruptly.</w:t>
      </w:r>
    </w:p>
    <w:p>
      <w:pPr>
        <w:pStyle w:val="BodyText"/>
      </w:pPr>
      <w:r>
        <w:t xml:space="preserve">Large cohort and meta-analytic studies have not found an association</w:t>
      </w:r>
      <w:r>
        <w:t xml:space="preserve"> </w:t>
      </w:r>
      <w:r>
        <w:t xml:space="preserve">between vaccination and autism overall, and several studies specifically</w:t>
      </w:r>
      <w:r>
        <w:t xml:space="preserve"> </w:t>
      </w:r>
      <w:r>
        <w:t xml:space="preserve">examining regression or onset pattern have not supported an MMR-related</w:t>
      </w:r>
      <w:r>
        <w:t xml:space="preserve"> </w:t>
      </w:r>
      <w:r>
        <w:t xml:space="preserve">regressive phenotype. The present study therefore does not treat a</w:t>
      </w:r>
      <w:r>
        <w:t xml:space="preserve"> </w:t>
      </w:r>
      <w:r>
        <w:t xml:space="preserve">causal association as established. Its narrower question is whether a</w:t>
      </w:r>
      <w:r>
        <w:t xml:space="preserve"> </w:t>
      </w:r>
      <w:r>
        <w:t xml:space="preserve">highly selected subgroup with a documented, abrupt, readily dated</w:t>
      </w:r>
      <w:r>
        <w:t xml:space="preserve"> </w:t>
      </w:r>
      <w:r>
        <w:t xml:space="preserve">parent-observed onset shows nonrandom temporal positioning between</w:t>
      </w:r>
      <w:r>
        <w:t xml:space="preserve"> </w:t>
      </w:r>
      <w:r>
        <w:t xml:space="preserve">adjacent vaccination encounters. This question is scientifically</w:t>
      </w:r>
      <w:r>
        <w:t xml:space="preserve"> </w:t>
      </w:r>
      <w:r>
        <w:t xml:space="preserve">testable, but selection, recall, documentation, diagnostic, and</w:t>
      </w:r>
      <w:r>
        <w:t xml:space="preserve"> </w:t>
      </w:r>
      <w:r>
        <w:t xml:space="preserve">time-varying confounding must be addressed explicitly.</w:t>
      </w:r>
    </w:p>
    <w:p>
      <w:pPr>
        <w:pStyle w:val="BodyText"/>
      </w:pPr>
      <w:r>
        <w:t xml:space="preserve">The scientific value is methodological: to determine whether</w:t>
      </w:r>
      <w:r>
        <w:t xml:space="preserve"> </w:t>
      </w:r>
      <w:r>
        <w:t xml:space="preserve">clinic-derived timing data are sufficiently reliable and whether any</w:t>
      </w:r>
      <w:r>
        <w:t xml:space="preserve"> </w:t>
      </w:r>
      <w:r>
        <w:t xml:space="preserve">temporal clustering persists under prespecified,</w:t>
      </w:r>
      <w:r>
        <w:t xml:space="preserve"> </w:t>
      </w:r>
      <w:r>
        <w:t xml:space="preserve">exposure-opportunity-adjusted analyses. A positive result would be</w:t>
      </w:r>
      <w:r>
        <w:t xml:space="preserve"> </w:t>
      </w:r>
      <w:r>
        <w:t xml:space="preserve">hypothesis-generating and would require independent confirmation in</w:t>
      </w:r>
      <w:r>
        <w:t xml:space="preserve"> </w:t>
      </w:r>
      <w:r>
        <w:t xml:space="preserve">population-based records with prospectively recorded developmental</w:t>
      </w:r>
      <w:r>
        <w:t xml:space="preserve"> </w:t>
      </w:r>
      <w:r>
        <w:t xml:space="preserve">measures. A null result would constrain the magnitude of short-window</w:t>
      </w:r>
      <w:r>
        <w:t xml:space="preserve"> </w:t>
      </w:r>
      <w:r>
        <w:t xml:space="preserve">clustering in this selected phenotype.</w:t>
      </w:r>
    </w:p>
    <w:bookmarkEnd w:id="12"/>
    <w:bookmarkStart w:id="13" w:name="X684d46860716d881910e92096668c227ffef0e1"/>
    <w:p>
      <w:pPr>
        <w:pStyle w:val="Heading2"/>
      </w:pPr>
      <w:r>
        <w:t xml:space="preserve">3. Specific aims and hypotheses</w:t>
      </w:r>
    </w:p>
    <w:p>
      <w:pPr>
        <w:numPr>
          <w:ilvl w:val="0"/>
          <w:numId w:val="1001"/>
        </w:numPr>
      </w:pPr>
      <w:r>
        <w:t xml:space="preserve">Aim 1: Test whether onset timing is distributed uniformly within the</w:t>
      </w:r>
      <w:r>
        <w:t xml:space="preserve"> </w:t>
      </w:r>
      <w:r>
        <w:t xml:space="preserve">interval between adjacent vaccinations or is disproportionately</w:t>
      </w:r>
      <w:r>
        <w:t xml:space="preserve"> </w:t>
      </w:r>
      <w:r>
        <w:t xml:space="preserve">concentrated near the preceding vaccination. Primary normalized</w:t>
      </w:r>
      <w:r>
        <w:t xml:space="preserve"> </w:t>
      </w:r>
      <w:r>
        <w:t xml:space="preserve">measure: U = Dpre / (Dpre + Dpost). Under the primary null model,</w:t>
      </w:r>
      <w:r>
        <w:t xml:space="preserve"> </w:t>
      </w:r>
      <w:r>
        <w:t xml:space="preserve">onset is uniformly distributed within each observed interval and U</w:t>
      </w:r>
      <w:r>
        <w:t xml:space="preserve"> </w:t>
      </w:r>
      <w:r>
        <w:t xml:space="preserve">follows Uniform(0,1).</w:t>
      </w:r>
    </w:p>
    <w:p>
      <w:pPr>
        <w:numPr>
          <w:ilvl w:val="0"/>
          <w:numId w:val="1001"/>
        </w:numPr>
      </w:pPr>
      <w:r>
        <w:t xml:space="preserve">Aim 2: Estimate and compare prespecified short-window</w:t>
      </w:r>
      <w:r>
        <w:t xml:space="preserve"> </w:t>
      </w:r>
      <w:r>
        <w:t xml:space="preserve">concentrations, especially Dpre = 0–2 days and Dpre = 0–7 days,</w:t>
      </w:r>
      <w:r>
        <w:t xml:space="preserve"> </w:t>
      </w:r>
      <w:r>
        <w:t xml:space="preserve">against their child-specific null expectations. These windows</w:t>
      </w:r>
      <w:r>
        <w:t xml:space="preserve"> </w:t>
      </w:r>
      <w:r>
        <w:t xml:space="preserve">provide interpretable effect estimates without defining the study’s</w:t>
      </w:r>
      <w:r>
        <w:t xml:space="preserve"> </w:t>
      </w:r>
      <w:r>
        <w:t xml:space="preserve">success by one arbitrary cutoff.</w:t>
      </w:r>
    </w:p>
    <w:p>
      <w:pPr>
        <w:numPr>
          <w:ilvl w:val="0"/>
          <w:numId w:val="1001"/>
        </w:numPr>
      </w:pPr>
      <w:r>
        <w:t xml:space="preserve">Aim 3: Describe timing patterns by age at onset and sex, and assess</w:t>
      </w:r>
      <w:r>
        <w:t xml:space="preserve"> </w:t>
      </w:r>
      <w:r>
        <w:t xml:space="preserve">robustness to same-day coding, interval length, alternative risk</w:t>
      </w:r>
      <w:r>
        <w:t xml:space="preserve"> </w:t>
      </w:r>
      <w:r>
        <w:t xml:space="preserve">windows, and other sensitivity analyses supported by the six</w:t>
      </w:r>
      <w:r>
        <w:t xml:space="preserve"> </w:t>
      </w:r>
      <w:r>
        <w:t xml:space="preserve">received variables.</w:t>
      </w:r>
    </w:p>
    <w:p>
      <w:pPr>
        <w:pStyle w:val="FirstParagraph"/>
      </w:pPr>
      <w:r>
        <w:t xml:space="preserve">No confirmatory causal hypothesis is proposed. All language in reports</w:t>
      </w:r>
      <w:r>
        <w:t xml:space="preserve"> </w:t>
      </w:r>
      <w:r>
        <w:t xml:space="preserve">will distinguish temporal association from causation.</w:t>
      </w:r>
    </w:p>
    <w:bookmarkEnd w:id="13"/>
    <w:bookmarkStart w:id="14" w:name="Xd3c214e92ba4ef7bb182c29b9e1aff6f805a076"/>
    <w:p>
      <w:pPr>
        <w:pStyle w:val="Heading2"/>
      </w:pPr>
      <w:r>
        <w:t xml:space="preserve">4. Study design and setting</w:t>
      </w:r>
    </w:p>
    <w:p>
      <w:pPr>
        <w:pStyle w:val="FirstParagraph"/>
      </w:pPr>
      <w:r>
        <w:t xml:space="preserve">Retrospective, multisite clinical case series using existing medical</w:t>
      </w:r>
      <w:r>
        <w:t xml:space="preserve"> </w:t>
      </w:r>
      <w:r>
        <w:t xml:space="preserve">records. Clinic personnel will screen records, verify eligibility,</w:t>
      </w:r>
      <w:r>
        <w:t xml:space="preserve"> </w:t>
      </w:r>
      <w:r>
        <w:t xml:space="preserve">abstract source dates, calculate intervals locally, remove identifiers,</w:t>
      </w:r>
      <w:r>
        <w:t xml:space="preserve"> </w:t>
      </w:r>
      <w:r>
        <w:t xml:space="preserve">and transmit only the approved dataset. The coordinating team will not</w:t>
      </w:r>
      <w:r>
        <w:t xml:space="preserve"> </w:t>
      </w:r>
      <w:r>
        <w:t xml:space="preserve">contact patients and will not access clinic electronic medical records</w:t>
      </w:r>
      <w:r>
        <w:t xml:space="preserve"> </w:t>
      </w:r>
      <w:r>
        <w:t xml:space="preserve">or linkage keys. The study will enroll at least 300 eligible records in</w:t>
      </w:r>
      <w:r>
        <w:t xml:space="preserve"> </w:t>
      </w:r>
      <w:r>
        <w:t xml:space="preserve">total from at least five participating clinics. Each clinic will</w:t>
      </w:r>
      <w:r>
        <w:t xml:space="preserve"> </w:t>
      </w:r>
      <w:r>
        <w:t xml:space="preserve">contribute all eligible records identified during its prespecified</w:t>
      </w:r>
      <w:r>
        <w:t xml:space="preserve"> </w:t>
      </w:r>
      <w:r>
        <w:t xml:space="preserve">ascertainment period. No fixed number is required from an individual</w:t>
      </w:r>
      <w:r>
        <w:t xml:space="preserve"> </w:t>
      </w:r>
      <w:r>
        <w:t xml:space="preserve">clinic, and enrollment will not be stopped or extended based on observed</w:t>
      </w:r>
      <w:r>
        <w:t xml:space="preserve"> </w:t>
      </w:r>
      <w:r>
        <w:t xml:space="preserve">timing results. The final minimum sample-size requirement will be</w:t>
      </w:r>
      <w:r>
        <w:t xml:space="preserve"> </w:t>
      </w:r>
      <w:r>
        <w:t xml:space="preserve">confirmed through simulation by the study statistician before data</w:t>
      </w:r>
      <w:r>
        <w:t xml:space="preserve"> </w:t>
      </w:r>
      <w:r>
        <w:t xml:space="preserve">collection begins.</w:t>
      </w:r>
    </w:p>
    <w:bookmarkEnd w:id="14"/>
    <w:bookmarkStart w:id="15" w:name="Xf39e739640b451916791e78cc7a9b93389ae618"/>
    <w:p>
      <w:pPr>
        <w:pStyle w:val="Heading2"/>
      </w:pPr>
      <w:r>
        <w:t xml:space="preserve">5. Operational definition of SORA</w:t>
      </w:r>
    </w:p>
    <w:p>
      <w:pPr>
        <w:pStyle w:val="FirstParagraph"/>
      </w:pPr>
      <w:r>
        <w:t xml:space="preserve">A record qualifies only when all criteria below are documented. “Sudden</w:t>
      </w:r>
      <w:r>
        <w:t xml:space="preserve"> </w:t>
      </w:r>
      <w:r>
        <w:t xml:space="preserve">onset” means a parent or primary caregiver identified a specific</w:t>
      </w:r>
      <w:r>
        <w:t xml:space="preserve"> </w:t>
      </w:r>
      <w:r>
        <w:t xml:space="preserve">calendar date, or an interval no longer than 48 hours, when persistent</w:t>
      </w:r>
      <w:r>
        <w:t xml:space="preserve"> </w:t>
      </w:r>
      <w:r>
        <w:t xml:space="preserve">new ASD-relevant behaviors or a marked loss of previously acquired</w:t>
      </w:r>
      <w:r>
        <w:t xml:space="preserve"> </w:t>
      </w:r>
      <w:r>
        <w:t xml:space="preserve">developmental skills first became obvious. Examples may include new</w:t>
      </w:r>
      <w:r>
        <w:t xml:space="preserve"> </w:t>
      </w:r>
      <w:r>
        <w:t xml:space="preserve">persistent head banging or other repetitive behavior, loss of eye</w:t>
      </w:r>
      <w:r>
        <w:t xml:space="preserve"> </w:t>
      </w:r>
      <w:r>
        <w:t xml:space="preserve">contact or reciprocal social engagement, or marked loss of language or</w:t>
      </w:r>
      <w:r>
        <w:t xml:space="preserve"> </w:t>
      </w:r>
      <w:r>
        <w:t xml:space="preserve">another acquired skill. Transient post-vaccination symptoms alone</w:t>
      </w:r>
      <w:r>
        <w:t xml:space="preserve"> </w:t>
      </w:r>
      <w:r>
        <w:t xml:space="preserve">(fever, irritability, sleep change, reduced appetite) do not constitute</w:t>
      </w:r>
      <w:r>
        <w:t xml:space="preserve"> </w:t>
      </w:r>
      <w:r>
        <w:t xml:space="preserve">regression.</w:t>
      </w:r>
    </w:p>
    <w:bookmarkEnd w:id="15"/>
    <w:bookmarkStart w:id="18" w:name="X8cece9b7b7e0b1bd8b6e04c287ec54e6234b94e"/>
    <w:p>
      <w:pPr>
        <w:pStyle w:val="Heading2"/>
      </w:pPr>
      <w:r>
        <w:t xml:space="preserve">6. Eligibility criteria</w:t>
      </w:r>
    </w:p>
    <w:bookmarkStart w:id="16" w:name="inclusion"/>
    <w:p>
      <w:pPr>
        <w:pStyle w:val="Heading3"/>
      </w:pPr>
      <w:r>
        <w:t xml:space="preserve">Inclusion</w:t>
      </w:r>
    </w:p>
    <w:p>
      <w:pPr>
        <w:numPr>
          <w:ilvl w:val="0"/>
          <w:numId w:val="1002"/>
        </w:numPr>
      </w:pPr>
      <w:r>
        <w:t xml:space="preserve">Age 0–60 months at the documented onset.</w:t>
      </w:r>
    </w:p>
    <w:p>
      <w:pPr>
        <w:numPr>
          <w:ilvl w:val="0"/>
          <w:numId w:val="1002"/>
        </w:numPr>
      </w:pPr>
      <w:r>
        <w:t xml:space="preserve">Subsequent ASD diagnosis documented by a qualified clinician using the</w:t>
      </w:r>
      <w:r>
        <w:t xml:space="preserve"> </w:t>
      </w:r>
      <w:r>
        <w:t xml:space="preserve">clinic’s standard diagnostic process; diagnostic method recorded when</w:t>
      </w:r>
      <w:r>
        <w:t xml:space="preserve"> </w:t>
      </w:r>
      <w:r>
        <w:t xml:space="preserve">available.</w:t>
      </w:r>
    </w:p>
    <w:p>
      <w:pPr>
        <w:numPr>
          <w:ilvl w:val="0"/>
          <w:numId w:val="1002"/>
        </w:numPr>
      </w:pPr>
      <w:r>
        <w:t xml:space="preserve">Documentation that development before onset was described as typical</w:t>
      </w:r>
      <w:r>
        <w:t xml:space="preserve"> </w:t>
      </w:r>
      <w:r>
        <w:t xml:space="preserve">or meeting expected milestones, with no persistent ASD-specific</w:t>
      </w:r>
      <w:r>
        <w:t xml:space="preserve"> </w:t>
      </w:r>
      <w:r>
        <w:t xml:space="preserve">concern recorded before the index onset.</w:t>
      </w:r>
    </w:p>
    <w:p>
      <w:pPr>
        <w:numPr>
          <w:ilvl w:val="0"/>
          <w:numId w:val="1002"/>
        </w:numPr>
      </w:pPr>
      <w:r>
        <w:t xml:space="preserve">A parent/caregiver-reported onset date or ≤48-hour onset interval for</w:t>
      </w:r>
      <w:r>
        <w:t xml:space="preserve"> </w:t>
      </w:r>
      <w:r>
        <w:t xml:space="preserve">a persistent change meeting the SORA definition.</w:t>
      </w:r>
    </w:p>
    <w:p>
      <w:pPr>
        <w:numPr>
          <w:ilvl w:val="0"/>
          <w:numId w:val="1002"/>
        </w:numPr>
      </w:pPr>
      <w:r>
        <w:t xml:space="preserve">A verifiable vaccination date before onset and a verifiable</w:t>
      </w:r>
      <w:r>
        <w:t xml:space="preserve"> </w:t>
      </w:r>
      <w:r>
        <w:t xml:space="preserve">vaccination date after onset in the source record. If no later</w:t>
      </w:r>
      <w:r>
        <w:t xml:space="preserve"> </w:t>
      </w:r>
      <w:r>
        <w:t xml:space="preserve">vaccination exists, retain for descriptive analysis but exclude from</w:t>
      </w:r>
      <w:r>
        <w:t xml:space="preserve"> </w:t>
      </w:r>
      <w:r>
        <w:t xml:space="preserve">normalized-position analysis.</w:t>
      </w:r>
    </w:p>
    <w:p>
      <w:pPr>
        <w:numPr>
          <w:ilvl w:val="0"/>
          <w:numId w:val="1002"/>
        </w:numPr>
      </w:pPr>
      <w:r>
        <w:t xml:space="preserve">Record falls within the clinic’s prespecified ascertainment period:</w:t>
      </w:r>
      <w:r>
        <w:t xml:space="preserve"> </w:t>
      </w:r>
      <w:r>
        <w:t xml:space="preserve">[start year] through [end year].</w:t>
      </w:r>
    </w:p>
    <w:bookmarkEnd w:id="16"/>
    <w:bookmarkStart w:id="17" w:name="exclusion"/>
    <w:p>
      <w:pPr>
        <w:pStyle w:val="Heading3"/>
      </w:pPr>
      <w:r>
        <w:t xml:space="preserve">Exclusion</w:t>
      </w:r>
    </w:p>
    <w:p>
      <w:pPr>
        <w:numPr>
          <w:ilvl w:val="0"/>
          <w:numId w:val="1003"/>
        </w:numPr>
      </w:pPr>
      <w:r>
        <w:t xml:space="preserve">Documented genetic, neurologic, metabolic, infectious, traumatic, or</w:t>
      </w:r>
      <w:r>
        <w:t xml:space="preserve"> </w:t>
      </w:r>
      <w:r>
        <w:t xml:space="preserve">other condition judged to explain regression (examples: Rett syndrome,</w:t>
      </w:r>
      <w:r>
        <w:t xml:space="preserve"> </w:t>
      </w:r>
      <w:r>
        <w:t xml:space="preserve">Fragile X syndrome, epileptic encephalopathy), unless retained in a</w:t>
      </w:r>
      <w:r>
        <w:t xml:space="preserve"> </w:t>
      </w:r>
      <w:r>
        <w:t xml:space="preserve">prespecified sensitivity stratum.</w:t>
      </w:r>
    </w:p>
    <w:p>
      <w:pPr>
        <w:numPr>
          <w:ilvl w:val="0"/>
          <w:numId w:val="1003"/>
        </w:numPr>
      </w:pPr>
      <w:r>
        <w:t xml:space="preserve">Developmental or ASD-specific concern documented before the proposed</w:t>
      </w:r>
      <w:r>
        <w:t xml:space="preserve"> </w:t>
      </w:r>
      <w:r>
        <w:t xml:space="preserve">onset date.</w:t>
      </w:r>
    </w:p>
    <w:p>
      <w:pPr>
        <w:numPr>
          <w:ilvl w:val="0"/>
          <w:numId w:val="1003"/>
        </w:numPr>
      </w:pPr>
      <w:r>
        <w:t xml:space="preserve">Gradual, uncertain, or retrospectively approximated onset exceeding 48</w:t>
      </w:r>
      <w:r>
        <w:t xml:space="preserve"> </w:t>
      </w:r>
      <w:r>
        <w:t xml:space="preserve">hours; these may be logged as screen failures or analyzed separately,</w:t>
      </w:r>
      <w:r>
        <w:t xml:space="preserve"> </w:t>
      </w:r>
      <w:r>
        <w:t xml:space="preserve">not included in the primary cohort.</w:t>
      </w:r>
    </w:p>
    <w:p>
      <w:pPr>
        <w:numPr>
          <w:ilvl w:val="0"/>
          <w:numId w:val="1003"/>
        </w:numPr>
      </w:pPr>
      <w:r>
        <w:t xml:space="preserve">Onset defined only by nonspecific acute symptoms without persistent</w:t>
      </w:r>
      <w:r>
        <w:t xml:space="preserve"> </w:t>
      </w:r>
      <w:r>
        <w:t xml:space="preserve">developmental/behavioral change.</w:t>
      </w:r>
    </w:p>
    <w:p>
      <w:pPr>
        <w:numPr>
          <w:ilvl w:val="0"/>
          <w:numId w:val="1003"/>
        </w:numPr>
      </w:pPr>
      <w:r>
        <w:t xml:space="preserve">Conflicting dates that cannot be resolved by the site adjudicator, or</w:t>
      </w:r>
      <w:r>
        <w:t xml:space="preserve"> </w:t>
      </w:r>
      <w:r>
        <w:t xml:space="preserve">missing required timing data.</w:t>
      </w:r>
    </w:p>
    <w:bookmarkEnd w:id="17"/>
    <w:bookmarkEnd w:id="18"/>
    <w:bookmarkStart w:id="19" w:name="Xf82a4025126ff7fbd7432abfc3f3e53c3419f12"/>
    <w:p>
      <w:pPr>
        <w:pStyle w:val="Heading2"/>
      </w:pPr>
      <w:r>
        <w:t xml:space="preserve">7. Identification, screening, and adjudication</w:t>
      </w:r>
    </w:p>
    <w:p>
      <w:pPr>
        <w:numPr>
          <w:ilvl w:val="0"/>
          <w:numId w:val="1004"/>
        </w:numPr>
      </w:pPr>
      <w:r>
        <w:t xml:space="preserve">Each site defines the full source population and ascertainment dates</w:t>
      </w:r>
      <w:r>
        <w:t xml:space="preserve"> </w:t>
      </w:r>
      <w:r>
        <w:t xml:space="preserve">before screening. Searches may use ASD diagnosis codes and terms</w:t>
      </w:r>
      <w:r>
        <w:t xml:space="preserve"> </w:t>
      </w:r>
      <w:r>
        <w:t xml:space="preserve">indicating regression or skill loss.</w:t>
      </w:r>
    </w:p>
    <w:p>
      <w:pPr>
        <w:numPr>
          <w:ilvl w:val="0"/>
          <w:numId w:val="1004"/>
        </w:numPr>
      </w:pPr>
      <w:r>
        <w:t xml:space="preserve">Site staff create a screening log containing aggregate counts only:</w:t>
      </w:r>
      <w:r>
        <w:t xml:space="preserve"> </w:t>
      </w:r>
      <w:r>
        <w:t xml:space="preserve">records screened, excluded by each criterion, eligible, and missing</w:t>
      </w:r>
      <w:r>
        <w:t xml:space="preserve"> </w:t>
      </w:r>
      <w:r>
        <w:t xml:space="preserve">timing data.</w:t>
      </w:r>
    </w:p>
    <w:p>
      <w:pPr>
        <w:numPr>
          <w:ilvl w:val="0"/>
          <w:numId w:val="1004"/>
        </w:numPr>
      </w:pPr>
      <w:r>
        <w:t xml:space="preserve">Two trained site reviewers independently assess eligibility where</w:t>
      </w:r>
      <w:r>
        <w:t xml:space="preserve"> </w:t>
      </w:r>
      <w:r>
        <w:t xml:space="preserve">feasible. Disagreements are resolved by a third clinician without</w:t>
      </w:r>
      <w:r>
        <w:t xml:space="preserve"> </w:t>
      </w:r>
      <w:r>
        <w:t xml:space="preserve">considering calculated Dpre or Dpost. Eligibility details are not</w:t>
      </w:r>
      <w:r>
        <w:t xml:space="preserve"> </w:t>
      </w:r>
      <w:r>
        <w:t xml:space="preserve">transmitted.</w:t>
      </w:r>
    </w:p>
    <w:p>
      <w:pPr>
        <w:numPr>
          <w:ilvl w:val="0"/>
          <w:numId w:val="1004"/>
        </w:numPr>
      </w:pPr>
      <w:r>
        <w:t xml:space="preserve">Onset is taken from the earliest parent/caregiver report documented</w:t>
      </w:r>
      <w:r>
        <w:t xml:space="preserve"> </w:t>
      </w:r>
      <w:r>
        <w:t xml:space="preserve">in the record that supports an unambiguous onset date under the</w:t>
      </w:r>
      <w:r>
        <w:t xml:space="preserve"> </w:t>
      </w:r>
      <w:r>
        <w:t xml:space="preserve">protocol. The source date and narrative remain at the clinic.</w:t>
      </w:r>
    </w:p>
    <w:p>
      <w:pPr>
        <w:numPr>
          <w:ilvl w:val="0"/>
          <w:numId w:val="1004"/>
        </w:numPr>
      </w:pPr>
      <w:r>
        <w:t xml:space="preserve">Vaccination dates must reflect administration, not ordering,</w:t>
      </w:r>
      <w:r>
        <w:t xml:space="preserve"> </w:t>
      </w:r>
      <w:r>
        <w:t xml:space="preserve">billing, recommendation, or a generic well-child visit. Combination</w:t>
      </w:r>
      <w:r>
        <w:t xml:space="preserve"> </w:t>
      </w:r>
      <w:r>
        <w:t xml:space="preserve">products and simultaneous vaccines count as one vaccination date;</w:t>
      </w:r>
      <w:r>
        <w:t xml:space="preserve"> </w:t>
      </w:r>
      <w:r>
        <w:t xml:space="preserve">product/antigen fields are optional secondary variables.</w:t>
      </w:r>
    </w:p>
    <w:p>
      <w:pPr>
        <w:numPr>
          <w:ilvl w:val="0"/>
          <w:numId w:val="1004"/>
        </w:numPr>
      </w:pPr>
      <w:r>
        <w:t xml:space="preserve">The site calculates Dpre and Dpost only after eligibility is locked.</w:t>
      </w:r>
      <w:r>
        <w:t xml:space="preserve"> </w:t>
      </w:r>
      <w:r>
        <w:t xml:space="preserve">Negative values are invalid. Same-day administration and onset are</w:t>
      </w:r>
      <w:r>
        <w:t xml:space="preserve"> </w:t>
      </w:r>
      <w:r>
        <w:t xml:space="preserve">coded Dpre=0, with time ordering recorded only if contemporaneously</w:t>
      </w:r>
      <w:r>
        <w:t xml:space="preserve"> </w:t>
      </w:r>
      <w:r>
        <w:t xml:space="preserve">documented.</w:t>
      </w:r>
    </w:p>
    <w:bookmarkEnd w:id="19"/>
    <w:bookmarkStart w:id="20" w:name="Xd38b0e0a14fe4b0e8f5d50d0c5724d19b5c6006"/>
    <w:p>
      <w:pPr>
        <w:pStyle w:val="Heading2"/>
      </w:pPr>
      <w:r>
        <w:t xml:space="preserve">8. Variables and data collection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Definition / coding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code</w:t>
            </w:r>
          </w:p>
        </w:tc>
        <w:tc>
          <w:tcPr/>
          <w:p>
            <w:pPr>
              <w:pStyle w:val="Compact"/>
            </w:pPr>
            <w:r>
              <w:t xml:space="preserve">Nonidentifying code assigned for analysis; clinic-name mapping is restricted</w:t>
            </w:r>
          </w:p>
        </w:tc>
        <w:tc>
          <w:tcPr/>
          <w:p>
            <w:pPr>
              <w:pStyle w:val="Compact"/>
            </w:pPr>
            <w:r>
              <w:t xml:space="preserve">Required internally; recoded or removed before public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 row ID</w:t>
            </w:r>
          </w:p>
        </w:tc>
        <w:tc>
          <w:tcPr/>
          <w:p>
            <w:pPr>
              <w:pStyle w:val="Compact"/>
            </w:pPr>
            <w:r>
              <w:t xml:space="preserve">Arbitrary sequential or random code; not derived from identifiers; mapping retained only by clinic</w:t>
            </w:r>
          </w:p>
        </w:tc>
        <w:tc>
          <w:tcPr/>
          <w:p>
            <w:pPr>
              <w:pStyle w:val="Compact"/>
            </w:pPr>
            <w:r>
              <w:t xml:space="preserve">Required; replaced before public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at onset</w:t>
            </w:r>
          </w:p>
        </w:tc>
        <w:tc>
          <w:tcPr/>
          <w:p>
            <w:pPr>
              <w:pStyle w:val="Compact"/>
            </w:pPr>
            <w:r>
              <w:t xml:space="preserve">Completed months at onset; public release may bin to protect privacy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Clinic-recorded value using prespecified categories; suppress small cells publicly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Dpre</w:t>
            </w:r>
          </w:p>
        </w:tc>
        <w:tc>
          <w:tcPr/>
          <w:p>
            <w:pPr>
              <w:pStyle w:val="Compact"/>
            </w:pPr>
            <w:r>
              <w:t xml:space="preserve">Calendar days: onset minus most recent administered vaccination before/on onset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Dpost</w:t>
            </w:r>
          </w:p>
        </w:tc>
        <w:tc>
          <w:tcPr/>
          <w:p>
            <w:pPr>
              <w:pStyle w:val="Compact"/>
            </w:pPr>
            <w:r>
              <w:t xml:space="preserve">Calendar days: first administered vaccination after onset minus onset</w:t>
            </w:r>
          </w:p>
        </w:tc>
        <w:tc>
          <w:tcPr/>
          <w:p>
            <w:pPr>
              <w:pStyle w:val="Compact"/>
            </w:pPr>
            <w:r>
              <w:t xml:space="preserve">Required for primary normalized analysis</w:t>
            </w:r>
          </w:p>
        </w:tc>
      </w:tr>
    </w:tbl>
    <w:p>
      <w:pPr>
        <w:pStyle w:val="BodyText"/>
      </w:pPr>
      <w:r>
        <w:t xml:space="preserve">The three temporal data points supplied for each qualifying child are</w:t>
      </w:r>
      <w:r>
        <w:t xml:space="preserve"> </w:t>
      </w:r>
      <w:r>
        <w:t xml:space="preserve">age at onset, Dpre, and Dpost. Sex is the sole demographic variable. No</w:t>
      </w:r>
      <w:r>
        <w:t xml:space="preserve"> </w:t>
      </w:r>
      <w:r>
        <w:t xml:space="preserve">calendar dates, phenotype variables, clinical narratives, vaccine</w:t>
      </w:r>
      <w:r>
        <w:t xml:space="preserve"> </w:t>
      </w:r>
      <w:r>
        <w:t xml:space="preserve">products, clinic names, or eligibility details leave the clinic. The</w:t>
      </w:r>
      <w:r>
        <w:t xml:space="preserve"> </w:t>
      </w:r>
      <w:r>
        <w:t xml:space="preserve">nonidentifying site code is retained internally only to support</w:t>
      </w:r>
      <w:r>
        <w:t xml:space="preserve"> </w:t>
      </w:r>
      <w:r>
        <w:t xml:space="preserve">site-aware analyses.</w:t>
      </w:r>
    </w:p>
    <w:bookmarkEnd w:id="20"/>
    <w:bookmarkStart w:id="27" w:name="Xf9fabf6844541499ab840434c2ee93523a991e4"/>
    <w:p>
      <w:pPr>
        <w:pStyle w:val="Heading2"/>
      </w:pPr>
      <w:r>
        <w:t xml:space="preserve">9. Statistical analysis plan</w:t>
      </w:r>
    </w:p>
    <w:bookmarkStart w:id="21" w:name="Xb9be467960ffee3b19b2aad4955293885f1fd4f"/>
    <w:p>
      <w:pPr>
        <w:pStyle w:val="Heading3"/>
      </w:pPr>
      <w:r>
        <w:t xml:space="preserve">9.1 Analysis populations</w:t>
      </w:r>
    </w:p>
    <w:p>
      <w:pPr>
        <w:numPr>
          <w:ilvl w:val="0"/>
          <w:numId w:val="1005"/>
        </w:numPr>
      </w:pPr>
      <w:r>
        <w:t xml:space="preserve">Primary analysis set: all eligible records with exact or ≤48-hour</w:t>
      </w:r>
      <w:r>
        <w:t xml:space="preserve"> </w:t>
      </w:r>
      <w:r>
        <w:t xml:space="preserve">onset and valid vaccination dates on both sides of onset.</w:t>
      </w:r>
    </w:p>
    <w:p>
      <w:pPr>
        <w:numPr>
          <w:ilvl w:val="0"/>
          <w:numId w:val="1005"/>
        </w:numPr>
      </w:pPr>
      <w:r>
        <w:t xml:space="preserve">Descriptive set: all eligible records, including those lacking a</w:t>
      </w:r>
      <w:r>
        <w:t xml:space="preserve"> </w:t>
      </w:r>
      <w:r>
        <w:t xml:space="preserve">subsequent vaccination.</w:t>
      </w:r>
    </w:p>
    <w:p>
      <w:pPr>
        <w:numPr>
          <w:ilvl w:val="0"/>
          <w:numId w:val="1005"/>
        </w:numPr>
      </w:pPr>
      <w:r>
        <w:t xml:space="preserve">Sensitivity sets available from the received variables: intervals</w:t>
      </w:r>
      <w:r>
        <w:t xml:space="preserve"> </w:t>
      </w:r>
      <w:r>
        <w:t xml:space="preserve">≤[365] days, exclusion of same-day cases when ordering is unknown,</w:t>
      </w:r>
      <w:r>
        <w:t xml:space="preserve"> </w:t>
      </w:r>
      <w:r>
        <w:t xml:space="preserve">site-stratified results, and leave-one-site-out analyses.</w:t>
      </w:r>
    </w:p>
    <w:bookmarkEnd w:id="21"/>
    <w:bookmarkStart w:id="22" w:name="Xdcadfc6d3aae39278edd7f0b28ab24ac048232e"/>
    <w:p>
      <w:pPr>
        <w:pStyle w:val="Heading3"/>
      </w:pPr>
      <w:r>
        <w:t xml:space="preserve">9.2 Primary estimands and tests</w:t>
      </w:r>
    </w:p>
    <w:p>
      <w:pPr>
        <w:pStyle w:val="FirstParagraph"/>
      </w:pPr>
      <w:r>
        <w:t xml:space="preserve">For child i, let aᵢ=Dpre, bᵢ=Dpost, Lᵢ=aᵢ+bᵢ, and Uᵢ=aᵢ/Lᵢ. The primary</w:t>
      </w:r>
      <w:r>
        <w:t xml:space="preserve"> </w:t>
      </w:r>
      <w:r>
        <w:t xml:space="preserve">analysis evaluates whether U is Uniform(0,1) using a prespecified</w:t>
      </w:r>
      <w:r>
        <w:t xml:space="preserve"> </w:t>
      </w:r>
      <w:r>
        <w:t xml:space="preserve">one-sample Cramér–von Mises statistic with a Monte Carlo conditional</w:t>
      </w:r>
      <w:r>
        <w:t xml:space="preserve"> </w:t>
      </w:r>
      <w:r>
        <w:t xml:space="preserve">randomization distribution generated within each observed interval Lᵢ.</w:t>
      </w:r>
      <w:r>
        <w:t xml:space="preserve"> </w:t>
      </w:r>
      <w:r>
        <w:t xml:space="preserve">The primary directional contrast will test excess concentration near the</w:t>
      </w:r>
      <w:r>
        <w:t xml:space="preserve"> </w:t>
      </w:r>
      <w:r>
        <w:t xml:space="preserve">preceding vaccination using a prespecified statistic such as mean</w:t>
      </w:r>
      <w:r>
        <w:t xml:space="preserve"> </w:t>
      </w:r>
      <w:r>
        <w:t xml:space="preserve">−log[max(U,ε)]. The empirical cumulative distribution and histogram of</w:t>
      </w:r>
      <w:r>
        <w:t xml:space="preserve"> </w:t>
      </w:r>
      <w:r>
        <w:t xml:space="preserve">Dpre and U will be reported regardless of statistical significance.</w:t>
      </w:r>
    </w:p>
    <w:p>
      <w:pPr>
        <w:pStyle w:val="BodyText"/>
      </w:pPr>
      <w:r>
        <w:t xml:space="preserve">The 0–2-day and 0–7-day windows are prespecified key secondary</w:t>
      </w:r>
      <w:r>
        <w:t xml:space="preserve"> </w:t>
      </w:r>
      <w:r>
        <w:t xml:space="preserve">estimands. For a window 0–w, the null probability for child i is</w:t>
      </w:r>
      <w:r>
        <w:t xml:space="preserve"> </w:t>
      </w:r>
      <w:r>
        <w:t xml:space="preserve">min((w+1)/Lᵢ,1) when eligible discrete onset days are 0,…,Lᵢ−1;</w:t>
      </w:r>
      <w:r>
        <w:t xml:space="preserve"> </w:t>
      </w:r>
      <w:r>
        <w:t xml:space="preserve">conventions will be fixed before database lock. Each observed count will</w:t>
      </w:r>
      <w:r>
        <w:t xml:space="preserve"> </w:t>
      </w:r>
      <w:r>
        <w:t xml:space="preserve">be compared with its Poisson-binomial null distribution. Report observed</w:t>
      </w:r>
      <w:r>
        <w:t xml:space="preserve"> </w:t>
      </w:r>
      <w:r>
        <w:t xml:space="preserve">and expected proportions, risk ratios, risk differences, 95% confidence</w:t>
      </w:r>
      <w:r>
        <w:t xml:space="preserve"> </w:t>
      </w:r>
      <w:r>
        <w:t xml:space="preserve">intervals, and multiplicity-adjusted p values. Holm correction will</w:t>
      </w:r>
      <w:r>
        <w:t xml:space="preserve"> </w:t>
      </w:r>
      <w:r>
        <w:t xml:space="preserve">control family-wise α=0.05 across the primary omnibus/directional test</w:t>
      </w:r>
      <w:r>
        <w:t xml:space="preserve"> </w:t>
      </w:r>
      <w:r>
        <w:t xml:space="preserve">family and the two key windows, as finalized by the statistician before</w:t>
      </w:r>
      <w:r>
        <w:t xml:space="preserve"> </w:t>
      </w:r>
      <w:r>
        <w:t xml:space="preserve">database lock.</w:t>
      </w:r>
    </w:p>
    <w:bookmarkEnd w:id="22"/>
    <w:bookmarkStart w:id="23" w:name="X0bf3bfb05e5227aa7e5efd4bc59375d9a94bcb5"/>
    <w:p>
      <w:pPr>
        <w:pStyle w:val="Heading3"/>
      </w:pPr>
      <w:r>
        <w:t xml:space="preserve">9.3 Secondary and exploratory analyses</w:t>
      </w:r>
    </w:p>
    <w:p>
      <w:pPr>
        <w:numPr>
          <w:ilvl w:val="0"/>
          <w:numId w:val="1006"/>
        </w:numPr>
      </w:pPr>
      <w:r>
        <w:t xml:space="preserve">Risk windows 0–1, 0–2, 0–7, 8–14, and 15–30 days, with exact</w:t>
      </w:r>
      <w:r>
        <w:t xml:space="preserve"> </w:t>
      </w:r>
      <w:r>
        <w:t xml:space="preserve">exposure-opportunity denominators. The 0–2 and 0–7 windows are key</w:t>
      </w:r>
      <w:r>
        <w:t xml:space="preserve"> </w:t>
      </w:r>
      <w:r>
        <w:t xml:space="preserve">secondary; the remaining windows are exploratory.</w:t>
      </w:r>
    </w:p>
    <w:p>
      <w:pPr>
        <w:numPr>
          <w:ilvl w:val="0"/>
          <w:numId w:val="1006"/>
        </w:numPr>
      </w:pPr>
      <w:r>
        <w:t xml:space="preserve">Empirical cumulative distribution, histogram, and kernel density</w:t>
      </w:r>
      <w:r>
        <w:t xml:space="preserve"> </w:t>
      </w:r>
      <w:r>
        <w:t xml:space="preserve">(descriptive only). A prespecified moving-window scan will evaluate</w:t>
      </w:r>
      <w:r>
        <w:t xml:space="preserve"> </w:t>
      </w:r>
      <w:r>
        <w:t xml:space="preserve">every contiguous window of width 1–7 days whose endpoints fall within</w:t>
      </w:r>
      <w:r>
        <w:t xml:space="preserve"> </w:t>
      </w:r>
      <w:r>
        <w:t xml:space="preserve">days 0–30 (for example, days 2–4). The test statistic will be the</w:t>
      </w:r>
      <w:r>
        <w:t xml:space="preserve"> </w:t>
      </w:r>
      <w:r>
        <w:t xml:space="preserve">largest standardized observed-minus-expected excess across all scanned</w:t>
      </w:r>
      <w:r>
        <w:t xml:space="preserve"> </w:t>
      </w:r>
      <w:r>
        <w:t xml:space="preserve">windows. Its p value and simultaneous uncertainty will be obtained</w:t>
      </w:r>
      <w:r>
        <w:t xml:space="preserve"> </w:t>
      </w:r>
      <w:r>
        <w:t xml:space="preserve">from the conditional randomization distribution of that maximum</w:t>
      </w:r>
      <w:r>
        <w:t xml:space="preserve"> </w:t>
      </w:r>
      <w:r>
        <w:t xml:space="preserve">statistic, thereby accounting for searching across window locations</w:t>
      </w:r>
      <w:r>
        <w:t xml:space="preserve"> </w:t>
      </w:r>
      <w:r>
        <w:t xml:space="preserve">and widths. The window with the largest excess will be reported as</w:t>
      </w:r>
      <w:r>
        <w:t xml:space="preserve"> </w:t>
      </w:r>
      <w:r>
        <w:t xml:space="preserve">data-adaptive and not as an independently prespecified effect.</w:t>
      </w:r>
    </w:p>
    <w:p>
      <w:pPr>
        <w:numPr>
          <w:ilvl w:val="0"/>
          <w:numId w:val="1006"/>
        </w:numPr>
      </w:pPr>
      <w:r>
        <w:t xml:space="preserve">Stratification by age band and sex when cell sizes permit. No subgroup</w:t>
      </w:r>
      <w:r>
        <w:t xml:space="preserve"> </w:t>
      </w:r>
      <w:r>
        <w:t xml:space="preserve">causal claims.</w:t>
      </w:r>
    </w:p>
    <w:p>
      <w:pPr>
        <w:numPr>
          <w:ilvl w:val="0"/>
          <w:numId w:val="1006"/>
        </w:numPr>
      </w:pPr>
      <w:r>
        <w:t xml:space="preserve">Site-stratified estimates, leave-one-site-out analyses, and a</w:t>
      </w:r>
      <w:r>
        <w:t xml:space="preserve"> </w:t>
      </w:r>
      <w:r>
        <w:t xml:space="preserve">site-level random effect or other cluster-robust method selected by the</w:t>
      </w:r>
      <w:r>
        <w:t xml:space="preserve"> </w:t>
      </w:r>
      <w:r>
        <w:t xml:space="preserve">statistician. No single clinic will be described as an independent</w:t>
      </w:r>
      <w:r>
        <w:t xml:space="preserve"> </w:t>
      </w:r>
      <w:r>
        <w:t xml:space="preserve">replication unless its sample size and prespecified analysis support</w:t>
      </w:r>
      <w:r>
        <w:t xml:space="preserve"> </w:t>
      </w:r>
      <w:r>
        <w:t xml:space="preserve">that characterization.</w:t>
      </w:r>
    </w:p>
    <w:p>
      <w:pPr>
        <w:numPr>
          <w:ilvl w:val="0"/>
          <w:numId w:val="1006"/>
        </w:numPr>
      </w:pPr>
      <w:r>
        <w:t xml:space="preserve">Sensitivity to heaping at 0, 1, 7, 14, and 30 days; interval-censored</w:t>
      </w:r>
      <w:r>
        <w:t xml:space="preserve"> </w:t>
      </w:r>
      <w:r>
        <w:t xml:space="preserve">onset; alternative handling of simultaneous onset/vaccination; and</w:t>
      </w:r>
      <w:r>
        <w:t xml:space="preserve"> </w:t>
      </w:r>
      <w:r>
        <w:t xml:space="preserve">exclusion of long inter-vaccination intervals.</w:t>
      </w:r>
    </w:p>
    <w:p>
      <w:pPr>
        <w:numPr>
          <w:ilvl w:val="0"/>
          <w:numId w:val="1006"/>
        </w:numPr>
      </w:pPr>
      <w:r>
        <w:t xml:space="preserve">Negative-control assessment, if available, using timing from onset to</w:t>
      </w:r>
      <w:r>
        <w:t xml:space="preserve"> </w:t>
      </w:r>
      <w:r>
        <w:t xml:space="preserve">non-vaccine routine visits or vaccination dates after onset. Such</w:t>
      </w:r>
      <w:r>
        <w:t xml:space="preserve"> </w:t>
      </w:r>
      <w:r>
        <w:t xml:space="preserve">analyses require an amended instrument and analysis plan before</w:t>
      </w:r>
      <w:r>
        <w:t xml:space="preserve"> </w:t>
      </w:r>
      <w:r>
        <w:t xml:space="preserve">database lock.</w:t>
      </w:r>
    </w:p>
    <w:bookmarkEnd w:id="23"/>
    <w:bookmarkStart w:id="24" w:name="X3789bc08f565d4ef57f1eefb9d3c2c76b7665ab"/>
    <w:p>
      <w:pPr>
        <w:pStyle w:val="Heading3"/>
      </w:pPr>
      <w:r>
        <w:t xml:space="preserve">9.4 Missing data, exclusions, and multiplicity</w:t>
      </w:r>
    </w:p>
    <w:p>
      <w:pPr>
        <w:pStyle w:val="FirstParagraph"/>
      </w:pPr>
      <w:r>
        <w:t xml:space="preserve">Missing required dates will not be imputed for the primary analysis.</w:t>
      </w:r>
      <w:r>
        <w:t xml:space="preserve"> </w:t>
      </w:r>
      <w:r>
        <w:t xml:space="preserve">Counts and reasons for missingness will be reported by clinic. No record</w:t>
      </w:r>
      <w:r>
        <w:t xml:space="preserve"> </w:t>
      </w:r>
      <w:r>
        <w:t xml:space="preserve">will be excluded based on the magnitude or direction of Dpre/Dpost after</w:t>
      </w:r>
      <w:r>
        <w:t xml:space="preserve"> </w:t>
      </w:r>
      <w:r>
        <w:t xml:space="preserve">eligibility is determined. All deviations, exclusions, and analytic</w:t>
      </w:r>
      <w:r>
        <w:t xml:space="preserve"> </w:t>
      </w:r>
      <w:r>
        <w:t xml:space="preserve">decisions will be logged before unblinding aggregate results.</w:t>
      </w:r>
      <w:r>
        <w:t xml:space="preserve"> </w:t>
      </w:r>
      <w:r>
        <w:t xml:space="preserve">Exploratory p values will be labeled unadjusted or adjusted as</w:t>
      </w:r>
      <w:r>
        <w:t xml:space="preserve"> </w:t>
      </w:r>
      <w:r>
        <w:t xml:space="preserve">applicable.</w:t>
      </w:r>
    </w:p>
    <w:bookmarkEnd w:id="24"/>
    <w:bookmarkStart w:id="25" w:name="X977b1f9792fe25a04123a317ff8857bdff89d72"/>
    <w:p>
      <w:pPr>
        <w:pStyle w:val="Heading3"/>
      </w:pPr>
      <w:r>
        <w:t xml:space="preserve">9.5 Sample size</w:t>
      </w:r>
    </w:p>
    <w:p>
      <w:pPr>
        <w:pStyle w:val="FirstParagraph"/>
      </w:pPr>
      <w:r>
        <w:t xml:space="preserve">The study will target at least 300 eligible records from at least five</w:t>
      </w:r>
      <w:r>
        <w:t xml:space="preserve"> </w:t>
      </w:r>
      <w:r>
        <w:t xml:space="preserve">clinics. The final sample-size calculation must be completed by the</w:t>
      </w:r>
      <w:r>
        <w:t xml:space="preserve"> </w:t>
      </w:r>
      <w:r>
        <w:t xml:space="preserve">study statistician using the anticipated Lᵢ distribution, conservative</w:t>
      </w:r>
      <w:r>
        <w:t xml:space="preserve"> </w:t>
      </w:r>
      <w:r>
        <w:t xml:space="preserve">effect sizes, unequal site contributions, within-site dependence, the</w:t>
      </w:r>
      <w:r>
        <w:t xml:space="preserve"> </w:t>
      </w:r>
      <w:r>
        <w:t xml:space="preserve">primary distributional test, and multiplicity from the moving-window</w:t>
      </w:r>
      <w:r>
        <w:t xml:space="preserve"> </w:t>
      </w:r>
      <w:r>
        <w:t xml:space="preserve">scan. The simulation and its assumptions will be finalized before data</w:t>
      </w:r>
      <w:r>
        <w:t xml:space="preserve"> </w:t>
      </w:r>
      <w:r>
        <w:t xml:space="preserve">collection and will not use observed study outcomes to stop or extend</w:t>
      </w:r>
      <w:r>
        <w:t xml:space="preserve"> </w:t>
      </w:r>
      <w:r>
        <w:t xml:space="preserve">enrollment.</w:t>
      </w:r>
    </w:p>
    <w:bookmarkEnd w:id="25"/>
    <w:bookmarkStart w:id="26" w:name="X7c50195b39b2f302d9fb69cea64c3be2e20aaa2"/>
    <w:p>
      <w:pPr>
        <w:pStyle w:val="Heading3"/>
      </w:pPr>
      <w:r>
        <w:t xml:space="preserve">9.6 Interpretation limits</w:t>
      </w:r>
    </w:p>
    <w:p>
      <w:pPr>
        <w:pStyle w:val="FirstParagraph"/>
      </w:pPr>
      <w:r>
        <w:t xml:space="preserve">This case-only design cannot estimate ASD incidence or</w:t>
      </w:r>
      <w:r>
        <w:t xml:space="preserve"> </w:t>
      </w:r>
      <w:r>
        <w:t xml:space="preserve">vaccine-attributable risk, compare vaccinated with unvaccinated</w:t>
      </w:r>
      <w:r>
        <w:t xml:space="preserve"> </w:t>
      </w:r>
      <w:r>
        <w:t xml:space="preserve">children, or by itself distinguish a causal trigger from recall</w:t>
      </w:r>
      <w:r>
        <w:t xml:space="preserve"> </w:t>
      </w:r>
      <w:r>
        <w:t xml:space="preserve">anchoring, healthcare-contact patterns, concurrent illness, age-related</w:t>
      </w:r>
      <w:r>
        <w:t xml:space="preserve"> </w:t>
      </w:r>
      <w:r>
        <w:t xml:space="preserve">developmental change, or selective documentation. Conclusions will be</w:t>
      </w:r>
      <w:r>
        <w:t xml:space="preserve"> </w:t>
      </w:r>
      <w:r>
        <w:t xml:space="preserve">limited to the observed temporal distribution in the defined cohort.</w:t>
      </w:r>
    </w:p>
    <w:bookmarkEnd w:id="26"/>
    <w:bookmarkEnd w:id="27"/>
    <w:bookmarkStart w:id="28" w:name="X8ce97a550421320c70f07bfcc10976969dcc001"/>
    <w:p>
      <w:pPr>
        <w:pStyle w:val="Heading2"/>
      </w:pPr>
      <w:r>
        <w:t xml:space="preserve">10. Risks, benefits, and safeguards</w:t>
      </w:r>
    </w:p>
    <w:p>
      <w:pPr>
        <w:pStyle w:val="FirstParagraph"/>
      </w:pPr>
      <w:r>
        <w:t xml:space="preserve">There is no intervention and no direct participant benefit. Principal</w:t>
      </w:r>
      <w:r>
        <w:t xml:space="preserve"> </w:t>
      </w:r>
      <w:r>
        <w:t xml:space="preserve">risk is informational: re-identification or unwanted disclosure of a</w:t>
      </w:r>
      <w:r>
        <w:t xml:space="preserve"> </w:t>
      </w:r>
      <w:r>
        <w:t xml:space="preserve">child’s developmental and vaccination history. Risk is minimized by</w:t>
      </w:r>
      <w:r>
        <w:t xml:space="preserve"> </w:t>
      </w:r>
      <w:r>
        <w:t xml:space="preserve">site-level abstraction; no central access to PHI; no direct identifiers,</w:t>
      </w:r>
      <w:r>
        <w:t xml:space="preserve"> </w:t>
      </w:r>
      <w:r>
        <w:t xml:space="preserve">exact dates, free text, or MRN-derived codes; encrypted transfer and</w:t>
      </w:r>
      <w:r>
        <w:t xml:space="preserve"> </w:t>
      </w:r>
      <w:r>
        <w:t xml:space="preserve">storage; least-privilege access; audit logging;</w:t>
      </w:r>
      <w:r>
        <w:t xml:space="preserve"> </w:t>
      </w:r>
      <w:r>
        <w:t xml:space="preserve">suppression/generalization for public release; and incident-response</w:t>
      </w:r>
      <w:r>
        <w:t xml:space="preserve"> </w:t>
      </w:r>
      <w:r>
        <w:t xml:space="preserve">procedures. Clinics will not make participation or care decisions based</w:t>
      </w:r>
      <w:r>
        <w:t xml:space="preserve"> </w:t>
      </w:r>
      <w:r>
        <w:t xml:space="preserve">on study inclusion.</w:t>
      </w:r>
    </w:p>
    <w:bookmarkEnd w:id="28"/>
    <w:bookmarkStart w:id="29" w:name="X924529b758df2bb5b0bf97f11a5774f23e51811"/>
    <w:p>
      <w:pPr>
        <w:pStyle w:val="Heading2"/>
      </w:pPr>
      <w:r>
        <w:t xml:space="preserve">11. Quality assurance and reproducibility</w:t>
      </w:r>
    </w:p>
    <w:p>
      <w:pPr>
        <w:numPr>
          <w:ilvl w:val="0"/>
          <w:numId w:val="1007"/>
        </w:numPr>
      </w:pPr>
      <w:r>
        <w:t xml:space="preserve">Training manual and worked examples for onset and vaccination-date</w:t>
      </w:r>
      <w:r>
        <w:t xml:space="preserve"> </w:t>
      </w:r>
      <w:r>
        <w:t xml:space="preserve">abstraction.</w:t>
      </w:r>
    </w:p>
    <w:p>
      <w:pPr>
        <w:numPr>
          <w:ilvl w:val="0"/>
          <w:numId w:val="1007"/>
        </w:numPr>
      </w:pPr>
      <w:r>
        <w:t xml:space="preserve">Pilot abstraction of at least 10 records per site and inter-rater</w:t>
      </w:r>
      <w:r>
        <w:t xml:space="preserve"> </w:t>
      </w:r>
      <w:r>
        <w:t xml:space="preserve">agreement reporting.</w:t>
      </w:r>
    </w:p>
    <w:p>
      <w:pPr>
        <w:numPr>
          <w:ilvl w:val="0"/>
          <w:numId w:val="1007"/>
        </w:numPr>
      </w:pPr>
      <w:r>
        <w:t xml:space="preserve">Frozen protocol, data dictionary, and statistical code before database</w:t>
      </w:r>
      <w:r>
        <w:t xml:space="preserve"> </w:t>
      </w:r>
      <w:r>
        <w:t xml:space="preserve">lock.</w:t>
      </w:r>
    </w:p>
    <w:p>
      <w:pPr>
        <w:numPr>
          <w:ilvl w:val="0"/>
          <w:numId w:val="1007"/>
        </w:numPr>
      </w:pPr>
      <w:r>
        <w:t xml:space="preserve">Aggregate screening flow by site and a reproducible analysis</w:t>
      </w:r>
      <w:r>
        <w:t xml:space="preserve"> </w:t>
      </w:r>
      <w:r>
        <w:t xml:space="preserve">repository.</w:t>
      </w:r>
    </w:p>
    <w:p>
      <w:pPr>
        <w:numPr>
          <w:ilvl w:val="0"/>
          <w:numId w:val="1007"/>
        </w:numPr>
      </w:pPr>
      <w:r>
        <w:t xml:space="preserve">Independent statistical review before public claims or manuscript</w:t>
      </w:r>
      <w:r>
        <w:t xml:space="preserve"> </w:t>
      </w:r>
      <w:r>
        <w:t xml:space="preserve">submission.</w:t>
      </w:r>
    </w:p>
    <w:bookmarkEnd w:id="29"/>
    <w:bookmarkStart w:id="30" w:name="X4c8c0127a27889c36b522e8e8c19f99d7d4efcd"/>
    <w:p>
      <w:pPr>
        <w:pStyle w:val="Heading2"/>
      </w:pPr>
      <w:r>
        <w:t xml:space="preserve">12. Dissemination</w:t>
      </w:r>
    </w:p>
    <w:p>
      <w:pPr>
        <w:pStyle w:val="FirstParagraph"/>
      </w:pPr>
      <w:r>
        <w:t xml:space="preserve">Results will be reported regardless of direction. Public release is</w:t>
      </w:r>
      <w:r>
        <w:t xml:space="preserve"> </w:t>
      </w:r>
      <w:r>
        <w:t xml:space="preserve">limited to a disclosure-reviewed public-use dataset and analysis code.</w:t>
      </w:r>
      <w:r>
        <w:t xml:space="preserve"> </w:t>
      </w:r>
      <w:r>
        <w:t xml:space="preserve">The internal analytic dataset will not automatically be public. Cell</w:t>
      </w:r>
      <w:r>
        <w:t xml:space="preserve"> </w:t>
      </w:r>
      <w:r>
        <w:t xml:space="preserve">suppression, age binning, top/bottom coding of intervals, clinic masking</w:t>
      </w:r>
      <w:r>
        <w:t xml:space="preserve"> </w:t>
      </w:r>
      <w:r>
        <w:t xml:space="preserve">or pooling, and removal of rare combinations will be applied as needed.</w:t>
      </w:r>
      <w:r>
        <w:t xml:space="preserve"> </w:t>
      </w:r>
      <w:r>
        <w:t xml:space="preserve">If Safe Harbor cannot be established because a retained variable is a</w:t>
      </w:r>
      <w:r>
        <w:t xml:space="preserve"> </w:t>
      </w:r>
      <w:r>
        <w:t xml:space="preserve">unique characteristic or code, a qualified expert determination will be</w:t>
      </w:r>
      <w:r>
        <w:t xml:space="preserve"> </w:t>
      </w:r>
      <w:r>
        <w:t xml:space="preserve">obtained before release. Neither MAPS nor investigators will attempt</w:t>
      </w:r>
      <w:r>
        <w:t xml:space="preserve"> </w:t>
      </w:r>
      <w:r>
        <w:t xml:space="preserve">re-identification.</w:t>
      </w:r>
    </w:p>
    <w:bookmarkEnd w:id="30"/>
    <w:bookmarkEnd w:id="31"/>
    <w:bookmarkStart w:id="37" w:name="part-2-data-privacy-and-security-plan"/>
    <w:p>
      <w:pPr>
        <w:pStyle w:val="Heading1"/>
      </w:pPr>
      <w:r>
        <w:t xml:space="preserve">Part 2. Data Privacy and Security Plan</w:t>
      </w:r>
    </w:p>
    <w:bookmarkStart w:id="32" w:name="X321b5802770932e8c3d279a536fa97c740522fd"/>
    <w:p>
      <w:pPr>
        <w:pStyle w:val="Heading2"/>
      </w:pPr>
      <w:r>
        <w:t xml:space="preserve">1. Data flow</w:t>
      </w:r>
    </w:p>
    <w:p>
      <w:pPr>
        <w:numPr>
          <w:ilvl w:val="0"/>
          <w:numId w:val="1008"/>
        </w:numPr>
      </w:pPr>
      <w:r>
        <w:t xml:space="preserve">Authorized clinic workforce members access PHI inside the clinic</w:t>
      </w:r>
      <w:r>
        <w:t xml:space="preserve"> </w:t>
      </w:r>
      <w:r>
        <w:t xml:space="preserve">under local policy and the IRB/privacy determination.</w:t>
      </w:r>
    </w:p>
    <w:p>
      <w:pPr>
        <w:numPr>
          <w:ilvl w:val="0"/>
          <w:numId w:val="1008"/>
        </w:numPr>
      </w:pPr>
      <w:r>
        <w:t xml:space="preserve">Clinic staff determine eligibility, record source dates in a local</w:t>
      </w:r>
      <w:r>
        <w:t xml:space="preserve"> </w:t>
      </w:r>
      <w:r>
        <w:t xml:space="preserve">worksheet, calculate age in months, Dpre, and Dpost, and run</w:t>
      </w:r>
      <w:r>
        <w:t xml:space="preserve"> </w:t>
      </w:r>
      <w:r>
        <w:t xml:space="preserve">validation checks.</w:t>
      </w:r>
    </w:p>
    <w:p>
      <w:pPr>
        <w:numPr>
          <w:ilvl w:val="0"/>
          <w:numId w:val="1008"/>
        </w:numPr>
      </w:pPr>
      <w:r>
        <w:t xml:space="preserve">Before transmission, clinic staff delete direct identifiers, exact</w:t>
      </w:r>
      <w:r>
        <w:t xml:space="preserve"> </w:t>
      </w:r>
      <w:r>
        <w:t xml:space="preserve">dates, free text, granular geography, contact data, device/IP data,</w:t>
      </w:r>
      <w:r>
        <w:t xml:space="preserve"> </w:t>
      </w:r>
      <w:r>
        <w:t xml:space="preserve">and any MRN-derived identifier. A random study ID is assigned. The</w:t>
      </w:r>
      <w:r>
        <w:t xml:space="preserve"> </w:t>
      </w:r>
      <w:r>
        <w:t xml:space="preserve">linkage key remains at the clinic and is never shared.</w:t>
      </w:r>
    </w:p>
    <w:p>
      <w:pPr>
        <w:numPr>
          <w:ilvl w:val="0"/>
          <w:numId w:val="1008"/>
        </w:numPr>
      </w:pPr>
      <w:r>
        <w:t xml:space="preserve">The clinic submits the data electronically as the study-provided</w:t>
      </w:r>
      <w:r>
        <w:t xml:space="preserve"> </w:t>
      </w:r>
      <w:r>
        <w:t xml:space="preserve">Excel workbook or an equivalent CSV file through [approved secure</w:t>
      </w:r>
      <w:r>
        <w:t xml:space="preserve"> </w:t>
      </w:r>
      <w:r>
        <w:t xml:space="preserve">upload portal]. Paper forms, scanned forms, photographs, fax, and</w:t>
      </w:r>
      <w:r>
        <w:t xml:space="preserve"> </w:t>
      </w:r>
      <w:r>
        <w:t xml:space="preserve">submission in an email body are not accepted. The electronic table</w:t>
      </w:r>
      <w:r>
        <w:t xml:space="preserve"> </w:t>
      </w:r>
      <w:r>
        <w:t xml:space="preserve">contains only site code, clinic row ID, sex, age at onset in months,</w:t>
      </w:r>
      <w:r>
        <w:t xml:space="preserve"> </w:t>
      </w:r>
      <w:r>
        <w:t xml:space="preserve">Dpre, and Dpost.</w:t>
      </w:r>
    </w:p>
    <w:p>
      <w:pPr>
        <w:numPr>
          <w:ilvl w:val="0"/>
          <w:numId w:val="1008"/>
        </w:numPr>
      </w:pPr>
      <w:r>
        <w:t xml:space="preserve">The coordinating center stores the internal analytic file in [named</w:t>
      </w:r>
      <w:r>
        <w:t xml:space="preserve"> </w:t>
      </w:r>
      <w:r>
        <w:t xml:space="preserve">institution-managed encrypted platform], encrypted in transit and</w:t>
      </w:r>
      <w:r>
        <w:t xml:space="preserve"> </w:t>
      </w:r>
      <w:r>
        <w:t xml:space="preserve">at rest, with multifactor authentication, role-based access, audit</w:t>
      </w:r>
      <w:r>
        <w:t xml:space="preserve"> </w:t>
      </w:r>
      <w:r>
        <w:t xml:space="preserve">logging, endpoint encryption, and institutional backups.</w:t>
      </w:r>
    </w:p>
    <w:p>
      <w:pPr>
        <w:numPr>
          <w:ilvl w:val="0"/>
          <w:numId w:val="1008"/>
        </w:numPr>
      </w:pPr>
      <w:r>
        <w:t xml:space="preserve">Before public release, the received clinic row IDs are replaced with</w:t>
      </w:r>
      <w:r>
        <w:t xml:space="preserve"> </w:t>
      </w:r>
      <w:r>
        <w:t xml:space="preserve">new public row numbers. The clinic-issued codes and mapping keys are</w:t>
      </w:r>
      <w:r>
        <w:t xml:space="preserve"> </w:t>
      </w:r>
      <w:r>
        <w:t xml:space="preserve">not published.</w:t>
      </w:r>
    </w:p>
    <w:bookmarkEnd w:id="32"/>
    <w:bookmarkStart w:id="33" w:name="X7396c84537fd1b0c86ec9b7526d22d5b203d5f4"/>
    <w:p>
      <w:pPr>
        <w:pStyle w:val="Heading2"/>
      </w:pPr>
      <w:r>
        <w:t xml:space="preserve">2. Data classification and HIPAA pathway</w:t>
      </w:r>
    </w:p>
    <w:p>
      <w:pPr>
        <w:pStyle w:val="FirstParagraph"/>
      </w:pPr>
      <w:r>
        <w:t xml:space="preserve">The clinic’s source records and local mapping file contain PHI. The</w:t>
      </w:r>
      <w:r>
        <w:t xml:space="preserve"> </w:t>
      </w:r>
      <w:r>
        <w:t xml:space="preserve">transferred file contains no calendar dates or clinical phenotype</w:t>
      </w:r>
      <w:r>
        <w:t xml:space="preserve"> </w:t>
      </w:r>
      <w:r>
        <w:t xml:space="preserve">information and is intended to satisfy HIPAA de-identification. The</w:t>
      </w:r>
      <w:r>
        <w:t xml:space="preserve"> </w:t>
      </w:r>
      <w:r>
        <w:t xml:space="preserve">clinic-generated row ID must not be derived from a name, medical-record</w:t>
      </w:r>
      <w:r>
        <w:t xml:space="preserve"> </w:t>
      </w:r>
      <w:r>
        <w:t xml:space="preserve">number, date, or other identifying information, and the</w:t>
      </w:r>
      <w:r>
        <w:t xml:space="preserve"> </w:t>
      </w:r>
      <w:r>
        <w:t xml:space="preserve">re-identification mechanism must not be disclosed. Each clinic’s covered</w:t>
      </w:r>
      <w:r>
        <w:t xml:space="preserve"> </w:t>
      </w:r>
      <w:r>
        <w:t xml:space="preserve">entity/privacy officer will document the applicable de-identification</w:t>
      </w:r>
      <w:r>
        <w:t xml:space="preserve"> </w:t>
      </w:r>
      <w:r>
        <w:t xml:space="preserve">determination before transfer. If a clinic instead classifies the file</w:t>
      </w:r>
      <w:r>
        <w:t xml:space="preserve"> </w:t>
      </w:r>
      <w:r>
        <w:t xml:space="preserve">as coded PHI or a limited data set, the appropriate HIPAA</w:t>
      </w:r>
      <w:r>
        <w:t xml:space="preserve"> </w:t>
      </w:r>
      <w:r>
        <w:t xml:space="preserve">authorization/waiver and data use agreement must be in place before</w:t>
      </w:r>
      <w:r>
        <w:t xml:space="preserve"> </w:t>
      </w:r>
      <w:r>
        <w:t xml:space="preserve">disclosure.</w:t>
      </w:r>
    </w:p>
    <w:bookmarkEnd w:id="33"/>
    <w:bookmarkStart w:id="34" w:name="Xaecde47d4ef6250885165924ba61f51416bb3ac"/>
    <w:p>
      <w:pPr>
        <w:pStyle w:val="Heading2"/>
      </w:pPr>
      <w:r>
        <w:t xml:space="preserve">3. Access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PHI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Mapping 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Received analytic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Public-use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 abstractor</w:t>
            </w:r>
          </w:p>
        </w:tc>
        <w:tc>
          <w:tcPr/>
          <w:p>
            <w:pPr>
              <w:pStyle w:val="Compact"/>
            </w:pPr>
            <w:r>
              <w:t xml:space="preserve">Yes, locally</w:t>
            </w:r>
          </w:p>
        </w:tc>
        <w:tc>
          <w:tcPr/>
          <w:p>
            <w:pPr>
              <w:pStyle w:val="Compact"/>
            </w:pPr>
            <w:r>
              <w:t xml:space="preserve">If authorized</w:t>
            </w:r>
          </w:p>
        </w:tc>
        <w:tc>
          <w:tcPr/>
          <w:p>
            <w:pPr>
              <w:pStyle w:val="Compact"/>
            </w:pPr>
            <w:r>
              <w:t xml:space="preserve">Local/transmit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 PI/privacy officer</w:t>
            </w:r>
          </w:p>
        </w:tc>
        <w:tc>
          <w:tcPr/>
          <w:p>
            <w:pPr>
              <w:pStyle w:val="Compact"/>
            </w:pPr>
            <w:r>
              <w:t xml:space="preserve">As authorized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Coordinating PI / statistician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MAPS personnel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Only if named/authorized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 after review</w:t>
            </w:r>
          </w:p>
        </w:tc>
      </w:tr>
    </w:tbl>
    <w:bookmarkEnd w:id="34"/>
    <w:bookmarkStart w:id="35" w:name="X845763d3baf2fde4f7f4181b440e73c159cddaa"/>
    <w:p>
      <w:pPr>
        <w:pStyle w:val="Heading2"/>
      </w:pPr>
      <w:r>
        <w:t xml:space="preserve">4. Retention and destruction</w:t>
      </w:r>
    </w:p>
    <w:p>
      <w:pPr>
        <w:pStyle w:val="FirstParagraph"/>
      </w:pPr>
      <w:r>
        <w:t xml:space="preserve">The clinic retains its mapping key under clinic policy and never shares</w:t>
      </w:r>
      <w:r>
        <w:t xml:space="preserve"> </w:t>
      </w:r>
      <w:r>
        <w:t xml:space="preserve">it with investigators. The received analytic dataset, audit logs, code,</w:t>
      </w:r>
      <w:r>
        <w:t xml:space="preserve"> </w:t>
      </w:r>
      <w:r>
        <w:t xml:space="preserve">and regulatory records will be retained for [institutional requirement,</w:t>
      </w:r>
      <w:r>
        <w:t xml:space="preserve"> </w:t>
      </w:r>
      <w:r>
        <w:t xml:space="preserve">commonly at least 3–7 years after study closure/publication]. Before</w:t>
      </w:r>
      <w:r>
        <w:t xml:space="preserve"> </w:t>
      </w:r>
      <w:r>
        <w:t xml:space="preserve">public release, clinic row IDs are replaced with new public row numbers.</w:t>
      </w:r>
      <w:r>
        <w:t xml:space="preserve"> </w:t>
      </w:r>
      <w:r>
        <w:t xml:space="preserve">Public-use data cannot be recalled after publication, making pre-release</w:t>
      </w:r>
      <w:r>
        <w:t xml:space="preserve"> </w:t>
      </w:r>
      <w:r>
        <w:t xml:space="preserve">review mandatory.</w:t>
      </w:r>
    </w:p>
    <w:bookmarkEnd w:id="35"/>
    <w:bookmarkStart w:id="36" w:name="Xc73486b64caa0ecf8c2a7dab761875f5cb8e567"/>
    <w:p>
      <w:pPr>
        <w:pStyle w:val="Heading2"/>
      </w:pPr>
      <w:r>
        <w:t xml:space="preserve">5. Incident response</w:t>
      </w:r>
    </w:p>
    <w:p>
      <w:pPr>
        <w:pStyle w:val="FirstParagraph"/>
      </w:pPr>
      <w:r>
        <w:t xml:space="preserve">Suspected loss, unauthorized access, or disclosure will be reported</w:t>
      </w:r>
      <w:r>
        <w:t xml:space="preserve"> </w:t>
      </w:r>
      <w:r>
        <w:t xml:space="preserve">immediately to the PI and [privacy/security office]. Access will be</w:t>
      </w:r>
      <w:r>
        <w:t xml:space="preserve"> </w:t>
      </w:r>
      <w:r>
        <w:t xml:space="preserve">suspended, logs preserved, scope assessed, and required institutional,</w:t>
      </w:r>
      <w:r>
        <w:t xml:space="preserve"> </w:t>
      </w:r>
      <w:r>
        <w:t xml:space="preserve">IRB, HIPAA, contractual, and participant notifications completed within</w:t>
      </w:r>
      <w:r>
        <w:t xml:space="preserve"> </w:t>
      </w:r>
      <w:r>
        <w:t xml:space="preserve">applicable timelines. Corrective actions will be documented.</w:t>
      </w:r>
    </w:p>
    <w:bookmarkEnd w:id="36"/>
    <w:bookmarkEnd w:id="37"/>
    <w:bookmarkStart w:id="41" w:name="Xb78555386fa9229c0ea41bd17f13610e90be9f9"/>
    <w:p>
      <w:pPr>
        <w:pStyle w:val="Heading1"/>
      </w:pPr>
      <w:r>
        <w:t xml:space="preserve">Part 3. Request for Waiver of Consent and HIPAA Authorization</w:t>
      </w:r>
    </w:p>
    <w:bookmarkStart w:id="38" w:name="a-requested-regulatory-determination"/>
    <w:p>
      <w:pPr>
        <w:pStyle w:val="Heading2"/>
      </w:pPr>
      <w:r>
        <w:t xml:space="preserve">A. Requested regulatory determination</w:t>
      </w:r>
    </w:p>
    <w:p>
      <w:pPr>
        <w:pStyle w:val="FirstParagraph"/>
      </w:pPr>
      <w:r>
        <w:t xml:space="preserve">Primary request: the IRB determine whether receipt and analysis of</w:t>
      </w:r>
      <w:r>
        <w:t xml:space="preserve"> </w:t>
      </w:r>
      <w:r>
        <w:t xml:space="preserve">information that investigators cannot readily link to individuals is not</w:t>
      </w:r>
      <w:r>
        <w:t xml:space="preserve"> </w:t>
      </w:r>
      <w:r>
        <w:t xml:space="preserve">human-subjects research or is exempt secondary research under 45 CFR</w:t>
      </w:r>
      <w:r>
        <w:t xml:space="preserve"> </w:t>
      </w:r>
      <w:r>
        <w:t xml:space="preserve">46.104(d)(4), as applicable. In the alternative, the investigators</w:t>
      </w:r>
      <w:r>
        <w:t xml:space="preserve"> </w:t>
      </w:r>
      <w:r>
        <w:t xml:space="preserve">request expedited review and waiver of parental permission/informed</w:t>
      </w:r>
      <w:r>
        <w:t xml:space="preserve"> </w:t>
      </w:r>
      <w:r>
        <w:t xml:space="preserve">consent under 45 CFR 46.116(f), plus waiver of HIPAA authorization under</w:t>
      </w:r>
      <w:r>
        <w:t xml:space="preserve"> </w:t>
      </w:r>
      <w:r>
        <w:t xml:space="preserve">45 CFR 164.512(i), if the transferred information is deemed PHI. These</w:t>
      </w:r>
      <w:r>
        <w:t xml:space="preserve"> </w:t>
      </w:r>
      <w:r>
        <w:t xml:space="preserve">are alternative pathways; the IRB/privacy office will select the</w:t>
      </w:r>
      <w:r>
        <w:t xml:space="preserve"> </w:t>
      </w:r>
      <w:r>
        <w:t xml:space="preserve">applicable pathway.</w:t>
      </w:r>
    </w:p>
    <w:bookmarkEnd w:id="38"/>
    <w:bookmarkStart w:id="39" w:name="X60a25cda090c65b83f78d5083bc2e6e55cbdd43"/>
    <w:p>
      <w:pPr>
        <w:pStyle w:val="Heading2"/>
      </w:pPr>
      <w:r>
        <w:t xml:space="preserve">B. Waiver of informed consent / parental permission justification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more than minimal risk</w:t>
            </w:r>
          </w:p>
        </w:tc>
        <w:tc>
          <w:tcPr/>
          <w:p>
            <w:pPr>
              <w:pStyle w:val="Compact"/>
            </w:pPr>
            <w:r>
              <w:t xml:space="preserve">No intervention or contact occurs. The only foreseeable research risk is informational and is reduced by clinic-side abstraction, minimal variables, removal of identifiers/dates/free text, restricted access, encryption, and disclosure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Rights and welfare not adversely affected</w:t>
            </w:r>
          </w:p>
        </w:tc>
        <w:tc>
          <w:tcPr/>
          <w:p>
            <w:pPr>
              <w:pStyle w:val="Compact"/>
            </w:pPr>
            <w:r>
              <w:t xml:space="preserve">Clinical care, benefits, and legal rights are unchanged. Findings are aggregate; investigators cannot identify or contact families.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Impracticable without waiver</w:t>
            </w:r>
          </w:p>
        </w:tc>
        <w:tc>
          <w:tcPr/>
          <w:p>
            <w:pPr>
              <w:pStyle w:val="Compact"/>
            </w:pPr>
            <w:r>
              <w:t xml:space="preserve">Eligible cases span historical records and multiple clinics; contact information may be stale, and requiring contact would produce substantial nonresponse and selection bias that defeats a valid complete-record review. “Impracticable” is based on scientific feasibility, not convenience or cost alone.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information after participation</w:t>
            </w:r>
          </w:p>
        </w:tc>
        <w:tc>
          <w:tcPr/>
          <w:p>
            <w:pPr>
              <w:pStyle w:val="Compact"/>
            </w:pPr>
            <w:r>
              <w:t xml:space="preserve">Individual debriefing is not appropriate because investigators cannot identify participants. Aggregate results and the public-use dataset/code will be posted at [URL] when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Identifiable format necessity (if applicable)</w:t>
            </w:r>
          </w:p>
        </w:tc>
        <w:tc>
          <w:tcPr/>
          <w:p>
            <w:pPr>
              <w:pStyle w:val="Compact"/>
            </w:pPr>
            <w:r>
              <w:t xml:space="preserve">Clinic staff must temporarily inspect identifiable records to determine eligibility and derive intervals. Central investigators do not require or receive identifiers.</w:t>
            </w:r>
          </w:p>
        </w:tc>
      </w:tr>
    </w:tbl>
    <w:bookmarkEnd w:id="39"/>
    <w:bookmarkStart w:id="40" w:name="c-hipaa-waiver-justification-if-needed"/>
    <w:p>
      <w:pPr>
        <w:pStyle w:val="Heading2"/>
      </w:pPr>
      <w:r>
        <w:t xml:space="preserve">C. HIPAA waiver justification (if needed)</w:t>
      </w:r>
    </w:p>
    <w:p>
      <w:pPr>
        <w:numPr>
          <w:ilvl w:val="0"/>
          <w:numId w:val="1009"/>
        </w:numPr>
      </w:pPr>
      <w:r>
        <w:t xml:space="preserve">Privacy risk is minimal because identifiers stay at the clinic; access</w:t>
      </w:r>
      <w:r>
        <w:t xml:space="preserve"> </w:t>
      </w:r>
      <w:r>
        <w:t xml:space="preserve">is limited; transfer/storage are encrypted; and written assurances</w:t>
      </w:r>
      <w:r>
        <w:t xml:space="preserve"> </w:t>
      </w:r>
      <w:r>
        <w:t xml:space="preserve">prohibit reuse, disclosure, and re-identification except as required</w:t>
      </w:r>
      <w:r>
        <w:t xml:space="preserve"> </w:t>
      </w:r>
      <w:r>
        <w:t xml:space="preserve">by law or oversight.</w:t>
      </w:r>
    </w:p>
    <w:p>
      <w:pPr>
        <w:numPr>
          <w:ilvl w:val="0"/>
          <w:numId w:val="1009"/>
        </w:numPr>
      </w:pPr>
      <w:r>
        <w:t xml:space="preserve">Identifiers used locally for screening will be destroyed or retained</w:t>
      </w:r>
      <w:r>
        <w:t xml:space="preserve"> </w:t>
      </w:r>
      <w:r>
        <w:t xml:space="preserve">only under documented clinical/legal requirements at the earliest</w:t>
      </w:r>
      <w:r>
        <w:t xml:space="preserve"> </w:t>
      </w:r>
      <w:r>
        <w:t xml:space="preserve">practicable time.</w:t>
      </w:r>
    </w:p>
    <w:p>
      <w:pPr>
        <w:numPr>
          <w:ilvl w:val="0"/>
          <w:numId w:val="1009"/>
        </w:numPr>
      </w:pPr>
      <w:r>
        <w:t xml:space="preserve">The research cannot practicably be conducted without local access to</w:t>
      </w:r>
      <w:r>
        <w:t xml:space="preserve"> </w:t>
      </w:r>
      <w:r>
        <w:t xml:space="preserve">PHI because eligibility and exact temporal intervals must be derived</w:t>
      </w:r>
      <w:r>
        <w:t xml:space="preserve"> </w:t>
      </w:r>
      <w:r>
        <w:t xml:space="preserve">from source records.</w:t>
      </w:r>
    </w:p>
    <w:p>
      <w:pPr>
        <w:numPr>
          <w:ilvl w:val="0"/>
          <w:numId w:val="1009"/>
        </w:numPr>
      </w:pPr>
      <w:r>
        <w:t xml:space="preserve">The research cannot practicably be conducted without the waiver</w:t>
      </w:r>
      <w:r>
        <w:t xml:space="preserve"> </w:t>
      </w:r>
      <w:r>
        <w:t xml:space="preserve">because obtaining authorization from a historical multisite cohort</w:t>
      </w:r>
      <w:r>
        <w:t xml:space="preserve"> </w:t>
      </w:r>
      <w:r>
        <w:t xml:space="preserve">would materially bias ascertainment and make complete-case screening</w:t>
      </w:r>
      <w:r>
        <w:t xml:space="preserve"> </w:t>
      </w:r>
      <w:r>
        <w:t xml:space="preserve">infeasible.</w:t>
      </w:r>
    </w:p>
    <w:p>
      <w:pPr>
        <w:numPr>
          <w:ilvl w:val="0"/>
          <w:numId w:val="1009"/>
        </w:numPr>
      </w:pPr>
      <w:r>
        <w:t xml:space="preserve">Only the minimum necessary PHI is accessed locally; no PHI is</w:t>
      </w:r>
      <w:r>
        <w:t xml:space="preserve"> </w:t>
      </w:r>
      <w:r>
        <w:t xml:space="preserve">disclosed centrally unless separately approved.</w:t>
      </w:r>
    </w:p>
    <w:bookmarkEnd w:id="40"/>
    <w:bookmarkEnd w:id="41"/>
    <w:bookmarkStart w:id="42" w:name="part-4-data-collection-instrument"/>
    <w:p>
      <w:pPr>
        <w:pStyle w:val="Heading1"/>
      </w:pPr>
      <w:r>
        <w:t xml:space="preserve">Part 4. Data Collection Instrument</w:t>
      </w:r>
    </w:p>
    <w:p>
      <w:pPr>
        <w:pStyle w:val="FirstParagraph"/>
      </w:pPr>
      <w:r>
        <w:t xml:space="preserve">This is an electronic data table, not a paper case-report form. The</w:t>
      </w:r>
      <w:r>
        <w:t xml:space="preserve"> </w:t>
      </w:r>
      <w:r>
        <w:t xml:space="preserve">clinic must enter one eligible patient per row in the study-provided</w:t>
      </w:r>
      <w:r>
        <w:t xml:space="preserve"> </w:t>
      </w:r>
      <w:r>
        <w:t xml:space="preserve">Excel workbook or an equivalent CSV file and upload the completed file</w:t>
      </w:r>
      <w:r>
        <w:t xml:space="preserve"> </w:t>
      </w:r>
      <w:r>
        <w:t xml:space="preserve">through the approved secure portal. Do not print, handwrite, scan,</w:t>
      </w:r>
      <w:r>
        <w:t xml:space="preserve"> </w:t>
      </w:r>
      <w:r>
        <w:t xml:space="preserve">photograph, fax, or paste the data into an email. Do not transmit exact</w:t>
      </w:r>
      <w:r>
        <w:t xml:space="preserve"> </w:t>
      </w:r>
      <w:r>
        <w:t xml:space="preserve">dates or free text. Keep the source-date worksheet and re-identification</w:t>
      </w:r>
      <w:r>
        <w:t xml:space="preserve"> </w:t>
      </w:r>
      <w:r>
        <w:t xml:space="preserve">key at the clinic.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 row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at onset (months)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Dpre: days vaccination→onset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Dpost: days onset→next vaccination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Definitions: Dpre = onset date minus the most recent administered</w:t>
      </w:r>
      <w:r>
        <w:t xml:space="preserve"> </w:t>
      </w:r>
      <w:r>
        <w:t xml:space="preserve">vaccination date before/on onset. Dpost = first administered vaccination</w:t>
      </w:r>
      <w:r>
        <w:t xml:space="preserve"> </w:t>
      </w:r>
      <w:r>
        <w:t xml:space="preserve">date after onset minus onset date. Use 0 for same-day onset; mark</w:t>
      </w:r>
      <w:r>
        <w:t xml:space="preserve"> </w:t>
      </w:r>
      <w:r>
        <w:t xml:space="preserve">ordering unknown unless the note documents order. Do not substitute a</w:t>
      </w:r>
      <w:r>
        <w:t xml:space="preserve"> </w:t>
      </w:r>
      <w:r>
        <w:t xml:space="preserve">routine visit date for a vaccination date. Enter NA only when no</w:t>
      </w:r>
      <w:r>
        <w:t xml:space="preserve"> </w:t>
      </w:r>
      <w:r>
        <w:t xml:space="preserve">subsequent vaccination exists; explain only in the clinic-retained query</w:t>
      </w:r>
      <w:r>
        <w:t xml:space="preserve"> </w:t>
      </w:r>
      <w:r>
        <w:t xml:space="preserve">log.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Site-level screening 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records screened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Eligible SORA records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Excluded: onset not abrupt/dateable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Excluded: prior developmental concern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Excluded: alternative explanatory condition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Excluded: missing/invalid vaccination timing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Other exclusions (per protocol)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Site certification: I certify that the transmitted file contains only</w:t>
      </w:r>
      <w:r>
        <w:t xml:space="preserve"> </w:t>
      </w:r>
      <w:r>
        <w:t xml:space="preserve">the six columns shown above. The site code is the approved</w:t>
      </w:r>
      <w:r>
        <w:t xml:space="preserve"> </w:t>
      </w:r>
      <w:r>
        <w:t xml:space="preserve">nonidentifying study code, and the clinic row ID is not derived from an</w:t>
      </w:r>
      <w:r>
        <w:t xml:space="preserve"> </w:t>
      </w:r>
      <w:r>
        <w:t xml:space="preserve">identifier. No clinic name, names, calendar dates, phenotype</w:t>
      </w:r>
      <w:r>
        <w:t xml:space="preserve"> </w:t>
      </w:r>
      <w:r>
        <w:t xml:space="preserve">information, free text, MRNs or MRN-derived codes, contact information,</w:t>
      </w:r>
      <w:r>
        <w:t xml:space="preserve"> </w:t>
      </w:r>
      <w:r>
        <w:t xml:space="preserve">or mapping key are included. Name/title: __________ Signature:</w:t>
      </w:r>
      <w:r>
        <w:t xml:space="preserve"> </w:t>
      </w:r>
      <w:r>
        <w:t xml:space="preserve">__________ Date: __________</w:t>
      </w:r>
    </w:p>
    <w:bookmarkEnd w:id="42"/>
    <w:bookmarkStart w:id="45" w:name="Xfdb838c57fd8feb44caa8e3ee7b4aa144a209ea"/>
    <w:p>
      <w:pPr>
        <w:pStyle w:val="Heading1"/>
      </w:pPr>
      <w:r>
        <w:t xml:space="preserve">Part 5. Conflict of Interest and Funding Disclosure</w:t>
      </w:r>
    </w:p>
    <w:bookmarkStart w:id="43" w:name="investigator-disclosure-statement"/>
    <w:p>
      <w:pPr>
        <w:pStyle w:val="Heading2"/>
      </w:pPr>
      <w:r>
        <w:t xml:space="preserve">Investigator disclosure statement</w:t>
      </w:r>
    </w:p>
    <w:p>
      <w:pPr>
        <w:pStyle w:val="FirstParagraph"/>
      </w:pPr>
      <w:r>
        <w:t xml:space="preserve">Each investigator and key study staff member must disclose financial and</w:t>
      </w:r>
      <w:r>
        <w:t xml:space="preserve"> </w:t>
      </w:r>
      <w:r>
        <w:t xml:space="preserve">nonfinancial interests under the reviewing institution’s policy.</w:t>
      </w:r>
      <w:r>
        <w:t xml:space="preserve"> </w:t>
      </w:r>
      <w:r>
        <w:t xml:space="preserve">Complete the statements below; do not represent “none” until each person</w:t>
      </w:r>
      <w:r>
        <w:t xml:space="preserve"> </w:t>
      </w:r>
      <w:r>
        <w:t xml:space="preserve">has submitted the institution’s required disclosure.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Disclosure 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/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funding and in-kind support</w:t>
            </w:r>
          </w:p>
        </w:tc>
        <w:tc>
          <w:tcPr/>
          <w:p>
            <w:pPr>
              <w:pStyle w:val="Compact"/>
            </w:pPr>
            <w:r>
              <w:t xml:space="preserve">MAPS: [amount/source/terms]. Clinic compensation: up to $5,000 per clinic based on documented staff effort and record volume [confirm structure]. Other support: [list/none].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 and investigator financial interests</w:t>
            </w:r>
          </w:p>
        </w:tc>
        <w:tc>
          <w:tcPr/>
          <w:p>
            <w:pPr>
              <w:pStyle w:val="Compact"/>
            </w:pPr>
            <w:r>
              <w:t xml:space="preserve">[Consulting, equity, honoraria, patents, paid advocacy, litigation roles, or none after formal disclosure].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Nonfinancial interests</w:t>
            </w:r>
          </w:p>
        </w:tc>
        <w:tc>
          <w:tcPr/>
          <w:p>
            <w:pPr>
              <w:pStyle w:val="Compact"/>
            </w:pPr>
            <w:r>
              <w:t xml:space="preserve">[Public positions, organizational leadership, advocacy, prior public claims, or other interests reasonably perceived to affect objectivity].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interests</w:t>
            </w:r>
          </w:p>
        </w:tc>
        <w:tc>
          <w:tcPr/>
          <w:p>
            <w:pPr>
              <w:pStyle w:val="Compact"/>
            </w:pPr>
            <w:r>
              <w:t xml:space="preserve">[Recruitment/data-abstraction payments; confirm payment is for reasonable costs and is not contingent on eligible-case count or study outcome].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plan</w:t>
            </w:r>
          </w:p>
        </w:tc>
        <w:tc>
          <w:tcPr/>
          <w:p>
            <w:pPr>
              <w:pStyle w:val="Compact"/>
            </w:pPr>
            <w:r>
              <w:t xml:space="preserve">Independent eligibility adjudication where feasible; blinded timing calculation until eligibility lock; prespecified analysis; independent statistician; full reporting; funding and interests disclosed in publications. [Add institutional COI committee requirements].</w:t>
            </w:r>
          </w:p>
        </w:tc>
      </w:tr>
    </w:tbl>
    <w:bookmarkEnd w:id="43"/>
    <w:bookmarkStart w:id="44" w:name="suggested-publication-disclosure"/>
    <w:p>
      <w:pPr>
        <w:pStyle w:val="Heading2"/>
      </w:pPr>
      <w:r>
        <w:t xml:space="preserve">Suggested publication disclosure</w:t>
      </w:r>
    </w:p>
    <w:p>
      <w:pPr>
        <w:pStyle w:val="FirstParagraph"/>
      </w:pPr>
      <w:r>
        <w:t xml:space="preserve">“This study was supported by [full legal funder name and grant/contract</w:t>
      </w:r>
      <w:r>
        <w:t xml:space="preserve"> </w:t>
      </w:r>
      <w:r>
        <w:t xml:space="preserve">number]. Participating sites received reimbursement for reasonable</w:t>
      </w:r>
      <w:r>
        <w:t xml:space="preserve"> </w:t>
      </w:r>
      <w:r>
        <w:t xml:space="preserve">data-abstraction costs under agreements not contingent on the number or</w:t>
      </w:r>
      <w:r>
        <w:t xml:space="preserve"> </w:t>
      </w:r>
      <w:r>
        <w:t xml:space="preserve">timing distribution of eligible cases. The funder’s roles in study</w:t>
      </w:r>
      <w:r>
        <w:t xml:space="preserve"> </w:t>
      </w:r>
      <w:r>
        <w:t xml:space="preserve">design, data collection, analysis, interpretation, manuscript</w:t>
      </w:r>
      <w:r>
        <w:t xml:space="preserve"> </w:t>
      </w:r>
      <w:r>
        <w:t xml:space="preserve">preparation, and publication decision were: [state each role]. Author</w:t>
      </w:r>
      <w:r>
        <w:t xml:space="preserve"> </w:t>
      </w:r>
      <w:r>
        <w:t xml:space="preserve">disclosures: [insert].”</w:t>
      </w:r>
    </w:p>
    <w:bookmarkEnd w:id="44"/>
    <w:bookmarkEnd w:id="45"/>
    <w:bookmarkStart w:id="46" w:name="Xc15f36d66b92f5c4a313d91e0905dbb4abdfe88"/>
    <w:p>
      <w:pPr>
        <w:pStyle w:val="Heading1"/>
      </w:pPr>
      <w:r>
        <w:t xml:space="preserve">Part 6. Required Site and Submission Attachments</w:t>
      </w:r>
    </w:p>
    <w:p>
      <w:pPr>
        <w:numPr>
          <w:ilvl w:val="0"/>
          <w:numId w:val="1010"/>
        </w:numPr>
      </w:pPr>
      <w:r>
        <w:t xml:space="preserve">Completed institution-specific IRB application and protocol signature</w:t>
      </w:r>
      <w:r>
        <w:t xml:space="preserve"> </w:t>
      </w:r>
      <w:r>
        <w:t xml:space="preserve">page.</w:t>
      </w:r>
    </w:p>
    <w:p>
      <w:pPr>
        <w:numPr>
          <w:ilvl w:val="0"/>
          <w:numId w:val="1010"/>
        </w:numPr>
      </w:pPr>
      <w:r>
        <w:t xml:space="preserve">PI CV/biosketch, human-subjects and HIPAA training certificates, and</w:t>
      </w:r>
      <w:r>
        <w:t xml:space="preserve"> </w:t>
      </w:r>
      <w:r>
        <w:t xml:space="preserve">investigator roster.</w:t>
      </w:r>
    </w:p>
    <w:p>
      <w:pPr>
        <w:numPr>
          <w:ilvl w:val="0"/>
          <w:numId w:val="1010"/>
        </w:numPr>
      </w:pPr>
      <w:r>
        <w:t xml:space="preserve">Statistical simulation/power appendix approved by a named</w:t>
      </w:r>
      <w:r>
        <w:t xml:space="preserve"> </w:t>
      </w:r>
      <w:r>
        <w:t xml:space="preserve">statistician.</w:t>
      </w:r>
    </w:p>
    <w:p>
      <w:pPr>
        <w:numPr>
          <w:ilvl w:val="0"/>
          <w:numId w:val="1010"/>
        </w:numPr>
      </w:pPr>
      <w:r>
        <w:t xml:space="preserve">Data dictionary, abstraction manual, and validation rules.</w:t>
      </w:r>
    </w:p>
    <w:p>
      <w:pPr>
        <w:numPr>
          <w:ilvl w:val="0"/>
          <w:numId w:val="1010"/>
        </w:numPr>
      </w:pPr>
      <w:r>
        <w:t xml:space="preserve">Site agreement/data use agreement or reliance agreement, as</w:t>
      </w:r>
      <w:r>
        <w:t xml:space="preserve"> </w:t>
      </w:r>
      <w:r>
        <w:t xml:space="preserve">applicable.</w:t>
      </w:r>
    </w:p>
    <w:p>
      <w:pPr>
        <w:numPr>
          <w:ilvl w:val="0"/>
          <w:numId w:val="1010"/>
        </w:numPr>
      </w:pPr>
      <w:r>
        <w:t xml:space="preserve">Clinic payment schedule and budget justification showing reimbursement</w:t>
      </w:r>
      <w:r>
        <w:t xml:space="preserve"> </w:t>
      </w:r>
      <w:r>
        <w:t xml:space="preserve">is not outcome-contingent.</w:t>
      </w:r>
    </w:p>
    <w:p>
      <w:pPr>
        <w:numPr>
          <w:ilvl w:val="0"/>
          <w:numId w:val="1010"/>
        </w:numPr>
      </w:pPr>
      <w:r>
        <w:t xml:space="preserve">Recruitment/site outreach email and phone script labeled “do not use</w:t>
      </w:r>
      <w:r>
        <w:t xml:space="preserve"> </w:t>
      </w:r>
      <w:r>
        <w:t xml:space="preserve">until IRB determination.”</w:t>
      </w:r>
    </w:p>
    <w:p>
      <w:pPr>
        <w:numPr>
          <w:ilvl w:val="0"/>
          <w:numId w:val="1010"/>
        </w:numPr>
      </w:pPr>
      <w:r>
        <w:t xml:space="preserve">HIPAA de-identification attestation or Expert Determination</w:t>
      </w:r>
      <w:r>
        <w:t xml:space="preserve"> </w:t>
      </w:r>
      <w:r>
        <w:t xml:space="preserve">documentation for each data flow.</w:t>
      </w:r>
    </w:p>
    <w:p>
      <w:pPr>
        <w:numPr>
          <w:ilvl w:val="0"/>
          <w:numId w:val="1010"/>
        </w:numPr>
      </w:pPr>
      <w:r>
        <w:t xml:space="preserve">Public data disclosure-risk review plan and repository terms.</w:t>
      </w:r>
    </w:p>
    <w:p>
      <w:pPr>
        <w:numPr>
          <w:ilvl w:val="0"/>
          <w:numId w:val="1010"/>
        </w:numPr>
      </w:pPr>
      <w:r>
        <w:t xml:space="preserve">Conflict-of-interest forms and management plan, if required.</w:t>
      </w:r>
    </w:p>
    <w:bookmarkEnd w:id="46"/>
    <w:bookmarkStart w:id="47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11"/>
        </w:numPr>
      </w:pPr>
      <w:r>
        <w:t xml:space="preserve">Tan C, Frewer V, Cox G, Williams K, Ure A. Prevalence and Age of</w:t>
      </w:r>
      <w:r>
        <w:t xml:space="preserve"> </w:t>
      </w:r>
      <w:r>
        <w:t xml:space="preserve">Onset of Regression in Children with Autism Spectrum Disorder: A</w:t>
      </w:r>
      <w:r>
        <w:t xml:space="preserve"> </w:t>
      </w:r>
      <w:r>
        <w:t xml:space="preserve">Systematic Review and Meta-analytical Update. Autism Research.</w:t>
      </w:r>
      <w:r>
        <w:t xml:space="preserve"> </w:t>
      </w:r>
      <w:r>
        <w:t xml:space="preserve">2021;14(3):582–598. doi:10.1002/aur.2463.</w:t>
      </w:r>
    </w:p>
    <w:p>
      <w:pPr>
        <w:numPr>
          <w:ilvl w:val="0"/>
          <w:numId w:val="1011"/>
        </w:numPr>
      </w:pPr>
      <w:r>
        <w:t xml:space="preserve">Ozonoff S, et al. Changing conceptualizations of regression: What</w:t>
      </w:r>
      <w:r>
        <w:t xml:space="preserve"> </w:t>
      </w:r>
      <w:r>
        <w:t xml:space="preserve">prospective studies reveal about the onset of autism spectrum</w:t>
      </w:r>
      <w:r>
        <w:t xml:space="preserve"> </w:t>
      </w:r>
      <w:r>
        <w:t xml:space="preserve">disorder. Neuroscience &amp; Biobehavioral Reviews. 2019. PMID:</w:t>
      </w:r>
      <w:r>
        <w:t xml:space="preserve"> </w:t>
      </w:r>
      <w:r>
        <w:t xml:space="preserve">30885812.</w:t>
      </w:r>
    </w:p>
    <w:p>
      <w:pPr>
        <w:numPr>
          <w:ilvl w:val="0"/>
          <w:numId w:val="1011"/>
        </w:numPr>
      </w:pPr>
      <w:r>
        <w:t xml:space="preserve">Taylor LE, Swerdfeger AL, Eslick GD. Vaccines are not associated</w:t>
      </w:r>
      <w:r>
        <w:t xml:space="preserve"> </w:t>
      </w:r>
      <w:r>
        <w:t xml:space="preserve">with autism: an evidence-based meta-analysis of case-control and</w:t>
      </w:r>
      <w:r>
        <w:t xml:space="preserve"> </w:t>
      </w:r>
      <w:r>
        <w:t xml:space="preserve">cohort studies. Vaccine. 2014;32(29):3623–3629.</w:t>
      </w:r>
      <w:r>
        <w:t xml:space="preserve"> </w:t>
      </w:r>
      <w:r>
        <w:t xml:space="preserve">doi:10.1016/j.vaccine.2014.04.085.</w:t>
      </w:r>
    </w:p>
    <w:p>
      <w:pPr>
        <w:numPr>
          <w:ilvl w:val="0"/>
          <w:numId w:val="1011"/>
        </w:numPr>
      </w:pPr>
      <w:r>
        <w:t xml:space="preserve">Hviid A, Hansen JV, Frisch M, Melbye M. Measles, Mumps, Rubella</w:t>
      </w:r>
      <w:r>
        <w:t xml:space="preserve"> </w:t>
      </w:r>
      <w:r>
        <w:t xml:space="preserve">Vaccination and Autism: A Nationwide Cohort Study. Ann Intern Med.</w:t>
      </w:r>
      <w:r>
        <w:t xml:space="preserve"> </w:t>
      </w:r>
      <w:r>
        <w:t xml:space="preserve">2019;170(8):513–520. doi:10.7326/M18-2101.</w:t>
      </w:r>
    </w:p>
    <w:p>
      <w:pPr>
        <w:numPr>
          <w:ilvl w:val="0"/>
          <w:numId w:val="1011"/>
        </w:numPr>
      </w:pPr>
      <w:r>
        <w:t xml:space="preserve">Taylor B, et al. Measles, mumps, and rubella vaccination and bowel</w:t>
      </w:r>
      <w:r>
        <w:t xml:space="preserve"> </w:t>
      </w:r>
      <w:r>
        <w:t xml:space="preserve">problems or developmental regression in children with autism:</w:t>
      </w:r>
      <w:r>
        <w:t xml:space="preserve"> </w:t>
      </w:r>
      <w:r>
        <w:t xml:space="preserve">population study. BMJ. 2002;324:393–396. PMID: 11850369.</w:t>
      </w:r>
    </w:p>
    <w:p>
      <w:pPr>
        <w:numPr>
          <w:ilvl w:val="0"/>
          <w:numId w:val="1011"/>
        </w:numPr>
      </w:pPr>
      <w:r>
        <w:t xml:space="preserve">U.S. Department of Health and Human Services, Office for Civil</w:t>
      </w:r>
      <w:r>
        <w:t xml:space="preserve"> </w:t>
      </w:r>
      <w:r>
        <w:t xml:space="preserve">Rights. Guidance Regarding Methods for De-identification of</w:t>
      </w:r>
      <w:r>
        <w:t xml:space="preserve"> </w:t>
      </w:r>
      <w:r>
        <w:t xml:space="preserve">Protected Health Information under the HIPAA Privacy Rule.</w:t>
      </w:r>
    </w:p>
    <w:p>
      <w:pPr>
        <w:numPr>
          <w:ilvl w:val="0"/>
          <w:numId w:val="1011"/>
        </w:numPr>
      </w:pPr>
      <w:r>
        <w:t xml:space="preserve">U.S. Department of Health and Human Services, Office for Human</w:t>
      </w:r>
      <w:r>
        <w:t xml:space="preserve"> </w:t>
      </w:r>
      <w:r>
        <w:t xml:space="preserve">Research Protections. 45 CFR part 46; guidance on coded private</w:t>
      </w:r>
      <w:r>
        <w:t xml:space="preserve"> </w:t>
      </w:r>
      <w:r>
        <w:t xml:space="preserve">information and waiver/alteration of informed consent.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2026-08-12T04:18:30Z</dcterms:created>
  <dcterms:modified xsi:type="dcterms:W3CDTF">2026-08-12T04:18:30Z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