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80" w:before="520" w:line="312" w:lineRule="auto"/>
        <w:rPr>
          <w:rFonts w:ascii="Roboto" w:cs="Roboto" w:eastAsia="Roboto" w:hAnsi="Roboto"/>
          <w:b w:val="1"/>
          <w:color w:val="212121"/>
          <w:sz w:val="34"/>
          <w:szCs w:val="34"/>
        </w:rPr>
      </w:pPr>
      <w:bookmarkStart w:colFirst="0" w:colLast="0" w:name="_7r3trq94sbfx" w:id="0"/>
      <w:bookmarkEnd w:id="0"/>
      <w:r w:rsidDel="00000000" w:rsidR="00000000" w:rsidRPr="00000000">
        <w:rPr>
          <w:rFonts w:ascii="Roboto" w:cs="Roboto" w:eastAsia="Roboto" w:hAnsi="Roboto"/>
          <w:b w:val="1"/>
          <w:color w:val="212121"/>
          <w:sz w:val="34"/>
          <w:szCs w:val="34"/>
          <w:rtl w:val="0"/>
        </w:rPr>
        <w:t xml:space="preserve">NOTE:What is the relationship among the following article reference numbers: PMCID, NIHMSID, and PMID?</w:t>
      </w:r>
    </w:p>
    <w:p w:rsidR="00000000" w:rsidDel="00000000" w:rsidP="00000000" w:rsidRDefault="00000000" w:rsidRPr="00000000" w14:paraId="00000002">
      <w:pPr>
        <w:shd w:fill="ffffff" w:val="clear"/>
        <w:spacing w:after="240" w:line="360" w:lineRule="auto"/>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The </w:t>
      </w:r>
      <w:r w:rsidDel="00000000" w:rsidR="00000000" w:rsidRPr="00000000">
        <w:rPr>
          <w:rFonts w:ascii="Roboto" w:cs="Roboto" w:eastAsia="Roboto" w:hAnsi="Roboto"/>
          <w:b w:val="1"/>
          <w:color w:val="212121"/>
          <w:sz w:val="26"/>
          <w:szCs w:val="26"/>
          <w:rtl w:val="0"/>
        </w:rPr>
        <w:t xml:space="preserve">PMCID</w:t>
      </w:r>
      <w:r w:rsidDel="00000000" w:rsidR="00000000" w:rsidRPr="00000000">
        <w:rPr>
          <w:rFonts w:ascii="Roboto" w:cs="Roboto" w:eastAsia="Roboto" w:hAnsi="Roboto"/>
          <w:color w:val="212121"/>
          <w:sz w:val="26"/>
          <w:szCs w:val="26"/>
          <w:rtl w:val="0"/>
        </w:rPr>
        <w:t xml:space="preserve"> is a unique reference number or identifier that is assigned to every article that is accepted into PMC. The PMCID is also used by recipients of NIH funding to demonstrate compliance with the NIH Public Access policy. The PMCID can be found in both PMC and </w:t>
      </w:r>
      <w:hyperlink r:id="rId6">
        <w:r w:rsidDel="00000000" w:rsidR="00000000" w:rsidRPr="00000000">
          <w:rPr>
            <w:rFonts w:ascii="Roboto" w:cs="Roboto" w:eastAsia="Roboto" w:hAnsi="Roboto"/>
            <w:color w:val="376faa"/>
            <w:sz w:val="26"/>
            <w:szCs w:val="26"/>
            <w:u w:val="single"/>
            <w:rtl w:val="0"/>
          </w:rPr>
          <w:t xml:space="preserve">PubMed</w:t>
        </w:r>
      </w:hyperlink>
      <w:r w:rsidDel="00000000" w:rsidR="00000000" w:rsidRPr="00000000">
        <w:rPr>
          <w:rFonts w:ascii="Roboto" w:cs="Roboto" w:eastAsia="Roboto" w:hAnsi="Roboto"/>
          <w:color w:val="212121"/>
          <w:sz w:val="26"/>
          <w:szCs w:val="26"/>
          <w:rtl w:val="0"/>
        </w:rPr>
        <w:t xml:space="preserve">.</w:t>
      </w:r>
    </w:p>
    <w:p w:rsidR="00000000" w:rsidDel="00000000" w:rsidP="00000000" w:rsidRDefault="00000000" w:rsidRPr="00000000" w14:paraId="00000003">
      <w:pPr>
        <w:shd w:fill="ffffff" w:val="clear"/>
        <w:spacing w:after="240" w:line="360" w:lineRule="auto"/>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The </w:t>
      </w:r>
      <w:r w:rsidDel="00000000" w:rsidR="00000000" w:rsidRPr="00000000">
        <w:rPr>
          <w:rFonts w:ascii="Roboto" w:cs="Roboto" w:eastAsia="Roboto" w:hAnsi="Roboto"/>
          <w:b w:val="1"/>
          <w:color w:val="212121"/>
          <w:sz w:val="26"/>
          <w:szCs w:val="26"/>
          <w:rtl w:val="0"/>
        </w:rPr>
        <w:t xml:space="preserve">NIHMSID</w:t>
      </w:r>
      <w:r w:rsidDel="00000000" w:rsidR="00000000" w:rsidRPr="00000000">
        <w:rPr>
          <w:rFonts w:ascii="Roboto" w:cs="Roboto" w:eastAsia="Roboto" w:hAnsi="Roboto"/>
          <w:color w:val="212121"/>
          <w:sz w:val="26"/>
          <w:szCs w:val="26"/>
          <w:rtl w:val="0"/>
        </w:rPr>
        <w:t xml:space="preserve"> is a preliminary article identifier that applies only to manuscripts deposited through the NIHMS system. The NIHMSID is only valid for compliance reporting for 90 days after the publication date of an article. Once the Web version of the NIHMS submission is approved for inclusion in PMC and the corresponding citation is in PubMed, the article will also be assigned a PMCID.</w:t>
      </w:r>
    </w:p>
    <w:p w:rsidR="00000000" w:rsidDel="00000000" w:rsidP="00000000" w:rsidRDefault="00000000" w:rsidRPr="00000000" w14:paraId="00000004">
      <w:pPr>
        <w:shd w:fill="ffffff" w:val="clear"/>
        <w:spacing w:after="240" w:line="360" w:lineRule="auto"/>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The </w:t>
      </w:r>
      <w:r w:rsidDel="00000000" w:rsidR="00000000" w:rsidRPr="00000000">
        <w:rPr>
          <w:rFonts w:ascii="Roboto" w:cs="Roboto" w:eastAsia="Roboto" w:hAnsi="Roboto"/>
          <w:b w:val="1"/>
          <w:color w:val="212121"/>
          <w:sz w:val="26"/>
          <w:szCs w:val="26"/>
          <w:rtl w:val="0"/>
        </w:rPr>
        <w:t xml:space="preserve">PMID</w:t>
      </w:r>
      <w:r w:rsidDel="00000000" w:rsidR="00000000" w:rsidRPr="00000000">
        <w:rPr>
          <w:rFonts w:ascii="Roboto" w:cs="Roboto" w:eastAsia="Roboto" w:hAnsi="Roboto"/>
          <w:color w:val="212121"/>
          <w:sz w:val="26"/>
          <w:szCs w:val="26"/>
          <w:rtl w:val="0"/>
        </w:rPr>
        <w:t xml:space="preserve"> is a unique reference number for PubMed citations. The PMID is a distinctly different number from the PMCID and is used only for PubMed records.</w:t>
      </w:r>
    </w:p>
    <w:p w:rsidR="00000000" w:rsidDel="00000000" w:rsidP="00000000" w:rsidRDefault="00000000" w:rsidRPr="00000000" w14:paraId="00000005">
      <w:pPr>
        <w:shd w:fill="ffffff" w:val="clear"/>
        <w:spacing w:after="240" w:line="360" w:lineRule="auto"/>
        <w:rPr>
          <w:rFonts w:ascii="Roboto" w:cs="Roboto" w:eastAsia="Roboto" w:hAnsi="Roboto"/>
          <w:color w:val="212121"/>
          <w:sz w:val="26"/>
          <w:szCs w:val="26"/>
        </w:rPr>
      </w:pPr>
      <w:r w:rsidDel="00000000" w:rsidR="00000000" w:rsidRPr="00000000">
        <w:rPr>
          <w:rtl w:val="0"/>
        </w:rPr>
      </w:r>
    </w:p>
    <w:p w:rsidR="00000000" w:rsidDel="00000000" w:rsidP="00000000" w:rsidRDefault="00000000" w:rsidRPr="00000000" w14:paraId="00000006">
      <w:pPr>
        <w:shd w:fill="ffffff" w:val="clear"/>
        <w:spacing w:after="240" w:line="360" w:lineRule="auto"/>
        <w:rPr>
          <w:rFonts w:ascii="Roboto" w:cs="Roboto" w:eastAsia="Roboto" w:hAnsi="Roboto"/>
          <w:color w:val="212121"/>
          <w:sz w:val="26"/>
          <w:szCs w:val="26"/>
        </w:rPr>
      </w:pPr>
      <w:r w:rsidDel="00000000" w:rsidR="00000000" w:rsidRPr="00000000">
        <w:rPr>
          <w:rtl w:val="0"/>
        </w:rPr>
      </w:r>
    </w:p>
    <w:p w:rsidR="00000000" w:rsidDel="00000000" w:rsidP="00000000" w:rsidRDefault="00000000" w:rsidRPr="00000000" w14:paraId="00000007">
      <w:pPr>
        <w:shd w:fill="ffffff" w:val="clear"/>
        <w:spacing w:after="240" w:line="360" w:lineRule="auto"/>
        <w:rPr>
          <w:rFonts w:ascii="Roboto" w:cs="Roboto" w:eastAsia="Roboto" w:hAnsi="Roboto"/>
          <w:color w:val="212121"/>
          <w:sz w:val="26"/>
          <w:szCs w:val="26"/>
        </w:rPr>
      </w:pPr>
      <w:r w:rsidDel="00000000" w:rsidR="00000000" w:rsidRPr="00000000">
        <w:rPr>
          <w:rtl w:val="0"/>
        </w:rPr>
      </w:r>
    </w:p>
    <w:p w:rsidR="00000000" w:rsidDel="00000000" w:rsidP="00000000" w:rsidRDefault="00000000" w:rsidRPr="00000000" w14:paraId="00000008">
      <w:pPr>
        <w:shd w:fill="ffffff" w:val="clear"/>
        <w:spacing w:after="240" w:line="360" w:lineRule="auto"/>
        <w:rPr>
          <w:rFonts w:ascii="Roboto" w:cs="Roboto" w:eastAsia="Roboto" w:hAnsi="Roboto"/>
          <w:color w:val="212121"/>
          <w:sz w:val="26"/>
          <w:szCs w:val="26"/>
        </w:rPr>
      </w:pPr>
      <w:r w:rsidDel="00000000" w:rsidR="00000000" w:rsidRPr="00000000">
        <w:rPr>
          <w:rtl w:val="0"/>
        </w:rPr>
      </w:r>
    </w:p>
    <w:p w:rsidR="00000000" w:rsidDel="00000000" w:rsidP="00000000" w:rsidRDefault="00000000" w:rsidRPr="00000000" w14:paraId="00000009">
      <w:pPr>
        <w:shd w:fill="ffffff" w:val="clear"/>
        <w:spacing w:after="240" w:line="360" w:lineRule="auto"/>
        <w:rPr>
          <w:rFonts w:ascii="Roboto" w:cs="Roboto" w:eastAsia="Roboto" w:hAnsi="Roboto"/>
          <w:color w:val="212121"/>
          <w:sz w:val="26"/>
          <w:szCs w:val="26"/>
        </w:rPr>
      </w:pPr>
      <w:r w:rsidDel="00000000" w:rsidR="00000000" w:rsidRPr="00000000">
        <w:rPr>
          <w:rtl w:val="0"/>
        </w:rPr>
      </w:r>
    </w:p>
    <w:p w:rsidR="00000000" w:rsidDel="00000000" w:rsidP="00000000" w:rsidRDefault="00000000" w:rsidRPr="00000000" w14:paraId="0000000A">
      <w:pPr>
        <w:shd w:fill="ffffff" w:val="clear"/>
        <w:spacing w:after="240" w:line="360" w:lineRule="auto"/>
        <w:rPr>
          <w:rFonts w:ascii="Roboto" w:cs="Roboto" w:eastAsia="Roboto" w:hAnsi="Roboto"/>
          <w:color w:val="212121"/>
          <w:sz w:val="26"/>
          <w:szCs w:val="26"/>
        </w:rPr>
      </w:pPr>
      <w:r w:rsidDel="00000000" w:rsidR="00000000" w:rsidRPr="00000000">
        <w:rPr>
          <w:rtl w:val="0"/>
        </w:rPr>
      </w:r>
    </w:p>
    <w:p w:rsidR="00000000" w:rsidDel="00000000" w:rsidP="00000000" w:rsidRDefault="00000000" w:rsidRPr="00000000" w14:paraId="0000000B">
      <w:pPr>
        <w:shd w:fill="ffffff" w:val="clear"/>
        <w:spacing w:after="240" w:line="360" w:lineRule="auto"/>
        <w:rPr>
          <w:rFonts w:ascii="Roboto" w:cs="Roboto" w:eastAsia="Roboto" w:hAnsi="Roboto"/>
          <w:color w:val="212121"/>
          <w:sz w:val="26"/>
          <w:szCs w:val="26"/>
        </w:rPr>
      </w:pPr>
      <w:r w:rsidDel="00000000" w:rsidR="00000000" w:rsidRPr="00000000">
        <w:rPr>
          <w:rtl w:val="0"/>
        </w:rPr>
      </w:r>
    </w:p>
    <w:p w:rsidR="00000000" w:rsidDel="00000000" w:rsidP="00000000" w:rsidRDefault="00000000" w:rsidRPr="00000000" w14:paraId="0000000C">
      <w:pPr>
        <w:shd w:fill="ffffff" w:val="clear"/>
        <w:spacing w:after="240" w:line="360" w:lineRule="auto"/>
        <w:rPr>
          <w:rFonts w:ascii="Roboto" w:cs="Roboto" w:eastAsia="Roboto" w:hAnsi="Roboto"/>
          <w:color w:val="212121"/>
          <w:sz w:val="26"/>
          <w:szCs w:val="26"/>
        </w:rPr>
      </w:pPr>
      <w:r w:rsidDel="00000000" w:rsidR="00000000" w:rsidRPr="00000000">
        <w:rPr>
          <w:rtl w:val="0"/>
        </w:rPr>
      </w:r>
    </w:p>
    <w:p w:rsidR="00000000" w:rsidDel="00000000" w:rsidP="00000000" w:rsidRDefault="00000000" w:rsidRPr="00000000" w14:paraId="0000000D">
      <w:pPr>
        <w:shd w:fill="ffffff" w:val="clear"/>
        <w:spacing w:after="240" w:line="360" w:lineRule="auto"/>
        <w:rPr>
          <w:rFonts w:ascii="Roboto" w:cs="Roboto" w:eastAsia="Roboto" w:hAnsi="Roboto"/>
          <w:b w:val="1"/>
          <w:color w:val="212121"/>
          <w:sz w:val="26"/>
          <w:szCs w:val="26"/>
        </w:rPr>
      </w:pPr>
      <w:r w:rsidDel="00000000" w:rsidR="00000000" w:rsidRPr="00000000">
        <w:rPr>
          <w:rFonts w:ascii="Roboto" w:cs="Roboto" w:eastAsia="Roboto" w:hAnsi="Roboto"/>
          <w:b w:val="1"/>
          <w:color w:val="212121"/>
          <w:sz w:val="26"/>
          <w:szCs w:val="26"/>
          <w:rtl w:val="0"/>
        </w:rPr>
        <w:t xml:space="preserve">BIO BERT(Pre Trained Model) TRAINING:</w:t>
      </w:r>
    </w:p>
    <w:p w:rsidR="00000000" w:rsidDel="00000000" w:rsidP="00000000" w:rsidRDefault="00000000" w:rsidRPr="00000000" w14:paraId="0000000E">
      <w:pPr>
        <w:shd w:fill="ffffff" w:val="clear"/>
        <w:spacing w:after="240" w:line="360" w:lineRule="auto"/>
        <w:rPr>
          <w:rFonts w:ascii="Roboto" w:cs="Roboto" w:eastAsia="Roboto" w:hAnsi="Roboto"/>
          <w:b w:val="1"/>
          <w:color w:val="21212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