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9E3A5" w14:textId="77777777" w:rsidR="00AB7EBC" w:rsidRPr="00CC2F84" w:rsidRDefault="006B4661" w:rsidP="00F44442">
      <w:pPr>
        <w:pStyle w:val="Heading1"/>
        <w:spacing w:before="0" w:after="86"/>
        <w:rPr>
          <w:rFonts w:ascii="Helvetica" w:hAnsi="Helvetica"/>
          <w:b/>
          <w:bCs/>
          <w:color w:val="auto"/>
          <w:sz w:val="22"/>
          <w:szCs w:val="22"/>
        </w:rPr>
      </w:pPr>
      <w:bookmarkStart w:id="0" w:name="X1cdf5c07f032a1a621db3286175c9c252725b22"/>
      <w:r w:rsidRPr="00CC2F84">
        <w:rPr>
          <w:rFonts w:ascii="Helvetica" w:hAnsi="Helvetica"/>
          <w:b/>
          <w:bCs/>
          <w:color w:val="auto"/>
          <w:sz w:val="22"/>
          <w:szCs w:val="22"/>
        </w:rPr>
        <w:t>Modeling the impact of respiratory illness outbreaks on the agricultural workforce and food production in the United States</w:t>
      </w:r>
    </w:p>
    <w:p w14:paraId="6182939C" w14:textId="2C1784A6" w:rsidR="00B2779A" w:rsidRPr="00CC2F84" w:rsidRDefault="5A050E4D" w:rsidP="00B2779A">
      <w:pPr>
        <w:pStyle w:val="BodyText"/>
        <w:rPr>
          <w:rFonts w:ascii="Helvetica" w:hAnsi="Helvetica"/>
          <w:sz w:val="22"/>
          <w:szCs w:val="22"/>
        </w:rPr>
      </w:pPr>
      <w:r w:rsidRPr="00CC2F84">
        <w:rPr>
          <w:rFonts w:ascii="Helvetica" w:hAnsi="Helvetica"/>
          <w:sz w:val="22"/>
          <w:szCs w:val="22"/>
        </w:rPr>
        <w:t>Kat</w:t>
      </w:r>
      <w:r w:rsidR="4EB5F61E" w:rsidRPr="00CC2F84">
        <w:rPr>
          <w:rFonts w:ascii="Helvetica" w:hAnsi="Helvetica"/>
          <w:sz w:val="22"/>
          <w:szCs w:val="22"/>
        </w:rPr>
        <w:t>herine</w:t>
      </w:r>
      <w:r w:rsidRPr="00CC2F84">
        <w:rPr>
          <w:rFonts w:ascii="Helvetica" w:hAnsi="Helvetica"/>
          <w:sz w:val="22"/>
          <w:szCs w:val="22"/>
        </w:rPr>
        <w:t xml:space="preserve"> Bardsley*, Luis X. de Pablo*, Emma Keppler</w:t>
      </w:r>
      <w:r w:rsidR="54DC97D6" w:rsidRPr="00CC2F84">
        <w:rPr>
          <w:rFonts w:ascii="Helvetica" w:hAnsi="Helvetica"/>
          <w:sz w:val="22"/>
          <w:szCs w:val="22"/>
        </w:rPr>
        <w:t xml:space="preserve"> Canada</w:t>
      </w:r>
      <w:r w:rsidRPr="00CC2F84">
        <w:rPr>
          <w:rFonts w:ascii="Helvetica" w:hAnsi="Helvetica"/>
          <w:sz w:val="22"/>
          <w:szCs w:val="22"/>
        </w:rPr>
        <w:t>*, Naia Ormaza Zulueta, Zia Mehrabi</w:t>
      </w:r>
      <w:r w:rsidR="00980EA5" w:rsidRPr="00980EA5">
        <w:rPr>
          <w:rFonts w:ascii="Helvetica" w:hAnsi="Helvetica" w:cs="Times New Roman (Headings CS)"/>
          <w:smallCaps/>
          <w:sz w:val="21"/>
          <w:szCs w:val="21"/>
          <w:vertAlign w:val="superscript"/>
        </w:rPr>
        <w:t>†</w:t>
      </w:r>
      <w:r w:rsidRPr="00CC2F84">
        <w:rPr>
          <w:rFonts w:ascii="Helvetica" w:hAnsi="Helvetica"/>
          <w:sz w:val="22"/>
          <w:szCs w:val="22"/>
        </w:rPr>
        <w:t>, Stephen Kissler</w:t>
      </w:r>
      <w:r w:rsidR="00980EA5" w:rsidRPr="00980EA5">
        <w:rPr>
          <w:rFonts w:ascii="Helvetica" w:hAnsi="Helvetica" w:cs="Times New Roman (Headings CS)"/>
          <w:smallCaps/>
          <w:sz w:val="21"/>
          <w:szCs w:val="21"/>
          <w:vertAlign w:val="superscript"/>
        </w:rPr>
        <w:t>†</w:t>
      </w:r>
    </w:p>
    <w:p w14:paraId="37ECF96E" w14:textId="040AF033" w:rsidR="00B5186D" w:rsidRPr="00CC2F84" w:rsidRDefault="00B5186D">
      <w:pPr>
        <w:pStyle w:val="Heading2"/>
        <w:rPr>
          <w:rFonts w:ascii="Helvetica" w:hAnsi="Helvetica" w:cs="Times New Roman (Headings CS)"/>
          <w:i/>
          <w:iCs/>
          <w:color w:val="auto"/>
          <w:sz w:val="21"/>
          <w:szCs w:val="21"/>
        </w:rPr>
      </w:pPr>
      <w:bookmarkStart w:id="1" w:name="abstract"/>
      <w:r w:rsidRPr="00CC2F84">
        <w:rPr>
          <w:rFonts w:ascii="Helvetica" w:hAnsi="Helvetica" w:cs="Times New Roman (Headings CS)"/>
          <w:i/>
          <w:iCs/>
          <w:smallCaps/>
          <w:color w:val="auto"/>
          <w:sz w:val="21"/>
          <w:szCs w:val="21"/>
        </w:rPr>
        <w:t>*</w:t>
      </w:r>
      <w:r w:rsidR="00980EA5">
        <w:rPr>
          <w:rFonts w:ascii="Helvetica" w:hAnsi="Helvetica" w:cs="Times New Roman (Headings CS)"/>
          <w:i/>
          <w:iCs/>
          <w:smallCaps/>
          <w:color w:val="auto"/>
          <w:sz w:val="21"/>
          <w:szCs w:val="21"/>
        </w:rPr>
        <w:t>,</w:t>
      </w:r>
      <w:r w:rsidR="00980EA5" w:rsidRPr="00980EA5">
        <w:rPr>
          <w:rFonts w:ascii="Helvetica" w:hAnsi="Helvetica" w:cs="Times New Roman (Headings CS)"/>
          <w:i/>
          <w:iCs/>
          <w:smallCaps/>
          <w:color w:val="auto"/>
          <w:sz w:val="21"/>
          <w:szCs w:val="21"/>
          <w:vertAlign w:val="superscript"/>
        </w:rPr>
        <w:t>†</w:t>
      </w:r>
      <w:r w:rsidRPr="00CC2F84">
        <w:rPr>
          <w:rFonts w:ascii="Helvetica" w:hAnsi="Helvetica" w:cs="Times New Roman (Headings CS)"/>
          <w:i/>
          <w:iCs/>
          <w:smallCaps/>
          <w:color w:val="auto"/>
          <w:sz w:val="21"/>
          <w:szCs w:val="21"/>
        </w:rPr>
        <w:t xml:space="preserve"> </w:t>
      </w:r>
      <w:r w:rsidRPr="00CC2F84">
        <w:rPr>
          <w:rFonts w:ascii="Helvetica" w:hAnsi="Helvetica" w:cs="Times New Roman (Headings CS)"/>
          <w:i/>
          <w:iCs/>
          <w:color w:val="auto"/>
          <w:sz w:val="21"/>
          <w:szCs w:val="21"/>
        </w:rPr>
        <w:t>denotes equal contribution</w:t>
      </w:r>
    </w:p>
    <w:p w14:paraId="26AF1007" w14:textId="526997AF" w:rsidR="00AB7EBC" w:rsidRPr="00CC2F84" w:rsidRDefault="006B4661">
      <w:pPr>
        <w:pStyle w:val="Heading2"/>
        <w:rPr>
          <w:rFonts w:ascii="Helvetica" w:hAnsi="Helvetica" w:cs="Times New Roman (Headings CS)"/>
          <w:b/>
          <w:bCs/>
          <w:smallCaps/>
          <w:color w:val="auto"/>
          <w:sz w:val="21"/>
          <w:szCs w:val="21"/>
        </w:rPr>
      </w:pPr>
      <w:r w:rsidRPr="00CC2F84">
        <w:rPr>
          <w:rFonts w:ascii="Helvetica" w:hAnsi="Helvetica" w:cs="Times New Roman (Headings CS)"/>
          <w:b/>
          <w:bCs/>
          <w:smallCaps/>
          <w:color w:val="auto"/>
          <w:sz w:val="21"/>
          <w:szCs w:val="21"/>
        </w:rPr>
        <w:t>Abstract</w:t>
      </w:r>
    </w:p>
    <w:p w14:paraId="2506A347" w14:textId="77777777" w:rsidR="00AB7EBC" w:rsidRPr="00CC2F84" w:rsidRDefault="006B4661" w:rsidP="00F44442">
      <w:pPr>
        <w:pStyle w:val="FirstParagraph"/>
        <w:jc w:val="both"/>
        <w:rPr>
          <w:rFonts w:ascii="Helvetica" w:hAnsi="Helvetica"/>
          <w:sz w:val="21"/>
          <w:szCs w:val="21"/>
        </w:rPr>
      </w:pPr>
      <w:r w:rsidRPr="00CC2F84">
        <w:rPr>
          <w:rFonts w:ascii="Helvetica" w:hAnsi="Helvetica"/>
          <w:b/>
          <w:bCs/>
          <w:sz w:val="21"/>
          <w:szCs w:val="21"/>
        </w:rPr>
        <w:t>Background:</w:t>
      </w:r>
      <w:r w:rsidRPr="00CC2F84">
        <w:rPr>
          <w:rFonts w:ascii="Helvetica" w:hAnsi="Helvetica"/>
          <w:sz w:val="21"/>
          <w:szCs w:val="21"/>
        </w:rPr>
        <w:t xml:space="preserve"> Respiratory disease outbreaks pose significant threats to critical infrastructure, including food production systems. Agricultural workers face elevated disease transmission risk due to crowded living conditions and occupational exposures, yet the impact of respiratory outbreaks on agricultural labor and productivity remains poorly quantified.</w:t>
      </w:r>
    </w:p>
    <w:p w14:paraId="0AB2A041" w14:textId="0AEBA74F"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Methods:</w:t>
      </w:r>
      <w:r w:rsidRPr="00CC2F84">
        <w:rPr>
          <w:rFonts w:ascii="Helvetica" w:hAnsi="Helvetica"/>
          <w:sz w:val="21"/>
          <w:szCs w:val="21"/>
        </w:rPr>
        <w:t xml:space="preserve"> We developed a household-structured susceptible-infectious-recovered (SIR) transmission model to compare disease dynamics between agricultural workers and the general U.S. population. Using data from the American Community Survey and National Agricultural Workers Survey, we parameterized household size and crowding distributions across six regions. We simulated outbreaks with reproduction numbers ranging from 1.2 to 3.0 across various assumptions on household secondary attack rate and assortative mixing. We assessed productivity losses for three labor-intensive crops (oranges, </w:t>
      </w:r>
      <w:r w:rsidR="006353BA">
        <w:rPr>
          <w:rFonts w:ascii="Helvetica" w:hAnsi="Helvetica"/>
          <w:sz w:val="21"/>
          <w:szCs w:val="21"/>
        </w:rPr>
        <w:t xml:space="preserve">iceberg </w:t>
      </w:r>
      <w:r w:rsidRPr="00CC2F84">
        <w:rPr>
          <w:rFonts w:ascii="Helvetica" w:hAnsi="Helvetica"/>
          <w:sz w:val="21"/>
          <w:szCs w:val="21"/>
        </w:rPr>
        <w:t>lettuce, strawberries) with different harvest seasonalities.</w:t>
      </w:r>
    </w:p>
    <w:p w14:paraId="01BA9FB4" w14:textId="1933216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Results:</w:t>
      </w:r>
      <w:r w:rsidRPr="00CC2F84">
        <w:rPr>
          <w:rFonts w:ascii="Helvetica" w:hAnsi="Helvetica"/>
          <w:sz w:val="21"/>
          <w:szCs w:val="21"/>
        </w:rPr>
        <w:t xml:space="preserve"> Compared to the general population, agricultural worker households are substantially larger (mean household size: 3.3-4.1 vs. 2.4-2.8 across regions) and more crowded (proportion of households crowded: 11-33% vs. 2-8% across regions). For a baseline reproduction number of </w:t>
      </w:r>
      <m:oMath>
        <m:sSub>
          <m:sSubPr>
            <m:ctrlPr>
              <w:rPr>
                <w:rFonts w:ascii="Cambria Math" w:hAnsi="Cambria Math"/>
                <w:sz w:val="21"/>
                <w:szCs w:val="21"/>
              </w:rPr>
            </m:ctrlPr>
          </m:sSubPr>
          <m:e>
            <m:r>
              <w:rPr>
                <w:rFonts w:ascii="Cambria Math" w:hAnsi="Cambria Math"/>
                <w:sz w:val="21"/>
                <w:szCs w:val="21"/>
              </w:rPr>
              <m:t>R</m:t>
            </m:r>
          </m:e>
          <m:sub>
            <m:r>
              <w:rPr>
                <w:rFonts w:ascii="Cambria Math" w:hAnsi="Cambria Math"/>
                <w:sz w:val="21"/>
                <w:szCs w:val="21"/>
              </w:rPr>
              <m:t>0</m:t>
            </m:r>
          </m:sub>
        </m:sSub>
      </m:oMath>
      <w:r w:rsidRPr="00CC2F84">
        <w:rPr>
          <w:rFonts w:ascii="Helvetica" w:hAnsi="Helvetica"/>
          <w:sz w:val="21"/>
          <w:szCs w:val="21"/>
        </w:rPr>
        <w:t xml:space="preserve"> = 1.5, peak disease prevalence among agricultural workers was 1.23-1.45 times higher than that of the general population across regions, and final outbreak sizes were 1.15 to 1.28 times higher. Under baseline assumptions, maximum productivity losses were estimated at 0.62%</w:t>
      </w:r>
      <w:r w:rsidR="00F44442" w:rsidRPr="00CC2F84">
        <w:rPr>
          <w:rFonts w:ascii="Helvetica" w:hAnsi="Helvetica"/>
          <w:sz w:val="21"/>
          <w:szCs w:val="21"/>
        </w:rPr>
        <w:t xml:space="preserve"> </w:t>
      </w:r>
      <w:r w:rsidRPr="00CC2F84">
        <w:rPr>
          <w:rFonts w:ascii="Helvetica" w:hAnsi="Helvetica"/>
          <w:sz w:val="21"/>
          <w:szCs w:val="21"/>
        </w:rPr>
        <w:t>for strawberries, 0.50% for</w:t>
      </w:r>
      <w:r w:rsidR="006353BA">
        <w:rPr>
          <w:rFonts w:ascii="Helvetica" w:hAnsi="Helvetica"/>
          <w:sz w:val="21"/>
          <w:szCs w:val="21"/>
        </w:rPr>
        <w:t xml:space="preserve"> iceberg</w:t>
      </w:r>
      <w:r w:rsidRPr="00CC2F84">
        <w:rPr>
          <w:rFonts w:ascii="Helvetica" w:hAnsi="Helvetica"/>
          <w:sz w:val="21"/>
          <w:szCs w:val="21"/>
        </w:rPr>
        <w:t xml:space="preserve"> lettuce, and 0.50% for oranges, translating to $21,511,907, $6,257,962, and $4,275,115 USD, respectively.</w:t>
      </w:r>
    </w:p>
    <w:p w14:paraId="6F8D77CE" w14:textId="7777777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Conclusions:</w:t>
      </w:r>
      <w:r w:rsidRPr="00CC2F84">
        <w:rPr>
          <w:rFonts w:ascii="Helvetica" w:hAnsi="Helvetica"/>
          <w:sz w:val="21"/>
          <w:szCs w:val="21"/>
        </w:rPr>
        <w:t xml:space="preserve"> Household crowding may lead to disproportionate respiratory disease burden among agricultural workers, potentially generating substantial food production losses. These findings highlight the need for targeted outbreak preparedness and mitigation strategies in the agricultural sector to maintain food system resilience.</w:t>
      </w:r>
    </w:p>
    <w:p w14:paraId="329D372D" w14:textId="77777777" w:rsidR="000C35A9" w:rsidRPr="00CC2F84" w:rsidRDefault="000C35A9">
      <w:pPr>
        <w:rPr>
          <w:rFonts w:ascii="Helvetica" w:eastAsiaTheme="majorEastAsia" w:hAnsi="Helvetica" w:cstheme="majorBidi"/>
          <w:color w:val="0F4761" w:themeColor="accent1" w:themeShade="BF"/>
          <w:sz w:val="32"/>
          <w:szCs w:val="32"/>
        </w:rPr>
      </w:pPr>
      <w:bookmarkStart w:id="2" w:name="introduction"/>
      <w:bookmarkEnd w:id="1"/>
      <w:r w:rsidRPr="00CC2F84">
        <w:rPr>
          <w:rFonts w:ascii="Helvetica" w:hAnsi="Helvetica"/>
        </w:rPr>
        <w:br w:type="page"/>
      </w:r>
    </w:p>
    <w:p w14:paraId="213A1B9E" w14:textId="112D9934" w:rsidR="00AB7EBC" w:rsidRPr="00CC2F84" w:rsidRDefault="75860415">
      <w:pPr>
        <w:pStyle w:val="Heading2"/>
        <w:rPr>
          <w:rFonts w:ascii="Helvetica" w:hAnsi="Helvetica"/>
          <w:b/>
          <w:bCs/>
          <w:sz w:val="22"/>
          <w:szCs w:val="22"/>
        </w:rPr>
      </w:pPr>
      <w:commentRangeStart w:id="3"/>
      <w:commentRangeStart w:id="4"/>
      <w:commentRangeStart w:id="5"/>
      <w:r w:rsidRPr="00CC2F84">
        <w:rPr>
          <w:rFonts w:ascii="Helvetica" w:hAnsi="Helvetica"/>
          <w:b/>
          <w:bCs/>
          <w:sz w:val="22"/>
          <w:szCs w:val="22"/>
        </w:rPr>
        <w:lastRenderedPageBreak/>
        <w:t>Introduction</w:t>
      </w:r>
      <w:commentRangeEnd w:id="5"/>
      <w:r w:rsidR="00956CEE" w:rsidRPr="00CC2F84">
        <w:rPr>
          <w:rStyle w:val="CommentReference"/>
          <w:rFonts w:ascii="Helvetica" w:hAnsi="Helvetica"/>
          <w:b/>
          <w:bCs/>
          <w:sz w:val="22"/>
          <w:szCs w:val="22"/>
        </w:rPr>
        <w:commentReference w:id="5"/>
      </w:r>
      <w:r w:rsidR="48F2B55F" w:rsidRPr="00CC2F84">
        <w:rPr>
          <w:rFonts w:ascii="Helvetica" w:hAnsi="Helvetica"/>
          <w:b/>
          <w:bCs/>
          <w:sz w:val="22"/>
          <w:szCs w:val="22"/>
        </w:rPr>
        <w:t>.</w:t>
      </w:r>
      <w:commentRangeEnd w:id="3"/>
      <w:r w:rsidR="00956CEE" w:rsidRPr="00CC2F84">
        <w:rPr>
          <w:rStyle w:val="CommentReference"/>
          <w:rFonts w:ascii="Helvetica" w:hAnsi="Helvetica"/>
          <w:b/>
          <w:bCs/>
          <w:sz w:val="22"/>
          <w:szCs w:val="22"/>
        </w:rPr>
        <w:commentReference w:id="3"/>
      </w:r>
      <w:commentRangeEnd w:id="4"/>
      <w:r w:rsidR="006B4661" w:rsidRPr="00CC2F84">
        <w:rPr>
          <w:rStyle w:val="CommentReference"/>
          <w:rFonts w:ascii="Helvetica" w:hAnsi="Helvetica"/>
          <w:b/>
          <w:bCs/>
          <w:sz w:val="22"/>
          <w:szCs w:val="22"/>
        </w:rPr>
        <w:commentReference w:id="4"/>
      </w:r>
    </w:p>
    <w:p w14:paraId="4D423784" w14:textId="7182DA31" w:rsidR="00AB7EBC" w:rsidRPr="00CC2F84" w:rsidRDefault="006B4661" w:rsidP="000C35A9">
      <w:pPr>
        <w:pStyle w:val="FirstParagraph"/>
        <w:jc w:val="both"/>
        <w:rPr>
          <w:rFonts w:ascii="Helvetica" w:hAnsi="Helvetica"/>
          <w:sz w:val="22"/>
          <w:szCs w:val="22"/>
        </w:rPr>
      </w:pPr>
      <w:r w:rsidRPr="007105E8">
        <w:rPr>
          <w:rFonts w:ascii="Helvetica" w:hAnsi="Helvetica"/>
          <w:sz w:val="22"/>
          <w:szCs w:val="22"/>
        </w:rPr>
        <w:t>Respiratory disease outbreaks can cause societal and economic disruptions that cascade beyond their direct public health burden. The food system, which encompasses food production, processing, and distribution, is particularly susceptible to labor-driven shocks</w:t>
      </w:r>
      <w:r w:rsidR="00CA37D0">
        <w:rPr>
          <w:rFonts w:ascii="Helvetica" w:hAnsi="Helvetica"/>
          <w:sz w:val="22"/>
          <w:szCs w:val="22"/>
        </w:rPr>
        <w:t>.</w:t>
      </w:r>
      <w:r w:rsidR="00BC40BD">
        <w:rPr>
          <w:rFonts w:ascii="Helvetica" w:hAnsi="Helvetica"/>
          <w:sz w:val="22"/>
          <w:szCs w:val="22"/>
        </w:rPr>
        <w:fldChar w:fldCharType="begin"/>
      </w:r>
      <w:r w:rsidR="00CA37D0">
        <w:rPr>
          <w:rFonts w:ascii="Helvetica" w:hAnsi="Helvetica"/>
          <w:sz w:val="22"/>
          <w:szCs w:val="22"/>
        </w:rPr>
        <w:instrText xml:space="preserve"> ADDIN ZOTERO_ITEM CSL_CITATION {"citationID":"Bxw33nZK","properties":{"formattedCitation":"\\super 1,2\\nosupersub{}","plainCitation":"1,2","noteIndex":0},"citationItems":[{"id":3123,"uris":["http://zotero.org/users/10934876/items/H8KS74X3"],"itemData":{"id":3123,"type":"article-journal","container-title":"MMWR.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3122,"uris":["http://zotero.org/users/10934876/items/2Z4HRHEN"],"itemData":{"id":3122,"type":"article-journal","container-title":"Nature","DOI":"10.1038/s41586-021-03621-0","ISSN":"0028-0836, 1476-4687","issue":"7866","journalAbbreviation":"Nature","language":"en","page":"250-254","source":"DOI.org (Crossref)","title":"Supply chain diversity buffers cities against food shocks","volume":"595","author":[{"family":"Gomez","given":"Michael"},{"family":"Mejia","given":"Alfonso"},{"family":"Ruddell","given":"Benjamin L."},{"family":"Rushforth","given":"Richard R."}],"issued":{"date-parts":[["2021",7,8]]}}}],"schema":"https://github.com/citation-style-language/schema/raw/master/csl-citation.json"} </w:instrText>
      </w:r>
      <w:r w:rsidR="00BC40BD">
        <w:rPr>
          <w:rFonts w:ascii="Helvetica" w:hAnsi="Helvetica"/>
          <w:sz w:val="22"/>
          <w:szCs w:val="22"/>
        </w:rPr>
        <w:fldChar w:fldCharType="separate"/>
      </w:r>
      <w:r w:rsidR="00CA37D0" w:rsidRPr="00CA37D0">
        <w:rPr>
          <w:rFonts w:ascii="Helvetica" w:hAnsi="Helvetica" w:cs="Times New Roman"/>
          <w:sz w:val="22"/>
          <w:vertAlign w:val="superscript"/>
        </w:rPr>
        <w:t>1,2</w:t>
      </w:r>
      <w:r w:rsidR="00BC40BD">
        <w:rPr>
          <w:rFonts w:ascii="Helvetica" w:hAnsi="Helvetica"/>
          <w:sz w:val="22"/>
          <w:szCs w:val="22"/>
        </w:rPr>
        <w:fldChar w:fldCharType="end"/>
      </w:r>
      <w:r w:rsidRPr="007105E8">
        <w:rPr>
          <w:rFonts w:ascii="Helvetica" w:hAnsi="Helvetica"/>
          <w:sz w:val="22"/>
          <w:szCs w:val="22"/>
        </w:rPr>
        <w:t xml:space="preserve"> During the COVID-19 pandemic, agricultural labor shortfalls contributed to an estimated $309,000,000 reduction in U.S. farm output</w:t>
      </w:r>
      <w:r w:rsidR="004F7769">
        <w:rPr>
          <w:rFonts w:ascii="Helvetica" w:hAnsi="Helvetica"/>
          <w:sz w:val="22"/>
          <w:szCs w:val="22"/>
        </w:rPr>
        <w:t>;</w:t>
      </w:r>
      <w:r w:rsidR="00E86AAB">
        <w:rPr>
          <w:rFonts w:ascii="Helvetica" w:hAnsi="Helvetica"/>
          <w:sz w:val="22"/>
          <w:szCs w:val="22"/>
        </w:rPr>
        <w:fldChar w:fldCharType="begin"/>
      </w:r>
      <w:r w:rsidR="00E86AAB">
        <w:rPr>
          <w:rFonts w:ascii="Helvetica" w:hAnsi="Helvetica"/>
          <w:sz w:val="22"/>
          <w:szCs w:val="22"/>
        </w:rPr>
        <w:instrText xml:space="preserve"> ADDIN ZOTERO_ITEM CSL_CITATION {"citationID":"4ZWK70ZJ","properties":{"formattedCitation":"\\super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E86AAB">
        <w:rPr>
          <w:rFonts w:ascii="Helvetica" w:hAnsi="Helvetica"/>
          <w:sz w:val="22"/>
          <w:szCs w:val="22"/>
        </w:rPr>
        <w:fldChar w:fldCharType="separate"/>
      </w:r>
      <w:r w:rsidR="00E86AAB" w:rsidRPr="00E86AAB">
        <w:rPr>
          <w:rFonts w:ascii="Helvetica" w:hAnsi="Helvetica" w:cs="Times New Roman"/>
          <w:sz w:val="22"/>
          <w:vertAlign w:val="superscript"/>
        </w:rPr>
        <w:t>3</w:t>
      </w:r>
      <w:r w:rsidR="00E86AAB">
        <w:rPr>
          <w:rFonts w:ascii="Helvetica" w:hAnsi="Helvetica"/>
          <w:sz w:val="22"/>
          <w:szCs w:val="22"/>
        </w:rPr>
        <w:fldChar w:fldCharType="end"/>
      </w:r>
      <w:r w:rsidR="004F7769">
        <w:rPr>
          <w:rFonts w:ascii="Helvetica" w:hAnsi="Helvetica"/>
          <w:sz w:val="22"/>
          <w:szCs w:val="22"/>
        </w:rPr>
        <w:t xml:space="preserve"> m</w:t>
      </w:r>
      <w:r w:rsidRPr="007105E8">
        <w:rPr>
          <w:rFonts w:ascii="Helvetica" w:hAnsi="Helvetica"/>
          <w:sz w:val="22"/>
          <w:szCs w:val="22"/>
        </w:rPr>
        <w:t>eanwhile, outbreaks in meat packing plants forced widespread facility closures,</w:t>
      </w:r>
      <w:r w:rsidR="00453014">
        <w:rPr>
          <w:rFonts w:ascii="Helvetica" w:hAnsi="Helvetica"/>
          <w:sz w:val="22"/>
          <w:szCs w:val="22"/>
        </w:rPr>
        <w:fldChar w:fldCharType="begin"/>
      </w:r>
      <w:r w:rsidR="00453014">
        <w:rPr>
          <w:rFonts w:ascii="Helvetica" w:hAnsi="Helvetica"/>
          <w:sz w:val="22"/>
          <w:szCs w:val="22"/>
        </w:rPr>
        <w:instrText xml:space="preserve"> ADDIN ZOTERO_ITEM CSL_CITATION {"citationID":"7CK1ZGoR","properties":{"formattedCitation":"\\super 1,4\\nosupersub{}","plainCitation":"1,4","noteIndex":0},"citationItems":[{"id":3123,"uris":["http://zotero.org/users/10934876/items/H8KS74X3"],"itemData":{"id":3123,"type":"article-journal","container-title":"MMWR.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B."},{"family":"Zarate-Bermudez","given":"Max"}],"issued":{"date-parts":[["2020",7,10]]}}},{"id":3127,"uris":["http://zotero.org/users/10934876/items/JZTG4A9E"],"itemData":{"id":3127,"type":"article-journal","container-title":"Food Policy","DOI":"10.1016/j.foodpol.2021.102072","ISSN":"03069192","journalAbbreviation":"Food Policy","language":"en","page":"102072","source":"DOI.org (Crossref)","title":"COVID-19 morbidity and mortality in U.S. meatpacking counties","volume":"101","author":[{"family":"Saitone","given":"Tina L."},{"family":"Aleks Schaefer","given":"K."},{"family":"Scheitrum","given":"Daniel P."}],"issued":{"date-parts":[["2021",5]]}}}],"schema":"https://github.com/citation-style-language/schema/raw/master/csl-citation.json"} </w:instrText>
      </w:r>
      <w:r w:rsidR="00453014">
        <w:rPr>
          <w:rFonts w:ascii="Helvetica" w:hAnsi="Helvetica"/>
          <w:sz w:val="22"/>
          <w:szCs w:val="22"/>
        </w:rPr>
        <w:fldChar w:fldCharType="separate"/>
      </w:r>
      <w:r w:rsidR="00453014" w:rsidRPr="00453014">
        <w:rPr>
          <w:rFonts w:ascii="Helvetica" w:hAnsi="Helvetica" w:cs="Times New Roman"/>
          <w:sz w:val="22"/>
          <w:vertAlign w:val="superscript"/>
        </w:rPr>
        <w:t>1,4</w:t>
      </w:r>
      <w:r w:rsidR="00453014">
        <w:rPr>
          <w:rFonts w:ascii="Helvetica" w:hAnsi="Helvetica"/>
          <w:sz w:val="22"/>
          <w:szCs w:val="22"/>
        </w:rPr>
        <w:fldChar w:fldCharType="end"/>
      </w:r>
      <w:r w:rsidRPr="007105E8">
        <w:rPr>
          <w:rFonts w:ascii="Helvetica" w:hAnsi="Helvetica"/>
          <w:sz w:val="22"/>
          <w:szCs w:val="22"/>
        </w:rPr>
        <w:t xml:space="preserve"> and </w:t>
      </w:r>
      <w:commentRangeStart w:id="6"/>
      <w:commentRangeStart w:id="7"/>
      <w:r w:rsidRPr="007105E8">
        <w:rPr>
          <w:rFonts w:ascii="Helvetica" w:hAnsi="Helvetica"/>
          <w:sz w:val="22"/>
          <w:szCs w:val="22"/>
        </w:rPr>
        <w:t>the closure of schools and restaurants caused distribution bottlenecks</w:t>
      </w:r>
      <w:r w:rsidRPr="00CC2F84">
        <w:rPr>
          <w:rFonts w:ascii="Helvetica" w:hAnsi="Helvetica"/>
          <w:sz w:val="22"/>
          <w:szCs w:val="22"/>
        </w:rPr>
        <w:t xml:space="preserve"> and shortages of staple goods</w:t>
      </w:r>
      <w:commentRangeEnd w:id="6"/>
      <w:r w:rsidR="00956CEE" w:rsidRPr="00CC2F84">
        <w:rPr>
          <w:rStyle w:val="CommentReference"/>
          <w:rFonts w:ascii="Helvetica" w:hAnsi="Helvetica"/>
          <w:sz w:val="22"/>
          <w:szCs w:val="22"/>
        </w:rPr>
        <w:commentReference w:id="6"/>
      </w:r>
      <w:commentRangeEnd w:id="7"/>
      <w:r w:rsidRPr="00CC2F84">
        <w:rPr>
          <w:rStyle w:val="CommentReference"/>
          <w:rFonts w:ascii="Helvetica" w:hAnsi="Helvetica"/>
          <w:sz w:val="22"/>
          <w:szCs w:val="22"/>
        </w:rPr>
        <w:commentReference w:id="7"/>
      </w:r>
      <w:r w:rsidRPr="00CC2F84">
        <w:rPr>
          <w:rFonts w:ascii="Helvetica" w:hAnsi="Helvetica"/>
          <w:sz w:val="22"/>
          <w:szCs w:val="22"/>
        </w:rPr>
        <w:t>.</w:t>
      </w:r>
      <w:r w:rsidR="00EF7FBD">
        <w:rPr>
          <w:rFonts w:ascii="Helvetica" w:hAnsi="Helvetica"/>
          <w:sz w:val="22"/>
          <w:szCs w:val="22"/>
        </w:rPr>
        <w:fldChar w:fldCharType="begin"/>
      </w:r>
      <w:r w:rsidR="00EF7FBD">
        <w:rPr>
          <w:rFonts w:ascii="Helvetica" w:hAnsi="Helvetica"/>
          <w:sz w:val="22"/>
          <w:szCs w:val="22"/>
        </w:rPr>
        <w:instrText xml:space="preserve"> ADDIN ZOTERO_ITEM CSL_CITATION {"citationID":"61Jn3GKx","properties":{"formattedCitation":"\\super 5\\nosupersub{}","plainCitation":"5","noteIndex":0},"citationItems":[{"id":3128,"uris":["http://zotero.org/users/10934876/items/S9JKCYZE"],"itemData":{"id":3128,"type":"article-journal","container-title":"Agricultural Systems","DOI":"10.1016/j.agsy.2021.103101","ISSN":"0308521X","journalAbbreviation":"Agricultural Systems","language":"en","page":"103101","source":"DOI.org (Crossref)","title":"Resilient regional food supply chains and rethinking the way forward: Key takeaways from the COVID-19 pandemic","title-short":"Resilient regional food supply chains and rethinking the way forward","volume":"190","author":[{"family":"Marusak","given":"Amy"},{"family":"Sadeghiamirshahidi","given":"Narjes"},{"family":"Krejci","given":"Caroline C."},{"family":"Mittal","given":"Anuj"},{"family":"Beckwith","given":"Sue"},{"family":"Cantu","given":"Jaime"},{"family":"Morris","given":"Mike"},{"family":"Grimm","given":"Jason"}],"issued":{"date-parts":[["2021",5]]}}}],"schema":"https://github.com/citation-style-language/schema/raw/master/csl-citation.json"} </w:instrText>
      </w:r>
      <w:r w:rsidR="00EF7FBD">
        <w:rPr>
          <w:rFonts w:ascii="Helvetica" w:hAnsi="Helvetica"/>
          <w:sz w:val="22"/>
          <w:szCs w:val="22"/>
        </w:rPr>
        <w:fldChar w:fldCharType="separate"/>
      </w:r>
      <w:r w:rsidR="00EF7FBD" w:rsidRPr="00EF7FBD">
        <w:rPr>
          <w:rFonts w:ascii="Helvetica" w:hAnsi="Helvetica" w:cs="Times New Roman"/>
          <w:sz w:val="22"/>
          <w:vertAlign w:val="superscript"/>
        </w:rPr>
        <w:t>5</w:t>
      </w:r>
      <w:r w:rsidR="00EF7FBD">
        <w:rPr>
          <w:rFonts w:ascii="Helvetica" w:hAnsi="Helvetica"/>
          <w:sz w:val="22"/>
          <w:szCs w:val="22"/>
        </w:rPr>
        <w:fldChar w:fldCharType="end"/>
      </w:r>
      <w:r w:rsidRPr="00CC2F84">
        <w:rPr>
          <w:rFonts w:ascii="Helvetica" w:hAnsi="Helvetica"/>
          <w:sz w:val="22"/>
          <w:szCs w:val="22"/>
        </w:rPr>
        <w:t xml:space="preserve"> </w:t>
      </w:r>
      <w:r w:rsidR="004F7769">
        <w:rPr>
          <w:rFonts w:ascii="Helvetica" w:hAnsi="Helvetica"/>
          <w:sz w:val="22"/>
          <w:szCs w:val="22"/>
        </w:rPr>
        <w:t>Recent infections of H5N1 influenza in dairy workers underscores the ongoing threat posed by respiratory viruses.</w:t>
      </w:r>
      <w:r w:rsidR="00E71ABA">
        <w:rPr>
          <w:rFonts w:ascii="Helvetica" w:hAnsi="Helvetica"/>
          <w:sz w:val="22"/>
          <w:szCs w:val="22"/>
        </w:rPr>
        <w:fldChar w:fldCharType="begin"/>
      </w:r>
      <w:r w:rsidR="00E71ABA">
        <w:rPr>
          <w:rFonts w:ascii="Helvetica" w:hAnsi="Helvetica"/>
          <w:sz w:val="22"/>
          <w:szCs w:val="22"/>
        </w:rPr>
        <w:instrText xml:space="preserve"> ADDIN ZOTERO_ITEM CSL_CITATION {"citationID":"qUhUmPbB","properties":{"formattedCitation":"\\super 6\\nosupersub{}","plainCitation":"6","noteIndex":0},"citationItems":[{"id":3129,"uris":["http://zotero.org/users/10934876/items/ZTWJUW23"],"itemData":{"id":3129,"type":"article-journal","container-title":"MMWR. Morbidity and Mortality Weekly Report","DOI":"10.15585/mmwr.mm7344a3","ISSN":"0149-2195, 1545-861X","issue":"44","journalAbbreviation":"MMWR Morb. Mortal. Wkly. Rep.","page":"1004-1009","source":"DOI.org (Crossref)","title":"Serologic Evidence of Recent Infection with Highly Pathogenic Avian Influenza A(H5) Virus Among Dairy Workers — Michigan and Colorado, June–August 2024","volume":"73","author":[{"family":"Mellis","given":"Alexandra M."},{"family":"Coyle","given":"Joseph"},{"family":"Marshall","given":"Kristen E."},{"family":"Frutos","given":"Aaron M."},{"family":"Singleton","given":"Jordan"},{"family":"Drehoff","given":"Cara"},{"family":"Merced-Morales","given":"Angiezel"},{"family":"Pagano","given":"H. Pamela"},{"family":"Alade","given":"Rachel O."},{"family":"White","given":"Elizabeth B."},{"family":"Noble","given":"Emma K."},{"family":"Holiday","given":"Crystal"},{"family":"Liu","given":"Feng"},{"family":"Jefferson","given":"Stacie"},{"family":"Li","given":"Zhu-Nan"},{"family":"Gross","given":"F. Liani"},{"family":"Olsen","given":"Sonja J."},{"family":"Dugan","given":"Vivien G."},{"family":"Reed","given":"Carrie"},{"family":"Ellington","given":"Sascha"},{"family":"Montoya","given":"Sophia"},{"family":"Kohnen","given":"Allison"},{"family":"Stringer","given":"Ginger"},{"family":"Alden","given":"Nisha"},{"family":"Blank","given":"Peter"},{"family":"Chia","given":"Derick"},{"family":"Bagdasarian","given":"Natasha"},{"family":"Herlihy","given":"Rachel"},{"family":"Lyon-Callo","given":"Sarah"},{"family":"Levine","given":"Min Z."}],"issued":{"date-parts":[["2024",11,7]]}}}],"schema":"https://github.com/citation-style-language/schema/raw/master/csl-citation.json"} </w:instrText>
      </w:r>
      <w:r w:rsidR="00E71ABA">
        <w:rPr>
          <w:rFonts w:ascii="Helvetica" w:hAnsi="Helvetica"/>
          <w:sz w:val="22"/>
          <w:szCs w:val="22"/>
        </w:rPr>
        <w:fldChar w:fldCharType="separate"/>
      </w:r>
      <w:r w:rsidR="00E71ABA" w:rsidRPr="00E71ABA">
        <w:rPr>
          <w:rFonts w:ascii="Helvetica" w:hAnsi="Helvetica" w:cs="Times New Roman"/>
          <w:sz w:val="22"/>
          <w:vertAlign w:val="superscript"/>
        </w:rPr>
        <w:t>6</w:t>
      </w:r>
      <w:r w:rsidR="00E71ABA">
        <w:rPr>
          <w:rFonts w:ascii="Helvetica" w:hAnsi="Helvetica"/>
          <w:sz w:val="22"/>
          <w:szCs w:val="22"/>
        </w:rPr>
        <w:fldChar w:fldCharType="end"/>
      </w:r>
      <w:r w:rsidR="004F7769">
        <w:rPr>
          <w:rFonts w:ascii="Helvetica" w:hAnsi="Helvetica"/>
          <w:sz w:val="22"/>
          <w:szCs w:val="22"/>
        </w:rPr>
        <w:t xml:space="preserve"> </w:t>
      </w:r>
      <w:r w:rsidRPr="00CC2F84">
        <w:rPr>
          <w:rFonts w:ascii="Helvetica" w:hAnsi="Helvetica"/>
          <w:sz w:val="22"/>
          <w:szCs w:val="22"/>
        </w:rPr>
        <w:t>The agricultural workforce, consisting of approximately 3.2 million people,</w:t>
      </w:r>
      <w:r w:rsidR="00F7619F">
        <w:rPr>
          <w:rFonts w:ascii="Helvetica" w:hAnsi="Helvetica"/>
          <w:sz w:val="22"/>
          <w:szCs w:val="22"/>
        </w:rPr>
        <w:fldChar w:fldCharType="begin"/>
      </w:r>
      <w:r w:rsidR="00F7619F">
        <w:rPr>
          <w:rFonts w:ascii="Helvetica" w:hAnsi="Helvetica"/>
          <w:sz w:val="22"/>
          <w:szCs w:val="22"/>
        </w:rPr>
        <w:instrText xml:space="preserve"> ADDIN ZOTERO_ITEM CSL_CITATION {"citationID":"YB2CvCLp","properties":{"formattedCitation":"\\super 7\\nosupersub{}","plainCitation":"7","noteIndex":0},"citationItems":[{"id":3131,"uris":["http://zotero.org/users/10934876/items/UNHXDXSV"],"itemData":{"id":3131,"type":"report","publisher":"United States Department of Agriculture","title":"Farm Labor","URL":"https://www.ers.usda.gov/topics/farm-economy/farm-labor","author":[{"literal":"Marcelo Castillo"},{"literal":"Skyler Simnitt"},{"literal":"Steven Zahniser"}],"accessed":{"date-parts":[["2026",3,17]]},"issued":{"date-parts":[["2025",11,18]]}}}],"schema":"https://github.com/citation-style-language/schema/raw/master/csl-citation.json"} </w:instrText>
      </w:r>
      <w:r w:rsidR="00F7619F">
        <w:rPr>
          <w:rFonts w:ascii="Helvetica" w:hAnsi="Helvetica"/>
          <w:sz w:val="22"/>
          <w:szCs w:val="22"/>
        </w:rPr>
        <w:fldChar w:fldCharType="separate"/>
      </w:r>
      <w:r w:rsidR="00F7619F" w:rsidRPr="00F7619F">
        <w:rPr>
          <w:rFonts w:ascii="Helvetica" w:hAnsi="Helvetica" w:cs="Times New Roman"/>
          <w:sz w:val="22"/>
          <w:vertAlign w:val="superscript"/>
        </w:rPr>
        <w:t>7</w:t>
      </w:r>
      <w:r w:rsidR="00F7619F">
        <w:rPr>
          <w:rFonts w:ascii="Helvetica" w:hAnsi="Helvetica"/>
          <w:sz w:val="22"/>
          <w:szCs w:val="22"/>
        </w:rPr>
        <w:fldChar w:fldCharType="end"/>
      </w:r>
      <w:r w:rsidRPr="00CC2F84">
        <w:rPr>
          <w:rFonts w:ascii="Helvetica" w:hAnsi="Helvetica"/>
          <w:sz w:val="22"/>
          <w:szCs w:val="22"/>
        </w:rPr>
        <w:t xml:space="preserve"> sits at the foundation of the food system, and their health determines its capacity to function.</w:t>
      </w:r>
      <w:r w:rsidR="007105E8">
        <w:rPr>
          <w:rFonts w:ascii="Helvetica" w:hAnsi="Helvetica"/>
          <w:sz w:val="22"/>
          <w:szCs w:val="22"/>
        </w:rPr>
        <w:t xml:space="preserve"> </w:t>
      </w:r>
      <w:r w:rsidR="00112E83" w:rsidRPr="00112E83">
        <w:rPr>
          <w:rFonts w:ascii="Helvetica" w:hAnsi="Helvetica"/>
          <w:sz w:val="22"/>
          <w:szCs w:val="22"/>
        </w:rPr>
        <w:t>Beyond their role in sustaining the food supply, maintaining the health of agricultural workers is important in its own right, particularly as they are often more socially and medically vulnerable than the general population.</w:t>
      </w:r>
    </w:p>
    <w:p w14:paraId="0058A8DC" w14:textId="51F128F1"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Agricultural workers in the United States face various health vulnerabilities that put them at elevated risk during respiratory disease outbreaks. Many have restricted access to healthcare</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{"citationID":"0XtZJYhu","properties":{"formattedCitation":"\\super 8\\nosupersub{}","plainCitation":"8","noteIndex":0},"citationItems":[{"id":3132,"uris":["http://zotero.org/users/10934876/items/3JI39ZW3"],"itemData":{"id":3132,"type":"article-journal","abstract":"Objectives. We examined individual-, environmental-, and policy-level correlates of US farmworker health care utilization, guided by the behavioral model for vulnerable populations and the ecological model.\n            Methods. The 2006 and 2007 administrations of the National Agricultural Workers Survey (n = 2884) provided the primary data. Geographic information systems, the 2005 Uniform Data System, and rurality and border proximity indices provided environmental variables. To identify factors associated with health care use, we performed logistic regression using weighted hierarchical linear modeling.\n            Results. Approximately half (55.3%) of farmworkers utilized US health care in the previous 2 years. Several factors were independently associated with use at the individual level (gender, immigration and migrant status, English proficiency, transportation access, health status, and non-US health care utilization), the environmental level (proximity to US–Mexico border), and the policy level (insurance status and workplace payment structure). County Federally Qualified Health Center resources were not independently associated.\n            Conclusions. We identified farmworkers at greatest risk for poor access. We made recommendations for change to farmworker health care access at all 3 levels of influence, emphasizing Federally Qualified Health Center service delivery.","container-title":"American Journal of Public Health","DOI":"10.2105/AJPH.2009.190892","ISSN":"0090-0036, 1541-0048","issue":"4","journalAbbreviation":"Am J Public Health","language":"en","page":"685-692","source":"DOI.org (Crossref)","title":"Impact of Individual-, Environmental-, and Policy-Level Factors on Health Care Utilization Among US Farmworkers","volume":"101","author":[{"family":"Hoerster","given":"Katherine D."},{"family":"Mayer","given":"Joni A."},{"family":"Gabbard","given":"Susan"},{"family":"Kronick","given":"Richard G."},{"family":"Roesch","given":"Scott C."},{"family":"Malcarne","given":"Vanessa L."},{"family":"Zuniga","given":"Maria L."}],"issued":{"date-parts":[["2011",4]]}}}],"schema":"https://github.com/citation-style-language/schema/raw/master/csl-citation.json"}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8</w:t>
      </w:r>
      <w:r w:rsidR="00235149">
        <w:rPr>
          <w:rFonts w:ascii="Helvetica" w:hAnsi="Helvetica"/>
          <w:sz w:val="22"/>
          <w:szCs w:val="22"/>
        </w:rPr>
        <w:fldChar w:fldCharType="end"/>
      </w:r>
      <w:r w:rsidRPr="00CC2F84">
        <w:rPr>
          <w:rFonts w:ascii="Helvetica" w:hAnsi="Helvetica"/>
          <w:sz w:val="22"/>
          <w:szCs w:val="22"/>
        </w:rPr>
        <w:t xml:space="preserve"> and high rates of chronic conditions including diabetes</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{"citationID":"RFHJNQoO","properties":{"formattedCitation":"\\super 9\\nosupersub{}","plainCitation":"9","noteIndex":0},"citationItems":[{"id":3133,"uris":["http://zotero.org/users/10934876/items/6UAA479X"],"itemData":{"id":3133,"type":"article-journal","abstract":"Objective:\n              To assess the prevalence of diagnosed diabetes among employed US adults from 36 states by occupation group using data from 2014 to 2018 Behavioral Risk Factor Surveillance System.\n            \n            \n              Methods:\n              Prevalence of diabetes was calculated by 22 broad and 93 detailed occupation groups among a sample of 366,633 employed respondents. Wald chi-square values were used to determine the significance of associations between diabetes and occupation groups after adjusting for sex, age, and race/ethnicity.\n            \n            \n              Results:\n              The prevalence of diabetes was 6.4% among employed US adults. The three broad occupation groups with the highest adjusted prevalence of diabetes were protective services (8.9%), farming, fishing, and forestry (8.8%), and community and social services (8.4%).\n            \n            \n              Conclusions:\n              Prevalence of diabetes differed by occupation. Work-related factors (eg, shift work, job stress) should be further examined in relation to risk of developing diabetes.","container-title":"Journal of Occupational &amp; Environmental Medicine","DOI":"10.1097/JOM.0000000000002117","ISSN":"1076-2752, 1536-5948","issue":"4","language":"en","page":"302-310","source":"DOI.org (Crossref)","title":"Prevalence of Diagnosed Diabetes Among Employed US Adults by Demographic Characteristics and Occupation, 36 States, 2014 to 2018","volume":"63","author":[{"family":"Shockey","given":"Taylor M."},{"family":"Tsai","given":"Rebecca J."},{"family":"Cho","given":"Pyone"}],"issued":{"date-parts":[["2021",4]]}}}],"schema":"https://github.com/citation-style-language/schema/raw/master/csl-citation.json"}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9</w:t>
      </w:r>
      <w:r w:rsidR="00235149">
        <w:rPr>
          <w:rFonts w:ascii="Helvetica" w:hAnsi="Helvetica"/>
          <w:sz w:val="22"/>
          <w:szCs w:val="22"/>
        </w:rPr>
        <w:fldChar w:fldCharType="end"/>
      </w:r>
      <w:r w:rsidRPr="00CC2F84">
        <w:rPr>
          <w:rFonts w:ascii="Helvetica" w:hAnsi="Helvetica"/>
          <w:sz w:val="22"/>
          <w:szCs w:val="22"/>
        </w:rPr>
        <w:t xml:space="preserve"> and obesity</w:t>
      </w:r>
      <w:r w:rsidR="00235149">
        <w:rPr>
          <w:rFonts w:ascii="Helvetica" w:hAnsi="Helvetica"/>
          <w:sz w:val="22"/>
          <w:szCs w:val="22"/>
        </w:rPr>
        <w:t>,</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{"citationID":"krkZv7Yv","properties":{"formattedCitation":"\\super 10\\nosupersub{}","plainCitation":"10","noteIndex":0},"citationItems":[{"id":3134,"uris":["http://zotero.org/users/10934876/items/ZEQC6RKU"],"itemData":{"id":3134,"type":"article-journal","abstract":"Farmworkers are an essential workforce to maintain California's extensive agricultural production. However, this mostly Latino, immigrant population is affected by high poverty rates and food insecurity, which increases their risk of chronic diseases. We analyzed clinical and interview data from three studies of Latino farmworkers in California: (1) the Mexican Immigration to California: Agricultural Safety and Acculturation (MICASA) study, (2) the PASOS SALUDABLES pilot intervention (PASOS Pilot), and (3) the PASOS Study, a cluster-randomized, controlled trial (PASOS RCT). We aimed to determine the prevalence of diet-related chronic health outcomes (obesity, elevated waist circumference, high blood pressure, and high total cholesterol) and identify sociodemographic and socioeconomic factors associated with these conditions in this population. A total of 1,300 participants were included in this study (452 from MICASA, 248 from PASOS Pilot, and 600 from PASOS RCT). Obesity prevalence ranged from 29.2 to 54.5% across samples; elevated waist circumference was observed in 29.4–54.0% of participants; high blood pressure was detected in 42.0–45.5% of participants; 23.7–25.8% of participants had high total cholesterol. Age was positively associated with each health outcome, although not for each sample; each additional year in age increased odds by 3–9%, depending on the outcome and sample. Females were at higher risk of obesity (one sample) and elevated waist circumference, but at lower risk of high blood pressure and high total cholesterol. Single, divorced or widowed participants (vs. married/living together) had 35 and 47% reduced odds of obesity and elevated waist circumference, respectively. Each additional year living in the US was associated with 3–6% increased odds of obesity, depending on the sample. Higher household income was associated with a reduction in odds of high total cholesterol up to 76% (one sample). These findings highlight the increased risk of chronic health conditions in Latino farmworkers, in particular for obesity, and among farmworkers who may lack access to health care, which represents a large proportion of this population. Differences in chronic health risks by sex suggest that clinical and public health responses might need to be sex-specific. Expansion of eligibility for supplemental nutrition programs for this low-income population could reduce their disease burden.","container-title":"Frontiers in Public Health","DOI":"10.3389/fpubh.2022.1024083","ISSN":"2296-2565","journalAbbreviation":"Front. Public Health","page":"1024083","source":"DOI.org (Crossref)","title":"Chronic disease burden among Latino farmworkers in California","volume":"10","author":[{"family":"Matias","given":"Susana L."},{"family":"French","given":"Caitlin D."},{"family":"Gomez-Lara","given":"Alexander"},{"family":"Schenker","given":"Marc B."}],"issued":{"date-parts":[["2022",12,2]]}}}],"schema":"https://github.com/citation-style-language/schema/raw/master/csl-citation.json"}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10</w:t>
      </w:r>
      <w:r w:rsidR="00235149">
        <w:rPr>
          <w:rFonts w:ascii="Helvetica" w:hAnsi="Helvetica"/>
          <w:sz w:val="22"/>
          <w:szCs w:val="22"/>
        </w:rPr>
        <w:fldChar w:fldCharType="end"/>
      </w:r>
      <w:r w:rsidRPr="00CC2F84">
        <w:rPr>
          <w:rFonts w:ascii="Helvetica" w:hAnsi="Helvetica"/>
          <w:sz w:val="22"/>
          <w:szCs w:val="22"/>
        </w:rPr>
        <w:t xml:space="preserve"> along with high rates of baseline respiratory illnesses.</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{"citationID":"bdjRVcVX","properties":{"formattedCitation":"\\super 11,12\\nosupersub{}","plainCitation":"11,12","noteIndex":0},"citationItems":[{"id":3136,"uris":["http://zotero.org/users/10934876/items/H6SXBCR3"],"itemData":{"id":3136,"type":"article-journal","container-title":"Occupational Medicine","DOI":"10.1093/occmed/52.8.451","ISSN":"09627480, 14718405","issue":"8","page":"451-459","source":"DOI.org (Crossref)","title":"Respiratory illness in agricultural workers","volume":"52","author":[{"family":"Linaker","given":"C."}],"issued":{"date-parts":[["2002",12,1]]}}},{"id":3137,"uris":["http://zotero.org/users/10934876/items/CNGI75PZ"],"itemData":{"id":3137,"type":"article-journal","container-title":"Journal of Agromedicine","DOI":"10.1080/10599240701881482","ISSN":"1059-924X, 1545-0813","issue":"3","journalAbbreviation":"Journal of Agromedicine","language":"en","page":"5-10","source":"DOI.org (Crossref)","title":"Respiratory Disease in Agricultural Workers: Mortality and Morbidity Statistics","title-short":"Respiratory Disease in Agricultural Workers","volume":"12","author":[{"family":"Greskevitch","given":"Mark"},{"family":"Kullman","given":"Greg"},{"family":"Bang","given":"Ki Moon"},{"family":"Mazurek","given":"Jacek M."}],"issued":{"date-parts":[["2008",4,18]]}}}],"schema":"https://github.com/citation-style-language/schema/raw/master/csl-citation.json"}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11,12</w:t>
      </w:r>
      <w:r w:rsidR="00235149">
        <w:rPr>
          <w:rFonts w:ascii="Helvetica" w:hAnsi="Helvetica"/>
          <w:sz w:val="22"/>
          <w:szCs w:val="22"/>
        </w:rPr>
        <w:fldChar w:fldCharType="end"/>
      </w:r>
      <w:r w:rsidRPr="00CC2F84">
        <w:rPr>
          <w:rFonts w:ascii="Helvetica" w:hAnsi="Helvetica"/>
          <w:sz w:val="22"/>
          <w:szCs w:val="22"/>
        </w:rPr>
        <w:t xml:space="preserve"> </w:t>
      </w:r>
      <w:r w:rsidR="00B45E0C">
        <w:rPr>
          <w:rFonts w:ascii="Helvetica" w:hAnsi="Helvetica"/>
          <w:sz w:val="22"/>
          <w:szCs w:val="22"/>
        </w:rPr>
        <w:t>Vaccination rates tend to be low among agricultural workers.</w:t>
      </w:r>
      <w:r w:rsidR="003037DE">
        <w:rPr>
          <w:rFonts w:ascii="Helvetica" w:hAnsi="Helvetica"/>
          <w:sz w:val="22"/>
          <w:szCs w:val="22"/>
        </w:rPr>
        <w:fldChar w:fldCharType="begin"/>
      </w:r>
      <w:r w:rsidR="003037DE">
        <w:rPr>
          <w:rFonts w:ascii="Helvetica" w:hAnsi="Helvetica"/>
          <w:sz w:val="22"/>
          <w:szCs w:val="22"/>
        </w:rPr>
        <w:instrText xml:space="preserve"> ADDIN ZOTERO_ITEM CSL_CITATION {"citationID":"iri2ZPLu","properties":{"formattedCitation":"\\super 13\\nosupersub{}","plainCitation":"13","noteIndex":0},"citationItems":[{"id":3138,"uris":["http://zotero.org/users/10934876/items/M483ZYU3"],"itemData":{"id":3138,"type":"article-journal","container-title":"BMC Public Health","DOI":"10.1186/s12889-026-26342-3","ISSN":"1471-2458","issue":"1","journalAbbreviation":"BMC Public Health","language":"en","page":"640","source":"DOI.org (Crossref)","title":"Overcoming barriers to vaccination among U.S. farmworkers: a scoping review of targeted interventions and strategies","title-short":"Overcoming barriers to vaccination among U.S. farmworkers","volume":"26","author":[{"family":"Dolce","given":"Roldyne"},{"family":"Barnes","given":"Rachel"},{"family":"Ouellette","given":"Lara"},{"family":"Cuccaro","given":"Paula M."}],"issued":{"date-parts":[["2026",1,24]]}}}],"schema":"https://github.com/citation-style-language/schema/raw/master/csl-citation.json"} </w:instrText>
      </w:r>
      <w:r w:rsidR="003037DE">
        <w:rPr>
          <w:rFonts w:ascii="Helvetica" w:hAnsi="Helvetica"/>
          <w:sz w:val="22"/>
          <w:szCs w:val="22"/>
        </w:rPr>
        <w:fldChar w:fldCharType="separate"/>
      </w:r>
      <w:r w:rsidR="003037DE" w:rsidRPr="003037DE">
        <w:rPr>
          <w:rFonts w:ascii="Helvetica" w:hAnsi="Helvetica" w:cs="Times New Roman"/>
          <w:sz w:val="22"/>
          <w:vertAlign w:val="superscript"/>
        </w:rPr>
        <w:t>13</w:t>
      </w:r>
      <w:r w:rsidR="003037DE">
        <w:rPr>
          <w:rFonts w:ascii="Helvetica" w:hAnsi="Helvetica"/>
          <w:sz w:val="22"/>
          <w:szCs w:val="22"/>
        </w:rPr>
        <w:fldChar w:fldCharType="end"/>
      </w:r>
      <w:r w:rsidR="00B45E0C">
        <w:rPr>
          <w:rFonts w:ascii="Helvetica" w:hAnsi="Helvetica"/>
          <w:sz w:val="22"/>
          <w:szCs w:val="22"/>
        </w:rPr>
        <w:t xml:space="preserve"> </w:t>
      </w:r>
      <w:r w:rsidRPr="00CC2F84">
        <w:rPr>
          <w:rFonts w:ascii="Helvetica" w:hAnsi="Helvetica"/>
          <w:sz w:val="22"/>
          <w:szCs w:val="22"/>
        </w:rPr>
        <w:t>Furthermore, housing conditions, including household size and crowding, may contribute to poorer health an</w:t>
      </w:r>
      <w:r w:rsidR="00C12752" w:rsidRPr="00CC2F84">
        <w:rPr>
          <w:rFonts w:ascii="Helvetica" w:hAnsi="Helvetica"/>
          <w:sz w:val="22"/>
          <w:szCs w:val="22"/>
        </w:rPr>
        <w:t>d</w:t>
      </w:r>
      <w:r w:rsidRPr="00CC2F84">
        <w:rPr>
          <w:rFonts w:ascii="Helvetica" w:hAnsi="Helvetica"/>
          <w:sz w:val="22"/>
          <w:szCs w:val="22"/>
        </w:rPr>
        <w:t xml:space="preserve"> elevated risk of infection.</w:t>
      </w:r>
      <w:r w:rsidR="003037DE">
        <w:rPr>
          <w:rFonts w:ascii="Helvetica" w:hAnsi="Helvetica"/>
          <w:sz w:val="22"/>
          <w:szCs w:val="22"/>
        </w:rPr>
        <w:fldChar w:fldCharType="begin"/>
      </w:r>
      <w:r w:rsidR="003037DE">
        <w:rPr>
          <w:rFonts w:ascii="Helvetica" w:hAnsi="Helvetica"/>
          <w:sz w:val="22"/>
          <w:szCs w:val="22"/>
        </w:rPr>
        <w:instrText xml:space="preserve"> ADDIN ZOTERO_ITEM CSL_CITATION {"citationID":"zLgCJuUW","properties":{"formattedCitation":"\\super 14\\uc0\\u8211{}17\\nosupersub{}","plainCitation":"14–17","noteIndex":0},"citationItems":[{"id":3140,"uris":["http://zotero.org/users/10934876/items/V7THIYG6"],"itemData":{"id":3140,"type":"article-journal","abstract":"Farmworkers in the United States occupy a range of housing, including both on- and off-farm family and communal dwellings. As the farmworker population is becoming more settled, housing needs are changing. Existing regulations designed originally for grower-supplied migrant housing may need to be expanded. Much of farmworker housing is in poor condition, and likely linked to negative mental and physical health outcomes of residents because of exposures to crowding; mold, mildew, and other allergens; pesticides; and structural deficiencies. The existing research literature, both on housing conditions and their associations with farmworker health, is sparse, and large areas of the country and significant domains of health are omitted. This paper reviews this literature and formulates research and policy recommendations for addressing these deficiencies.","container-title":"NEW SOLUTIONS: A Journal of Environmental and Occupational Health Policy","DOI":"10.1177/1048291115601053","ISSN":"1048-2911, 1541-3772","issue":"3","journalAbbreviation":"New Solut","language":"en","page":"263-286","source":"DOI.org (Crossref)","title":"Farmworker Housing in the United States and Its Impact on Health","volume":"25","author":[{"family":"Quandt","given":"Sara A."},{"family":"Brooke","given":"Carol"},{"family":"Fagan","given":"Kathleen"},{"family":"Howe","given":"Allyson"},{"family":"Thornburg","given":"Thomas K."},{"family":"McCurdy","given":"Stephen A."}],"issued":{"date-parts":[["2015",11]]}}},{"id":3141,"uris":["http://zotero.org/users/10934876/items/EZ95JNJD"],"itemData":{"id":3141,"type":"article-journal","container-title":"JAMA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id":3143,"uris":["http://zotero.org/users/10934876/items/JXKB4IIP"],"itemData":{"id":3143,"type":"article-journal","abstract":"The housing available to most farmworkers is substandard and unacceptable in 21st-century America. The federal government established minimal occupational safety and health standards applicable to migrant farmworker labor camps decades ago, and some states have statutory schemes and regulations that set standards for farm labor camps and employee housing. Many of these federal and state regulations no longer reflect current employment and housing trends, and enforcement success varies greatly. These regulations implicitly recognize the connection between housing conditions and health, but do not effectively address that connection. This review describes the current state of farmworker housing, discusses laws and regulations pertaining to such housing, and highlights the literature on health risks associated with inadequate housing. We propose specific recommendations to strengthen enforcement and reduce the risks of substandard housing for the health of farmworkers and their families.","container-title":"NEW SOLUTIONS: A Journal of Environmental and Occupational Health Policy","DOI":"10.1177/1048291115604390","ISSN":"1048-2911, 1541-3772","issue":"3","journalAbbreviation":"New Solut","language":"en","page":"334-352","source":"DOI.org (Crossref)","title":"Federal Farmworker Housing Standards and Regulations, Their Promise and Limitations, and Implications for Farmworker Health","volume":"25","author":[{"family":"Joyner","given":"Ann Moss"},{"family":"George","given":"Lance"},{"family":"Hall","given":"Mary Lee"},{"family":"Jacobs","given":"Ilene J."},{"family":"Kissam","given":"Ed"},{"family":"Latin","given":"Shelley"},{"family":"Parnell","given":"Allan"},{"family":"Ruiz","given":"Virginia"},{"family":"Shadbeh","given":"Nargess"},{"family":"Tobacman","given":"Janet"}],"issued":{"date-parts":[["2015",11]]}}},{"id":3144,"uris":["http://zotero.org/users/10934876/items/XQY9TJZN"],"itemData":{"id":3144,"type":"article-journal","container-title":"Journal of Agromedicine","DOI":"10.1080/1059924X.2014.947458","ISSN":"1059-924X, 1545-0813","issue":"4","journalAbbreviation":"Journal of Agromedicine","language":"en","page":"395-405","source":"DOI.org (Crossref)","title":"The Association of Respiratory Symptoms and Indoor Housing Conditions Among Migrant Farmworkers in Eastern North Carolina","volume":"19","author":[{"family":"Kearney","given":"Gregory D."},{"family":"Chatterjee","given":"Arjun B."},{"family":"Talton","given":"Jennifer"},{"family":"Chen","given":"Haiying"},{"family":"Quandt","given":"Sara A."},{"family":"Summers","given":"Phillip"},{"family":"Arcury","given":"Thomas A."}],"issued":{"date-parts":[["2014",10,2]]}}}],"schema":"https://github.com/citation-style-language/schema/raw/master/csl-citation.json"} </w:instrText>
      </w:r>
      <w:r w:rsidR="003037DE">
        <w:rPr>
          <w:rFonts w:ascii="Helvetica" w:hAnsi="Helvetica"/>
          <w:sz w:val="22"/>
          <w:szCs w:val="22"/>
        </w:rPr>
        <w:fldChar w:fldCharType="separate"/>
      </w:r>
      <w:r w:rsidR="003037DE" w:rsidRPr="003037DE">
        <w:rPr>
          <w:rFonts w:ascii="Helvetica" w:hAnsi="Helvetica" w:cs="Times New Roman"/>
          <w:sz w:val="22"/>
          <w:vertAlign w:val="superscript"/>
        </w:rPr>
        <w:t>14–17</w:t>
      </w:r>
      <w:r w:rsidR="003037DE">
        <w:rPr>
          <w:rFonts w:ascii="Helvetica" w:hAnsi="Helvetica"/>
          <w:sz w:val="22"/>
          <w:szCs w:val="22"/>
        </w:rPr>
        <w:fldChar w:fldCharType="end"/>
      </w:r>
      <w:r w:rsidRPr="00CC2F84">
        <w:rPr>
          <w:rFonts w:ascii="Helvetica" w:hAnsi="Helvetica"/>
          <w:sz w:val="22"/>
          <w:szCs w:val="22"/>
        </w:rPr>
        <w:t xml:space="preserve"> Household crowding was a primary risk factor for SARS-CoV-2 infection among farmworkers</w:t>
      </w:r>
      <w:r w:rsidR="003A79B7">
        <w:rPr>
          <w:rFonts w:ascii="Helvetica" w:hAnsi="Helvetica"/>
          <w:sz w:val="22"/>
          <w:szCs w:val="22"/>
        </w:rPr>
        <w:fldChar w:fldCharType="begin"/>
      </w:r>
      <w:r w:rsidR="003A79B7">
        <w:rPr>
          <w:rFonts w:ascii="Helvetica" w:hAnsi="Helvetica"/>
          <w:sz w:val="22"/>
          <w:szCs w:val="22"/>
        </w:rPr>
        <w:instrText xml:space="preserve"> ADDIN ZOTERO_ITEM CSL_CITATION {"citationID":"LKFHnf5y","properties":{"formattedCitation":"\\super 15\\nosupersub{}","plainCitation":"15","noteIndex":0},"citationItems":[{"id":3141,"uris":["http://zotero.org/users/10934876/items/EZ95JNJD"],"itemData":{"id":3141,"type":"article-journal","container-title":"JAMA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schema":"https://github.com/citation-style-language/schema/raw/master/csl-citation.json"} </w:instrText>
      </w:r>
      <w:r w:rsidR="003A79B7">
        <w:rPr>
          <w:rFonts w:ascii="Helvetica" w:hAnsi="Helvetica"/>
          <w:sz w:val="22"/>
          <w:szCs w:val="22"/>
        </w:rPr>
        <w:fldChar w:fldCharType="separate"/>
      </w:r>
      <w:r w:rsidR="003A79B7" w:rsidRPr="003A79B7">
        <w:rPr>
          <w:rFonts w:ascii="Helvetica" w:hAnsi="Helvetica" w:cs="Times New Roman"/>
          <w:sz w:val="22"/>
          <w:vertAlign w:val="superscript"/>
        </w:rPr>
        <w:t>15</w:t>
      </w:r>
      <w:r w:rsidR="003A79B7">
        <w:rPr>
          <w:rFonts w:ascii="Helvetica" w:hAnsi="Helvetica"/>
          <w:sz w:val="22"/>
          <w:szCs w:val="22"/>
        </w:rPr>
        <w:fldChar w:fldCharType="end"/>
      </w:r>
      <w:r w:rsidRPr="00CC2F84">
        <w:rPr>
          <w:rFonts w:ascii="Helvetica" w:hAnsi="Helvetica"/>
          <w:sz w:val="22"/>
          <w:szCs w:val="22"/>
        </w:rPr>
        <w:t xml:space="preserve"> and is more broadly associated with higher risk of COVID-19, influenza, and RSV infection and hospitalization.</w:t>
      </w:r>
      <w:r w:rsidR="003A79B7">
        <w:rPr>
          <w:rFonts w:ascii="Helvetica" w:hAnsi="Helvetica"/>
          <w:sz w:val="22"/>
          <w:szCs w:val="22"/>
        </w:rPr>
        <w:fldChar w:fldCharType="begin"/>
      </w:r>
      <w:r w:rsidR="00E30146">
        <w:rPr>
          <w:rFonts w:ascii="Helvetica" w:hAnsi="Helvetica"/>
          <w:sz w:val="22"/>
          <w:szCs w:val="22"/>
        </w:rPr>
        <w:instrText xml:space="preserve"> ADDIN ZOTERO_ITEM CSL_CITATION {"citationID":"lvV1ak4J","properties":{"formattedCitation":"\\super 18\\uc0\\u8211{}23\\nosupersub{}","plainCitation":"18–23","noteIndex":0},"citationItems":[{"id":3145,"uris":["http://zotero.org/users/10934876/items/PZ6ZM756"],"itemData":{"id":3145,"type":"article-journal","container-title":"BMC Infectious Diseases","DOI":"10.1186/1471-2334-12-95","ISSN":"1471-2334","issue":"1","journalAbbreviation":"BMC Infect Dis","language":"en","license":"http://creativecommons.org/licenses/by/2.0","page":"95","source":"DOI.org (Crossref)","title":"Residential crowding and severe respiratory syncytial virus disease among infants and young children: A systematic literature review","title-short":"Residential crowding and severe respiratory syncytial virus disease among infants and young children","volume":"12","author":[{"family":"Colosia","given":"Ann D"},{"family":"Masaquel","given":"Anthony"},{"family":"Hall","given":"Caroline Breese"},{"family":"Barrett","given":"Amy M"},{"family":"Mahadevia","given":"Parthiv J"},{"family":"Yogev","given":"Ram"}],"issued":{"date-parts":[["2012",12]]}}},{"id":3147,"uris":["http://zotero.org/users/10934876/items/WUJPDFG2"],"itemData":{"id":3147,"type":"article-journal","abstract":"Background:\n              Household overcrowding is associated with increased risk of infectious diseases across contexts and countries. Limited data exist linking household overcrowding and risk of COVID-19. We used data collected from the Virus Watch cohort to examine the association between overcrowded households and SARS-CoV-2.\n            \n            \n            \n              Methods:\n              The Virus Watch study is a household community cohort of acute respiratory infections in England and Wales. We calculated overcrowding using the measure of persons per room for each household. We considered two primary outcomes: PCR-confirmed positive SARS-CoV-2 antigen tests and laboratory-confirmed SARS-CoV-2 antibodies. We used mixed-effects logistic regression models that accounted for household structure to estimate the association between household overcrowding and SARS-CoV-2 infection.\n            \n            \n            \n              Results:\n              26,367 participants were included in our analyses. The proportion of participants with a positive SARS-CoV-2 PCR result was highest in the overcrowded group (9.0%; 99/1,100) and lowest in the under-occupied group (4.2%; 980/23,196). In a mixed-effects logistic regression model, we found strong evidence of an increased odds of a positive PCR SARS-CoV-2 antigen result (odds ratio 2.45; 95% CI:1.43–4.19; p-value=0.001) and increased odds of a positive SARS-CoV-2 antibody result in individuals living in overcrowded houses (3.32; 95% CI:1.54–7.15; p-value&lt;0.001) compared with people living in under-occupied houses.\n            \n            \n            \n              Conclusion:\n              Public health interventions to prevent and stop the spread of SARS-CoV-2 should consider the risk of infection for people living in overcrowded households and pay greater attention to reducing household transmission.","container-title":"Wellcome Open Research","DOI":"10.12688/wellcomeopenres.17308.1","ISSN":"2398-502X","journalAbbreviation":"Wellcome Open Res","language":"en","page":"347","source":"DOI.org (Crossref)","title":"Household overcrowding and risk of SARS-CoV-2: analysis of the Virus Watch prospective community cohort study in England and Wales","title-short":"Household overcrowding and risk of SARS-CoV-2","volume":"6","author":[{"family":"Aldridge","given":"Robert W"},{"family":"Pineo","given":"Helen"},{"family":"Fragaszy","given":"Ellen"},{"family":"Eyre","given":"Max T"},{"family":"Kovar","given":"Jana"},{"family":"Nguyen","given":"Vincent"},{"family":"Beale","given":"Sarah"},{"family":"Byrne","given":"Thomas"},{"family":"Aryee","given":"Anna"},{"family":"Smith","given":"Colette"},{"family":"Devakumar","given":"Delan"},{"family":"Taylor","given":"Jonathon"},{"family":"Katikireddi","given":"Srinivasa Vittal"},{"family":"Fong","given":"Wing Lam Erica"},{"family":"Geismar","given":"Cyril"},{"family":"Patel","given":"Parth"},{"family":"Shrotri","given":"Madhumita"},{"family":"Braithwaite","given":"Isobel"},{"family":"Patni","given":"Nicholas"},{"family":"Navaratnam","given":"Annalan M.D."},{"family":"Johnson","given":"Anne M."},{"family":"Hayward","given":"Andrew"}],"issued":{"date-parts":[["2021",12,15]]}}},{"id":3149,"uris":["http://zotero.org/users/10934876/items/GENRDH8I"],"itemData":{"id":3149,"type":"article-journal","container-title":"JAMA Network Open","DOI":"10.1001/jamanetworkopen.2020.31756","ISSN":"2574-3805","issue":"12","journalAbbreviation":"JAMA Netw Open","language":"en","page":"e2031756","source":"DOI.org (Crossref)","title":"Household Transmission of SARS-CoV-2: A Systematic Review and Meta-analysis","title-short":"Household Transmission of SARS-CoV-2","volume":"3","author":[{"family":"Madewell","given":"Zachary J."},{"family":"Yang","given":"Yang"},{"family":"Longini","given":"Ira M."},{"family":"Halloran","given":"M. Elizabeth"},{"family":"Dean","given":"Natalie E."}],"issued":{"date-parts":[["2020",12,14]]}}},{"id":3150,"uris":["http://zotero.org/users/10934876/items/79HTXFSN"],"itemData":{"id":3150,"type":"article-journal","abstract":"Households are hotspots for SARS-CoV-2 transmission. In the US, the COVID-19 pandemic has had a disproportionate impact on communities of color. Between April-October 2020, the CO-HOST prospective cohort study enrolled 100 COVID-19 cases and 208 of their household members in North Carolina, including 44% who identified as Hispanic or non-white. Households were enrolled a median of 6 days from symptom onset in the index case. Incident secondary cases within the household were detected by quantitative PCR of weekly nasal swabs (days 7, 14, 21) or by seroconversion at day 28.Excluding 73 household contacts who were PCR-positive at baseline, the secondary attack rate among household contacts was 32% (33/103, 95% CI 22%-44%). The majority of cases occurred by day 7, with later cases confirmed as household-acquired by viral sequencing. Infected persons in the same household had similar nasopharyngeal viral loads (ICC=0.45, 95% CI 0.23-0.62). Households with secondary transmission had index cases with a median viral load that was 1.4 log10 higher than households without transmission (p=0.03) as well as higher living density (&gt;3 persons occupying &lt;6 rooms) (OR 3.3, 95% CI 1.02-10.9). Minority households were more likely to experience high living density and had a higher risk of incident infection than did white households (SAR 51% vs. 19%, p=0.01).Household crowding in the context of high-inoculum infections may amplify the spread of COVID-19, potentially contributing to disproportionate impact on communities of color.","DOI":"10.17615/X61S-ER87","language":"en","license":"In Copyright","publisher":"The University of North Carolina at Chapel Hill University Libraries","source":"DOI.org (Datacite)","title":"Household transmission of SARS-CoV-2 in the United States: living density, viral load, and disproportionate impact on communities of color","title-short":"Household transmission of SARS-CoV-2 in the United States","URL":"https://cdr.lib.unc.edu/concern/articles/wm117x76h","author":[{"family":"Powers","given":"Kimberly A."},{"family":"Smith","given":"Judy"},{"family":"Lin","given":"Feng-Chang"},{"family":"Litel","given":"Christy"},{"family":"Tompkins","given":"Kathleen"},{"family":"Premkumar","given":"Lakshmanane"},{"family":"Rubinstein","given":"Rebecca"},{"family":"Khan","given":"Salman"},{"family":"Basham","given":"Christopher"},{"family":"Chhetri","given":"Srijana B."},{"family":"Churiwal","given":"Mehal"},{"family":"Claman","given":"Faith"},{"family":"Muller","given":"Meredith S."},{"family":"Mollan","given":"Katie"},{"family":"Rapp","given":"Tyler"},{"family":"Lin","given":"Kelly D."},{"family":"Lin","given":"Jessica T."},{"family":"Cerami","given":"Carla"},{"family":"Wohl","given":"David"},{"family":"Popkin-Hall","given":"Zachary R."},{"family":"Whittelsey","given":"Maureen"},{"family":"Juliano","given":"Jonathan J."},{"family":"Zhang","given":"Haoming"}],"accessed":{"date-parts":[["2026",3,17]]}}},{"id":3151,"uris":["http://zotero.org/users/10934876/items/2XQNLLYS"],"itemData":{"id":3151,"type":"article-journal","abstract":"Background\n              Migrants are over-represented in SARS-CoV-2 infections globally; however, evidence is limited for migrants in England and Wales. Household overcrowding is a risk factor for SARS-CoV-2 infection, with migrants more likely to live in overcrowded households than UK-born individuals. We aimed to estimate the total effect of migration status on SARS-CoV-2 infection and to what extent household overcrowding mediated this effect.\n            \n            \n              Methods\n              We included a subcohort of individuals from the Virus Watch prospective cohort study during the second SARS-CoV-2 wave (1 September 2020–30 April 2021) who were aged ≥18 years, self-reported the number of rooms in their household and had no evidence of SARS-CoV-2 infection pre-September 2020. We estimated total, indirect and direct effects using Buis’ logistic decomposition regression controlling for age, sex, ethnicity, clinical vulnerability, occupation, income and whether they lived with children.\n            \n            \n              Results\n              In total, 23 478 individuals were included. 9.07% (187/2062) of migrants had evidence of infection during the study period vs 6.27% (1342/21 416) of UK-born individuals. Migrants had 22% higher odds of infection during the second wave (total effect; OR 1.22, 95% CI 1.01 to 1.47). Household overcrowding accounted for approximately 36% (95% CI −4% to 77%) of these increased odds (indirect effect, OR 1.07, 95% CI 1.03 to 1.12; proportion accounted for: indirect effect on log odds scale/total effect on log odds scale=0.36).\n            \n            \n              Conclusion\n              Migrants had higher odds of SARS-CoV-2 infection during the second wave compared with UK-born individuals and household overcrowding explained 36% of these increased odds. Policy interventions to reduce household overcrowding for migrants are needed as part of efforts to tackle health inequalities during the pandemic and beyond.","container-title":"Journal of Epidemiology and Community Health","DOI":"10.1136/jech-2022-220251","ISSN":"0143-005X, 1470-2738","issue":"10","journalAbbreviation":"J Epidemiol Community Health","language":"en","page":"649-655","source":"DOI.org (Crossref)","title":"SARS-CoV-2 infections in migrants and the role of household overcrowding: a causal mediation analysis of Virus Watch data","title-short":"SARS-CoV-2 infections in migrants and the role of household overcrowding","volume":"77","author":[{"family":"Boukari","given":"Yamina"},{"family":"Beale","given":"Sarah"},{"family":"Nguyen","given":"Vincent"},{"family":"Fong","given":"Wing Lam Erica"},{"family":"Burns","given":"Rachel"},{"family":"Yavlinsky","given":"Alexei"},{"family":"Hoskins","given":"Susan"},{"family":"Lewis","given":"Kate"},{"family":"Geismar","given":"Cyril"},{"family":"Navaratnam","given":"Annalan Md"},{"family":"Braithwaite","given":"Isobel"},{"family":"Byrne","given":"Thomas E"},{"family":"Oskrochi","given":"Youssof"},{"family":"Tweed","given":"Sam"},{"family":"Kovar","given":"Jana"},{"family":"Patel","given":"Parth"},{"family":"Hayward","given":"Andrew"},{"family":"Aldridge","given":"Robert"}],"issued":{"date-parts":[["2023",10]]}}},{"id":3154,"uris":["http://zotero.org/users/10934876/items/76WGIZFT"],"itemData":{"id":3154,"type":"article-journal","container-title":"Emerging Infectious Diseases","DOI":"10.3201/eid2109.141861","ISSN":"1080-6040, 1080-6059","issue":"9","journalAbbreviation":"Emerg. Infect. Dis.","page":"1602-1610","source":"DOI.org (Crossref)","title":"Socioeconomic Disparities and Influenza Hospitalizations, Tennessee, USA","volume":"21","author":[{"family":"Sloan","given":"Chantel"},{"family":"Chandrasekhar","given":"Rameela"},{"family":"Mitchel","given":"Edward"},{"family":"Schaffner","given":"William"},{"family":"Lindegren","given":"Mary Lou"}],"issued":{"date-parts":[["2015",9]]}}}],"schema":"https://github.com/citation-style-language/schema/raw/master/csl-citation.json"} </w:instrText>
      </w:r>
      <w:r w:rsidR="003A79B7">
        <w:rPr>
          <w:rFonts w:ascii="Helvetica" w:hAnsi="Helvetica"/>
          <w:sz w:val="22"/>
          <w:szCs w:val="22"/>
        </w:rPr>
        <w:fldChar w:fldCharType="separate"/>
      </w:r>
      <w:r w:rsidR="003A79B7" w:rsidRPr="003A79B7">
        <w:rPr>
          <w:rFonts w:ascii="Helvetica" w:hAnsi="Helvetica" w:cs="Times New Roman"/>
          <w:sz w:val="22"/>
          <w:vertAlign w:val="superscript"/>
        </w:rPr>
        <w:t>18–23</w:t>
      </w:r>
      <w:r w:rsidR="003A79B7">
        <w:rPr>
          <w:rFonts w:ascii="Helvetica" w:hAnsi="Helvetica"/>
          <w:sz w:val="22"/>
          <w:szCs w:val="22"/>
        </w:rPr>
        <w:fldChar w:fldCharType="end"/>
      </w:r>
      <w:r w:rsidR="0004181D">
        <w:rPr>
          <w:rFonts w:ascii="Helvetica" w:hAnsi="Helvetica"/>
          <w:sz w:val="22"/>
          <w:szCs w:val="22"/>
        </w:rPr>
        <w:t xml:space="preserve"> </w:t>
      </w:r>
      <w:r w:rsidR="00C73261">
        <w:rPr>
          <w:rFonts w:ascii="Helvetica" w:hAnsi="Helvetica"/>
          <w:sz w:val="22"/>
          <w:szCs w:val="22"/>
        </w:rPr>
        <w:t>Together, this</w:t>
      </w:r>
      <w:r w:rsidRPr="00CC2F84">
        <w:rPr>
          <w:rFonts w:ascii="Helvetica" w:hAnsi="Helvetica"/>
          <w:sz w:val="22"/>
          <w:szCs w:val="22"/>
        </w:rPr>
        <w:t xml:space="preserve"> may help explain why COVID-19 infection rates were found to be consistently higher among agricultural workers vs. the broader community during the first year of the COVID-19 pandemic</w:t>
      </w:r>
      <w:r w:rsidR="00DA6738">
        <w:rPr>
          <w:rFonts w:ascii="Helvetica" w:hAnsi="Helvetica"/>
          <w:sz w:val="22"/>
          <w:szCs w:val="22"/>
        </w:rPr>
        <w:t>.</w:t>
      </w:r>
      <w:r w:rsidR="003A79B7">
        <w:rPr>
          <w:rFonts w:ascii="Helvetica" w:hAnsi="Helvetica"/>
          <w:sz w:val="22"/>
          <w:szCs w:val="22"/>
        </w:rPr>
        <w:fldChar w:fldCharType="begin"/>
      </w:r>
      <w:r w:rsidR="008E0098">
        <w:rPr>
          <w:rFonts w:ascii="Helvetica" w:hAnsi="Helvetica"/>
          <w:sz w:val="22"/>
          <w:szCs w:val="22"/>
        </w:rPr>
        <w:instrText xml:space="preserve"> ADDIN ZOTERO_ITEM CSL_CITATION {"citationID":"COBHpCpc","properties":{"formattedCitation":"\\super 24,25\\nosupersub{}","plainCitation":"24,25","noteIndex":0},"citationItems":[{"id":3157,"uris":["http://zotero.org/users/10934876/items/4DPZHVS6"],"itemData":{"id":3157,"type":"article-journal","container-title":"Emerging Infectious Diseases","DOI":"10.3201/eid2705.204949","ISSN":"1080-6040, 1080-6059","issue":"5","journalAbbreviation":"Emerg. Infect. Dis.","page":"1330-1342","source":"DOI.org (Crossref)","title":"Prevalence and Clinical Profile of Severe Acute Respiratory Syndrome Coronavirus 2 Infection among Farmworkers, California, USA, June–November 2020","volume":"27","author":[{"family":"Lewnard","given":"Joseph A."},{"family":"Mora","given":"Ana M."},{"family":"Nkwocha","given":"Oguchi"},{"family":"Kogut","given":"Katherine"},{"family":"Rauch","given":"Stephen A."},{"family":"Morga","given":"Norma"},{"family":"Hernandez","given":"Samantha"},{"family":"Wong","given":"Marcus P."},{"family":"Huen","given":"Karen"},{"family":"Andrejko","given":"Kristin"},{"family":"Jewell","given":"Nicholas P."},{"family":"Parra","given":"Kimberly L."},{"family":"Holland","given":"Nina"},{"family":"Harris","given":"Eva"},{"family":"Cuevas","given":"Maximiliano"},{"family":"Eskenazi","given":"Brenda"},{"literal":"on behalf of the CHAMACOS-Project-19 Study Team2"}],"issued":{"date-parts":[["2021",5]]}}},{"id":3159,"uris":["http://zotero.org/users/10934876/items/5WCQLGHI"],"itemData":{"id":3159,"type":"article-journal","abstract":"Meat packing, produce processing, and farm workers are known to have an elevated risk of COVID-19, but occupational risk factors in this population are unclear. We performed an observational cohort study of meat packing, produce processing, and farm workers in North Carolina in fall 2020. Blood, saliva, and nasal turbinate samples were collected to assess for SARS-CoV-2 seropositivity. Risk factors for SARS-CoV-2 seropositivity were investigated using chi-square tests, two-sample t-tests, and adjusted risk ratio analyses. Among 118 enrolled workers, the baseline SARS-CoV-2 seroprevalence was 50.0%. Meat packing plant workers had the highest SARS-CoV-2 seroprevalence (64.6%), followed by farm workers (45.0%) and produce processing workers (10.0%), despite similar sociodemographic characteristics. Compared to SARS-CoV-2 seronegative workers, seropositive workers were more likely to work in loud environments that necessitated yelling to communicate (RR: 1.83, 95% CI: 1.25–2.69), work in cold environments (RR: 1.58, 95% CI: 1.12–2.24), or continue working despite developing symptoms at work (RR: 1.63, 95% CI: 1.14–2.32). After adjusting for age and working despite symptoms, high occupational noise levels were associated with a 1.72 times higher risk of SARS-CoV-2 seropositivity (95% CI: 1.16–2.55). Half of food processing workers showed evidence of past SARS-CoV-2 infection, a prevalence five times higher than most of the United States population at the time of the study. Work environments with loud ambient noise may pose elevated risks for SARS-CoV-2 transmission. Our findings also highlight the disproportionate burden of COVID-19 among underserved and economically disadvantaged Latinx communities in the United States.","container-title":"PLOS Global Public Health","DOI":"10.1371/journal.pgph.0000619","ISSN":"2767-3375","issue":"7","journalAbbreviation":"PLOS Glob Public Health","language":"en","page":"e0000619","source":"DOI.org (Crossref)","title":"SARS-CoV-2 seroprevalence and risk factors among meat packing, produce processing, and farm workers","volume":"2","author":[{"family":"Klein","given":"Melissa D."},{"family":"Sciaudone","given":"Michael"},{"family":"Richardson","given":"David"},{"family":"Lacayo","given":"Roberto"},{"family":"McClean","given":"Colleen M."},{"family":"Kharabora","given":"Oksana"},{"family":"Murray","given":"Katherine"},{"family":"Zivanovich","given":"Miriana Moreno"},{"family":"Strohminger","given":"Stephen"},{"family":"Gurnett","given":"Rachel"},{"family":"Markmann","given":"Alena J."},{"family":"Bhowmik","given":"D. Ryan"},{"family":"Salgado","given":"Emperatriz Morales"},{"family":"Castro-Arroyo","given":"Edwin"},{"family":"Aiello","given":"Allison E."},{"family":"Boyce","given":"Ross M."},{"family":"Juliano","given":"Jonathan J."},{"family":"Bowman","given":"Natalie M."}],"editor":[{"family":"Garcia-Bereguiain","given":"Miguel Angel"}],"issued":{"date-parts":[["2022",7,13]]}}}],"schema":"https://github.com/citation-style-language/schema/raw/master/csl-citation.json"} </w:instrText>
      </w:r>
      <w:r w:rsidR="003A79B7">
        <w:rPr>
          <w:rFonts w:ascii="Helvetica" w:hAnsi="Helvetica"/>
          <w:sz w:val="22"/>
          <w:szCs w:val="22"/>
        </w:rPr>
        <w:fldChar w:fldCharType="separate"/>
      </w:r>
      <w:r w:rsidR="008E0098" w:rsidRPr="008E0098">
        <w:rPr>
          <w:rFonts w:ascii="Helvetica" w:hAnsi="Helvetica" w:cs="Times New Roman"/>
          <w:sz w:val="22"/>
          <w:vertAlign w:val="superscript"/>
        </w:rPr>
        <w:t>24,25</w:t>
      </w:r>
      <w:r w:rsidR="003A79B7">
        <w:rPr>
          <w:rFonts w:ascii="Helvetica" w:hAnsi="Helvetica"/>
          <w:sz w:val="22"/>
          <w:szCs w:val="22"/>
        </w:rPr>
        <w:fldChar w:fldCharType="end"/>
      </w:r>
      <w:r w:rsidR="003A79B7">
        <w:rPr>
          <w:rFonts w:ascii="Helvetica" w:hAnsi="Helvetica"/>
          <w:sz w:val="22"/>
          <w:szCs w:val="22"/>
        </w:rPr>
        <w:t xml:space="preserve"> These statistics may under-represent informal and undocumented agricultural workers, who constitute an estimated 40% of hired crop farmworkers,</w:t>
      </w:r>
      <w:r w:rsidR="003A79B7">
        <w:rPr>
          <w:rFonts w:ascii="Helvetica" w:hAnsi="Helvetica"/>
          <w:sz w:val="22"/>
          <w:szCs w:val="22"/>
        </w:rPr>
        <w:fldChar w:fldCharType="begin"/>
      </w:r>
      <w:r w:rsidR="008E0098">
        <w:rPr>
          <w:rFonts w:ascii="Helvetica" w:hAnsi="Helvetica"/>
          <w:sz w:val="22"/>
          <w:szCs w:val="22"/>
        </w:rPr>
        <w:instrText xml:space="preserve"> ADDIN ZOTERO_ITEM CSL_CITATION {"citationID":"ZV9NFOVZ","properties":{"formattedCitation":"\\super 26\\nosupersub{}","plainCitation":"26","noteIndex":0},"citationItems":[{"id":3156,"uris":["http://zotero.org/users/10934876/items/ZY2C3PXR"],"itemData":{"id":3156,"type":"report","publisher":"United States Department of Agriculture","title":"Legal status of hired crop farmworkers, fiscal 1991–2022","URL":"https://www.ers.usda.gov/data-products/chart-gallery/chart-detail?chartId=63466","author":[{"literal":"Marcelo Castillo"}],"accessed":{"date-parts":[["2026",3,17]]},"issued":{"date-parts":[["2025",9,12]]}}}],"schema":"https://github.com/citation-style-language/schema/raw/master/csl-citation.json"} </w:instrText>
      </w:r>
      <w:r w:rsidR="003A79B7">
        <w:rPr>
          <w:rFonts w:ascii="Helvetica" w:hAnsi="Helvetica"/>
          <w:sz w:val="22"/>
          <w:szCs w:val="22"/>
        </w:rPr>
        <w:fldChar w:fldCharType="separate"/>
      </w:r>
      <w:r w:rsidR="008E0098" w:rsidRPr="008E0098">
        <w:rPr>
          <w:rFonts w:ascii="Helvetica" w:hAnsi="Helvetica" w:cs="Times New Roman"/>
          <w:sz w:val="22"/>
          <w:vertAlign w:val="superscript"/>
        </w:rPr>
        <w:t>26</w:t>
      </w:r>
      <w:r w:rsidR="003A79B7">
        <w:rPr>
          <w:rFonts w:ascii="Helvetica" w:hAnsi="Helvetica"/>
          <w:sz w:val="22"/>
          <w:szCs w:val="22"/>
        </w:rPr>
        <w:fldChar w:fldCharType="end"/>
      </w:r>
      <w:r w:rsidR="003A79B7">
        <w:rPr>
          <w:rFonts w:ascii="Helvetica" w:hAnsi="Helvetica"/>
          <w:sz w:val="22"/>
          <w:szCs w:val="22"/>
        </w:rPr>
        <w:t xml:space="preserve"> so the true health disparities may be even starker than the available data suggest.</w:t>
      </w:r>
    </w:p>
    <w:p w14:paraId="6452B498" w14:textId="15CC9D74"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Compounding these issues, conducting effective public health surveillance in agricultural workers has proven challenging.</w:t>
      </w:r>
      <w:r w:rsidR="008E0098">
        <w:rPr>
          <w:rFonts w:ascii="Helvetica" w:hAnsi="Helvetica"/>
          <w:sz w:val="22"/>
          <w:szCs w:val="22"/>
        </w:rPr>
        <w:fldChar w:fldCharType="begin"/>
      </w:r>
      <w:r w:rsidR="008E0098">
        <w:rPr>
          <w:rFonts w:ascii="Helvetica" w:hAnsi="Helvetica"/>
          <w:sz w:val="22"/>
          <w:szCs w:val="22"/>
        </w:rPr>
        <w:instrText xml:space="preserve"> ADDIN ZOTERO_ITEM CSL_CITATION {"citationID":"rjg7FQSo","properties":{"formattedCitation":"\\super 27,28\\nosupersub{}","plainCitation":"27,28","noteIndex":0},"citationItems":[{"id":3161,"uris":["http://zotero.org/users/10934876/items/LT22SUFP"],"itemData":{"id":3161,"type":"article-journal","abstract":"Summary\n              Outreach is an important element of social care. It is an informal but planned form of on-site service delivery to vulnerable populations. Outreach affects some target populations, such as migrant farmworkers, immensely. Outreach staff demonstrate a unique capacity to navigate remote and hard to -to-reach areas, making contact with farmworkers who would otherwise not receive essential services. This ethnographic study describes how organizations make first contact with farmworkers in normal times, and the changes to outreach observed during the COVID-19 pandemic.\n            \n            \n              Findings\n              Outreach workers connect, interact, and provide services to farmworkers in unique settings and situations. The general components of farmworker outreach are planning, engaging, improvising, and initiating services. During the pandemic, the changes observed were a sense of urgency to serve farmworkers, and adaptations in the modality of outreach to include a focus on health, collaboration with health clinicians, and the use of social media to contact farmworkers.\n            \n            \n              Applications\n              Outreach matters to farmworkers and other groups that are secluded, isolated, and vulnerable to abuse. In crisis times, such as the pandemic, outreach is even more vital. Hence, outreach, including the skills required t o conduct outreach, should form part of social work curriculum. Different models and outreach components should be evaluated to assess whether organizations providing outreach services to target populations deliver results beyond immediate benefits and contribute to structural change and advocacy on behalf of them.","container-title":"Journal of Social Work","DOI":"10.1177/14680173231165928","ISSN":"1468-0173, 1741-296X","issue":"5","journalAbbreviation":"Journal of Social Work","language":"en","page":"898-915","source":"DOI.org (Crossref)","title":"Outreach to farmworkers before and during the COVID-19 pandemic","volume":"23","author":[{"family":"Saldanha","given":"Kennedy"}],"issued":{"date-parts":[["2023",9]]}}},{"id":3162,"uris":["http://zotero.org/users/10934876/items/442SI3G3"],"itemData":{"id":3162,"type":"article-journal","container-title":"Journal of Agromedicine","DOI":"10.1080/1059924X.2020.1815625","ISSN":"1059-924X, 1545-0813","issue":"4","journalAbbreviation":"Journal of Agromedicine","language":"en","page":"427-429","source":"DOI.org (Crossref)","title":"Reaching Invisible and Unprotected Workers on Farms during the Coronavirus Pandemic","volume":"25","author":[{"family":"Dudley","given":"Mary Jo"}],"issued":{"date-parts":[["2020",10,1]]}}}],"schema":"https://github.com/citation-style-language/schema/raw/master/csl-citation.json"} </w:instrText>
      </w:r>
      <w:r w:rsidR="008E0098">
        <w:rPr>
          <w:rFonts w:ascii="Helvetica" w:hAnsi="Helvetica"/>
          <w:sz w:val="22"/>
          <w:szCs w:val="22"/>
        </w:rPr>
        <w:fldChar w:fldCharType="separate"/>
      </w:r>
      <w:r w:rsidR="008E0098" w:rsidRPr="008E0098">
        <w:rPr>
          <w:rFonts w:ascii="Helvetica" w:hAnsi="Helvetica" w:cs="Times New Roman"/>
          <w:sz w:val="22"/>
          <w:vertAlign w:val="superscript"/>
        </w:rPr>
        <w:t>27,28</w:t>
      </w:r>
      <w:r w:rsidR="008E0098">
        <w:rPr>
          <w:rFonts w:ascii="Helvetica" w:hAnsi="Helvetica"/>
          <w:sz w:val="22"/>
          <w:szCs w:val="22"/>
        </w:rPr>
        <w:fldChar w:fldCharType="end"/>
      </w:r>
      <w:r w:rsidRPr="00CC2F84">
        <w:rPr>
          <w:rFonts w:ascii="Helvetica" w:hAnsi="Helvetica"/>
          <w:sz w:val="22"/>
          <w:szCs w:val="22"/>
        </w:rPr>
        <w:t xml:space="preserve"> Various important efforts are underway to bridge this gap, including the CDC-supported network of farmworker-serving organizations formed during the COVID-19 pandemic.</w:t>
      </w:r>
      <w:r w:rsidR="004B4B4F">
        <w:rPr>
          <w:rFonts w:ascii="Helvetica" w:hAnsi="Helvetica"/>
          <w:sz w:val="22"/>
          <w:szCs w:val="22"/>
        </w:rPr>
        <w:fldChar w:fldCharType="begin"/>
      </w:r>
      <w:r w:rsidR="004B4B4F">
        <w:rPr>
          <w:rFonts w:ascii="Helvetica" w:hAnsi="Helvetica"/>
          <w:sz w:val="22"/>
          <w:szCs w:val="22"/>
        </w:rPr>
        <w:instrText xml:space="preserve"> ADDIN ZOTERO_ITEM CSL_CITATION {"citationID":"tilEIZWK","properties":{"formattedCitation":"\\super 28\\uc0\\u8211{}32\\nosupersub{}","plainCitation":"28–32","noteIndex":0},"citationItems":[{"id":3162,"uris":["http://zotero.org/users/10934876/items/442SI3G3"],"itemData":{"id":3162,"type":"article-journal","container-title":"Journal of Agromedicine","DOI":"10.1080/1059924X.2020.1815625","ISSN":"1059-924X, 1545-0813","issue":"4","journalAbbreviation":"Journal of Agromedicine","language":"en","page":"427-429","source":"DOI.org (Crossref)","title":"Reaching Invisible and Unprotected Workers on Farms during the Coronavirus Pandemic","volume":"25","author":[{"family":"Dudley","given":"Mary Jo"}],"issued":{"date-parts":[["2020",10,1]]}}},{"id":3163,"uris":["http://zotero.org/users/10934876/items/EXMHGV7G"],"itemData":{"id":3163,"type":"article-journal","abstract":"The Centers for Disease Control and Prevention has partnered with the National Center for Farmworker Health to respond to the impact of COVID-19 on US farmworker communities. Immigrant farmworkers are often isolated from public health infrastructure. This partnership built the capacity of a national network of organizations to connect farmworkers to COVID-19 education and vaccinations in 20 states through training and resource sharing. The partnership funded 194 network member staff, trained 1130 individuals, and supported COVID-19 outreach to more than 600 000 farmworkers. (Am J Public Health. 2023;113(2):166–169. https://doi.org/10.2105/AJPH.2022.307159 )","container-title":"American Journal of Public Health","DOI":"10.2105/AJPH.2022.307159","ISSN":"0090-0036, 1541-0048","issue":"2","journalAbbreviation":"Am J Public Health","language":"en","page":"166-169","source":"DOI.org (Crossref)","title":"CDC-Supported National Network of Farmworker-Serving Organizations to Mitigate COVID-19","volume":"113","author":[{"family":"Boggess","given":"Bethany"},{"family":"Prager","given":"Sarah"},{"family":"Lincoln","given":"Jennifer M."},{"family":"Foss","given":"Ninel Espinosa"},{"family":"Kissam","given":"Edward"},{"family":"Partida","given":"Sylvia"},{"family":"Lainz","given":"Alfonso Rodriguez"}],"issued":{"date-parts":[["2023",2]]}}},{"id":3164,"uris":["http://zotero.org/users/10934876/items/URJ8E5Z4"],"itemData":{"id":3164,"type":"article-journal","abstract":"Introduction:  The lack of aggregated longitudinal health data on farmworkers has severely limited opportunities to conduct research to improve their health status. To correct this problem, we have created the infrastructure necessary to develop and maintain a national Research Data Repository of migrant and seasonal farmworker patients and other community members receiving medical care from Community and Migrant Health Centers (C/MHCs). Project specific research databases can be easily extracted from this repository.Methods:  The Community Based Research Network (CBRN) has securely imported and merged electronic health records (EHRs) data from five geographically dispersed C/MHCs.  To demonstrate the effectiveness of our data aggregation methodologies, we also conducted a small pilot study using clinical, laboratory and demographic data from the CBRN Data Repository from two initial C/MHCs to evaluate HbA1c management.Results:  Overall, there were 67,878 total patients (2,858 farmworkers) that were seen by two C/MHCs from January to August 2013.  A total of 94,189 encounters were captured and all could be linked to a unique patient. HbA1c values decreased as the number of tests or intensity of testing increased.Conclusion:   This project will inform the foundation for an expanding collection of C/MHC data for use by clinicians for medical care coordination, by clinics to assess quality of care, by public health agencies for surveillance, and by researchers under Institutional Review Board (IRB) oversight to advance understanding of the needs and capacity of the migrant and seasonal farmworker population and the health centers that serve them. Approved researchers can request data that constitute a Limited Data Set from the CBRN Data Repository to establish a specific research database for their project.","container-title":"Online Journal of Public Health Informatics","DOI":"10.5210/ojphi.v6i2.5262","ISSN":"1947-2579","issue":"2","journalAbbreviation":"OJPHI","source":"DOI.org (Crossref)","title":"Community Based Research Network: Opportunities for Coordination of Care, Public Health Surveillance, and Farmworker Research","title-short":"Community Based Research Network","URL":"https://journals.uic.edu/ojs/index.php/ojphi/article/view/5262","volume":"6","author":[{"family":"Cooper","given":"Sharon P"},{"family":"Heyer","given":"Nicholas"},{"family":"Shipp","given":"Eva M"},{"family":"Ryder","given":"E. Roberta"},{"family":"Hendrikson","given":"Edward"},{"family":"Socias","given":"Christina M"},{"family":"Del Junco","given":"Deborah J"},{"family":"Valerio","given":"Melissa"},{"family":"Partida","given":"Sylvia"}],"accessed":{"date-parts":[["2026",3,18]]},"issued":{"date-parts":[["2014",10,16]]}}},{"id":3165,"uris":["http://zotero.org/users/10934876/items/MQR5J3GJ"],"itemData":{"id":3165,"type":"article-journal","container-title":"Journal of Agromedicine","DOI":"10.1080/1059924X.2020.1815621","ISSN":"1059-924X, 1545-0813","issue":"4","journalAbbreviation":"Journal of Agromedicine","language":"en","page":"409-412","source":"DOI.org (Crossref)","title":"Working along the Continuum: North Carolina’s Collaborative Response to COVID-19 for Migrant &amp; Seasonal Farmworkers","title-short":"Working along the Continuum","volume":"25","author":[{"family":"Tutor Marcom","given":"Robin"},{"family":"Freeman Lambar","given":"Elizabeth"},{"family":"Rodman","given":"Beth"},{"family":"Thomas","given":"Gayle"},{"family":"Watson","given":"Ann"},{"family":"Parrish","given":"Bryan"},{"family":"Wilburn","given":"Jessica"}],"issued":{"date-parts":[["2020",10,1]]}}},{"id":3166,"uris":["http://zotero.org/users/10934876/items/QVSIES5J"],"itemData":{"id":3166,"type":"article-journal","container-title":"American Journal of Public Health","DOI":"10.2105/AJPH.2021.306323","ISSN":"0090-0036, 1541-0048","issue":"8","journalAbbreviation":"Am J Public Health","language":"en","page":"1456-1458","source":"DOI.org (Crossref)","title":"Farmworkers and COVID-19: Community-Based Partnerships to Address Health and Safety","title-short":"Farmworkers and COVID-19","volume":"111","author":[{"family":"Liebman","given":"Amy K."},{"family":"Seda","given":"Claire H."},{"family":"Galván","given":"Alma R."}],"issued":{"date-parts":[["2021",8]]}}}],"schema":"https://github.com/citation-style-language/schema/raw/master/csl-citation.json"} </w:instrText>
      </w:r>
      <w:r w:rsidR="004B4B4F">
        <w:rPr>
          <w:rFonts w:ascii="Helvetica" w:hAnsi="Helvetica"/>
          <w:sz w:val="22"/>
          <w:szCs w:val="22"/>
        </w:rPr>
        <w:fldChar w:fldCharType="separate"/>
      </w:r>
      <w:r w:rsidR="004B4B4F" w:rsidRPr="004B4B4F">
        <w:rPr>
          <w:rFonts w:ascii="Helvetica" w:hAnsi="Helvetica" w:cs="Times New Roman"/>
          <w:sz w:val="22"/>
          <w:vertAlign w:val="superscript"/>
        </w:rPr>
        <w:t>28–32</w:t>
      </w:r>
      <w:r w:rsidR="004B4B4F">
        <w:rPr>
          <w:rFonts w:ascii="Helvetica" w:hAnsi="Helvetica"/>
          <w:sz w:val="22"/>
          <w:szCs w:val="22"/>
        </w:rPr>
        <w:fldChar w:fldCharType="end"/>
      </w:r>
      <w:r w:rsidRPr="00CC2F84">
        <w:rPr>
          <w:rFonts w:ascii="Helvetica" w:hAnsi="Helvetica"/>
          <w:sz w:val="22"/>
          <w:szCs w:val="22"/>
        </w:rPr>
        <w:t xml:space="preserve"> Nevertheless, agricultural workers remain a difficult population to reach: agricultural workers may be more likely to mistrust authorities, especially those </w:t>
      </w:r>
      <w:r w:rsidR="009D23D5">
        <w:rPr>
          <w:rFonts w:ascii="Helvetica" w:hAnsi="Helvetica"/>
          <w:sz w:val="22"/>
          <w:szCs w:val="22"/>
        </w:rPr>
        <w:t xml:space="preserve">workers </w:t>
      </w:r>
      <w:r w:rsidRPr="00CC2F84">
        <w:rPr>
          <w:rFonts w:ascii="Helvetica" w:hAnsi="Helvetica"/>
          <w:sz w:val="22"/>
          <w:szCs w:val="22"/>
        </w:rPr>
        <w:t>who are undocumented or on temporary visas</w:t>
      </w:r>
      <w:r w:rsidR="00894DC5">
        <w:rPr>
          <w:rFonts w:ascii="Helvetica" w:hAnsi="Helvetica"/>
          <w:sz w:val="22"/>
          <w:szCs w:val="22"/>
        </w:rPr>
        <w:t xml:space="preserve">; </w:t>
      </w:r>
      <w:r w:rsidRPr="00CC2F84">
        <w:rPr>
          <w:rFonts w:ascii="Helvetica" w:hAnsi="Helvetica"/>
          <w:sz w:val="22"/>
          <w:szCs w:val="22"/>
        </w:rPr>
        <w:t xml:space="preserve">socioeconomic barriers often prevent workers from </w:t>
      </w:r>
      <w:r w:rsidR="689F951D" w:rsidRPr="00CC2F84">
        <w:rPr>
          <w:rFonts w:ascii="Helvetica" w:hAnsi="Helvetica"/>
          <w:sz w:val="22"/>
          <w:szCs w:val="22"/>
        </w:rPr>
        <w:t>seeking</w:t>
      </w:r>
      <w:r w:rsidRPr="00CC2F84">
        <w:rPr>
          <w:rFonts w:ascii="Helvetica" w:hAnsi="Helvetica"/>
          <w:sz w:val="22"/>
          <w:szCs w:val="22"/>
        </w:rPr>
        <w:t xml:space="preserve"> care</w:t>
      </w:r>
      <w:r w:rsidR="00015D82">
        <w:rPr>
          <w:rFonts w:ascii="Helvetica" w:hAnsi="Helvetica"/>
          <w:sz w:val="22"/>
          <w:szCs w:val="22"/>
        </w:rPr>
        <w:t xml:space="preserve">; </w:t>
      </w:r>
      <w:r w:rsidRPr="00CC2F84">
        <w:rPr>
          <w:rFonts w:ascii="Helvetica" w:hAnsi="Helvetica"/>
          <w:sz w:val="22"/>
          <w:szCs w:val="22"/>
        </w:rPr>
        <w:t>and seasonal migration complicates longitudinal follow-up.</w:t>
      </w:r>
      <w:r w:rsidR="00D67D44">
        <w:rPr>
          <w:rFonts w:ascii="Helvetica" w:hAnsi="Helvetica"/>
          <w:sz w:val="22"/>
          <w:szCs w:val="22"/>
        </w:rPr>
        <w:fldChar w:fldCharType="begin"/>
      </w:r>
      <w:r w:rsidR="00D67D44">
        <w:rPr>
          <w:rFonts w:ascii="Helvetica" w:hAnsi="Helvetica"/>
          <w:sz w:val="22"/>
          <w:szCs w:val="22"/>
        </w:rPr>
        <w:instrText xml:space="preserve"> ADDIN ZOTERO_ITEM CSL_CITATION {"citationID":"nu7q6D9K","properties":{"formattedCitation":"\\super 27,32\\nosupersub{}","plainCitation":"27,32","noteIndex":0},"citationItems":[{"id":3161,"uris":["http://zotero.org/users/10934876/items/LT22SUFP"],"itemData":{"id":3161,"type":"article-journal","abstract":"Summary\n              Outreach is an important element of social care. It is an informal but planned form of on-site service delivery to vulnerable populations. Outreach affects some target populations, such as migrant farmworkers, immensely. Outreach staff demonstrate a unique capacity to navigate remote and hard to -to-reach areas, making contact with farmworkers who would otherwise not receive essential services. This ethnographic study describes how organizations make first contact with farmworkers in normal times, and the changes to outreach observed during the COVID-19 pandemic.\n            \n            \n              Findings\n              Outreach workers connect, interact, and provide services to farmworkers in unique settings and situations. The general components of farmworker outreach are planning, engaging, improvising, and initiating services. During the pandemic, the changes observed were a sense of urgency to serve farmworkers, and adaptations in the modality of outreach to include a focus on health, collaboration with health clinicians, and the use of social media to contact farmworkers.\n            \n            \n              Applications\n              Outreach matters to farmworkers and other groups that are secluded, isolated, and vulnerable to abuse. In crisis times, such as the pandemic, outreach is even more vital. Hence, outreach, including the skills required t o conduct outreach, should form part of social work curriculum. Different models and outreach components should be evaluated to assess whether organizations providing outreach services to target populations deliver results beyond immediate benefits and contribute to structural change and advocacy on behalf of them.","container-title":"Journal of Social Work","DOI":"10.1177/14680173231165928","ISSN":"1468-0173, 1741-296X","issue":"5","journalAbbreviation":"Journal of Social Work","language":"en","page":"898-915","source":"DOI.org (Crossref)","title":"Outreach to farmworkers before and during the COVID-19 pandemic","volume":"23","author":[{"family":"Saldanha","given":"Kennedy"}],"issued":{"date-parts":[["2023",9]]}}},{"id":3166,"uris":["http://zotero.org/users/10934876/items/QVSIES5J"],"itemData":{"id":3166,"type":"article-journal","container-title":"American Journal of Public Health","DOI":"10.2105/AJPH.2021.306323","ISSN":"0090-0036, 1541-0048","issue":"8","journalAbbreviation":"Am J Public Health","language":"en","page":"1456-1458","source":"DOI.org (Crossref)","title":"Farmworkers and COVID-19: Community-Based Partnerships to Address Health and Safety","title-short":"Farmworkers and COVID-19","volume":"111","author":[{"family":"Liebman","given":"Amy K."},{"family":"Seda","given":"Claire H."},{"family":"Galván","given":"Alma R."}],"issued":{"date-parts":[["2021",8]]}}}],"schema":"https://github.com/citation-style-language/schema/raw/master/csl-citation.json"} </w:instrText>
      </w:r>
      <w:r w:rsidR="00D67D44">
        <w:rPr>
          <w:rFonts w:ascii="Helvetica" w:hAnsi="Helvetica"/>
          <w:sz w:val="22"/>
          <w:szCs w:val="22"/>
        </w:rPr>
        <w:fldChar w:fldCharType="separate"/>
      </w:r>
      <w:r w:rsidR="00D67D44" w:rsidRPr="00D67D44">
        <w:rPr>
          <w:rFonts w:ascii="Helvetica" w:hAnsi="Helvetica" w:cs="Times New Roman"/>
          <w:sz w:val="22"/>
          <w:vertAlign w:val="superscript"/>
        </w:rPr>
        <w:t>27,32</w:t>
      </w:r>
      <w:r w:rsidR="00D67D44">
        <w:rPr>
          <w:rFonts w:ascii="Helvetica" w:hAnsi="Helvetica"/>
          <w:sz w:val="22"/>
          <w:szCs w:val="22"/>
        </w:rPr>
        <w:fldChar w:fldCharType="end"/>
      </w:r>
      <w:r w:rsidRPr="00CC2F84">
        <w:rPr>
          <w:rFonts w:ascii="Helvetica" w:hAnsi="Helvetica"/>
          <w:sz w:val="22"/>
          <w:szCs w:val="22"/>
        </w:rPr>
        <w:t xml:space="preserve"> These barriers underscore the need for modeling tools that can anticipate the burden of disease among agricultural workers from more </w:t>
      </w:r>
      <w:r w:rsidR="738ED552" w:rsidRPr="00CC2F84">
        <w:rPr>
          <w:rFonts w:ascii="Helvetica" w:hAnsi="Helvetica"/>
          <w:sz w:val="22"/>
          <w:szCs w:val="22"/>
        </w:rPr>
        <w:t>readily available</w:t>
      </w:r>
      <w:r w:rsidRPr="00CC2F84">
        <w:rPr>
          <w:rFonts w:ascii="Helvetica" w:hAnsi="Helvetica"/>
          <w:sz w:val="22"/>
          <w:szCs w:val="22"/>
        </w:rPr>
        <w:t xml:space="preserve"> community-level data. </w:t>
      </w:r>
      <w:r w:rsidR="00C245ED" w:rsidRPr="00C245ED">
        <w:rPr>
          <w:rFonts w:ascii="Helvetica" w:hAnsi="Helvetica"/>
          <w:sz w:val="22"/>
          <w:szCs w:val="22"/>
        </w:rPr>
        <w:t xml:space="preserve">Some efforts have begun to bridge this gap: compartmental models have demonstrated </w:t>
      </w:r>
      <w:r w:rsidR="00126CF2">
        <w:rPr>
          <w:rFonts w:ascii="Helvetica" w:hAnsi="Helvetica"/>
          <w:sz w:val="22"/>
          <w:szCs w:val="22"/>
        </w:rPr>
        <w:t xml:space="preserve">how contact patterns among essential workers translate into </w:t>
      </w:r>
      <w:r w:rsidR="00C245ED" w:rsidRPr="00C245ED">
        <w:rPr>
          <w:rFonts w:ascii="Helvetica" w:hAnsi="Helvetica"/>
          <w:sz w:val="22"/>
          <w:szCs w:val="22"/>
        </w:rPr>
        <w:t>elevated infection risk,</w:t>
      </w:r>
      <w:r w:rsidR="00126CF2">
        <w:rPr>
          <w:rFonts w:ascii="Helvetica" w:hAnsi="Helvetica"/>
          <w:sz w:val="22"/>
          <w:szCs w:val="22"/>
        </w:rPr>
        <w:fldChar w:fldCharType="begin"/>
      </w:r>
      <w:r w:rsidR="00126CF2">
        <w:rPr>
          <w:rFonts w:ascii="Helvetica" w:hAnsi="Helvetica"/>
          <w:sz w:val="22"/>
          <w:szCs w:val="22"/>
        </w:rPr>
        <w:instrText xml:space="preserve"> ADDIN ZOTERO_ITEM CSL_CITATION {"citationID":"BiOwryER","properties":{"formattedCitation":"\\super 33\\nosupersub{}","plainCitation":"33","noteIndex":0},"citationItems":[{"id":3213,"uris":["http://zotero.org/users/10934876/items/DNHRMKI7"],"itemData":{"id":3213,"type":"article-journal","abstract":"New emerging infectious diseases are identified every year, a subset of which become global pandemics like COVID-19. In the case of COVID-19, many governments have responded to the ongoing pandemic by imposing social policies that restrict contacts outside of the home, resulting in a large fraction of the workforce either working from home or not working. To ensure essential services, however, a substantial number of workers are not subject to these limitations, and maintain many of their pre-intervention contacts. To explore how contacts among such “essential” workers, and between essential workers and the rest of the population, impact disease risk and the effectiveness of pandemic control, we evaluated several mathematical models of essential worker contacts within a standard epidemiology framework. The models were designed to correspond to key characteristics of cashiers, factory employees, and healthcare workers. We find in all three models that essential workers are at substantially elevated risk of infection compared to the rest of the population, as has been documented, and that increasing the numbers of essential workers necessitates the imposition of more stringent controls on contacts among the rest of the population to manage the pandemic. Importantly, however, different archetypes of essential workers differ in both their individual probability of infection and impact on the broader pandemic dynamics, highlighting the need to understand and target intervention for the specific risks faced by different groups of essential workers. These findings, especially in light of the massive human costs of the current COVID-19 pandemic, indicate that contingency plans for future epidemics should account for the impacts of essential workers on disease spread.","container-title":"PLOS ONE","DOI":"10.1371/journal.pone.0255680","ISSN":"1932-6203","issue":"8","journalAbbreviation":"PLoS ONE","language":"en","page":"e0255680","source":"DOI.org (Crossref)","title":"Impact of essential workers in the context of social distancing for epidemic control","volume":"16","author":[{"family":"Milligan","given":"William R."},{"family":"Fuller","given":"Zachary L."},{"family":"Agarwal","given":"Ipsita"},{"family":"Eisen","given":"Michael B."},{"family":"Przeworski","given":"Molly"},{"family":"Sella","given":"Guy"}],"editor":[{"family":"Poletto","given":"Chiara"}],"issued":{"date-parts":[["2021",8,4]]}}}],"schema":"https://github.com/citation-style-language/schema/raw/master/csl-citation.json"} </w:instrText>
      </w:r>
      <w:r w:rsidR="00126CF2">
        <w:rPr>
          <w:rFonts w:ascii="Helvetica" w:hAnsi="Helvetica"/>
          <w:sz w:val="22"/>
          <w:szCs w:val="22"/>
        </w:rPr>
        <w:fldChar w:fldCharType="separate"/>
      </w:r>
      <w:r w:rsidR="00126CF2" w:rsidRPr="00126CF2">
        <w:rPr>
          <w:rFonts w:ascii="Helvetica" w:hAnsi="Helvetica" w:cs="Times New Roman"/>
          <w:sz w:val="22"/>
          <w:vertAlign w:val="superscript"/>
        </w:rPr>
        <w:t>33</w:t>
      </w:r>
      <w:r w:rsidR="00126CF2">
        <w:rPr>
          <w:rFonts w:ascii="Helvetica" w:hAnsi="Helvetica"/>
          <w:sz w:val="22"/>
          <w:szCs w:val="22"/>
        </w:rPr>
        <w:fldChar w:fldCharType="end"/>
      </w:r>
      <w:r w:rsidR="00C245ED" w:rsidRPr="00C245ED">
        <w:rPr>
          <w:rFonts w:ascii="Helvetica" w:hAnsi="Helvetica"/>
          <w:sz w:val="22"/>
          <w:szCs w:val="22"/>
        </w:rPr>
        <w:t xml:space="preserve"> agent-based </w:t>
      </w:r>
      <w:r w:rsidR="00BE3D78">
        <w:rPr>
          <w:rFonts w:ascii="Helvetica" w:hAnsi="Helvetica"/>
          <w:sz w:val="22"/>
          <w:szCs w:val="22"/>
        </w:rPr>
        <w:t>simulation tools</w:t>
      </w:r>
      <w:r w:rsidR="00C245ED" w:rsidRPr="00C245ED">
        <w:rPr>
          <w:rFonts w:ascii="Helvetica" w:hAnsi="Helvetica"/>
          <w:sz w:val="22"/>
          <w:szCs w:val="22"/>
        </w:rPr>
        <w:t xml:space="preserve"> have </w:t>
      </w:r>
      <w:r w:rsidR="00126CF2">
        <w:rPr>
          <w:rFonts w:ascii="Helvetica" w:hAnsi="Helvetica"/>
          <w:sz w:val="22"/>
          <w:szCs w:val="22"/>
        </w:rPr>
        <w:t xml:space="preserve">been developed to </w:t>
      </w:r>
      <w:r w:rsidR="00BE3D78">
        <w:rPr>
          <w:rFonts w:ascii="Helvetica" w:hAnsi="Helvetica"/>
          <w:sz w:val="22"/>
          <w:szCs w:val="22"/>
        </w:rPr>
        <w:t>evaluate</w:t>
      </w:r>
      <w:r w:rsidR="00C245ED" w:rsidRPr="00C245ED">
        <w:rPr>
          <w:rFonts w:ascii="Helvetica" w:hAnsi="Helvetica"/>
          <w:sz w:val="22"/>
          <w:szCs w:val="22"/>
        </w:rPr>
        <w:t xml:space="preserve"> outbreak control strategies within individual food production facilities</w:t>
      </w:r>
      <w:r w:rsidR="00BE3D78">
        <w:rPr>
          <w:rFonts w:ascii="Helvetica" w:hAnsi="Helvetica"/>
          <w:sz w:val="22"/>
          <w:szCs w:val="22"/>
        </w:rPr>
        <w:t>,</w:t>
      </w:r>
      <w:r w:rsidR="00BE3D78">
        <w:rPr>
          <w:rFonts w:ascii="Helvetica" w:hAnsi="Helvetica"/>
          <w:sz w:val="22"/>
          <w:szCs w:val="22"/>
        </w:rPr>
        <w:fldChar w:fldCharType="begin"/>
      </w:r>
      <w:r w:rsidR="00BE3D78">
        <w:rPr>
          <w:rFonts w:ascii="Helvetica" w:hAnsi="Helvetica"/>
          <w:sz w:val="22"/>
          <w:szCs w:val="22"/>
        </w:rPr>
        <w:instrText xml:space="preserve"> ADDIN ZOTERO_ITEM CSL_CITATION {"citationID":"P9Ng6YfO","properties":{"formattedCitation":"\\super 34\\nosupersub{}","plainCitation":"34","noteIndex":0},"citationItems":[{"id":3215,"uris":["http://zotero.org/users/10934876/items/AAAEVS3M"],"itemData":{"id":3215,"type":"article-journal","abstract":"Abstract\n            The COVID- 19 pandemic exposed challenges of balancing public health and economic goals of infection control in essential industries like food production. To enhance decision-making during future outbreaks, we developed a customizable agent-based model (FInd CoV Control) that predicts and counterfactually compares COVID- 19 transmission in a food production operation under various interventions. The model tracks the number of infections as well as economic outcomes (e.g., number of unavailable workers, direct expenses, production losses). The results revealed strong tradeoffs between public health and economic impacts of interventions. Temperature screening and virus testing protect public health but have substantial economic downsides. Vaccination, while inexpensive, is too slow as a reactive strategy. Intensive physical distancing and biosafety interventions prove cost-effective. The variability and bimodality in predicted impacts of counterfactual interventions, explained by the chance effects and early stochastic infection die-off, caution against relying on single-operation real-world data for decision-making. These findings underscore the need for a proactive infrastructure capable of rapidly developing integrated infection-economic mechanistic models for the essential industries to guide infection control, policy-making, and socially acceptable decisions.","container-title":"Scientific Reports","DOI":"10.1038/s41598-025-97076-2","ISSN":"2045-2322","issue":"1","journalAbbreviation":"Sci Rep","language":"en","page":"14153","source":"DOI.org (Crossref)","title":"An agent-based model of COVID- 19 in the food industry for assessing public health and economic impacts of infection control strategies","volume":"15","author":[{"family":"Henry","given":"Christopher"},{"family":"Bulut","given":"Ece"},{"family":"Murphy","given":"Sarah I."},{"family":"Zoellner","given":"Claire"},{"family":"Adalja","given":"Aaron"},{"family":"Wetherington","given":"Diane"},{"family":"Wiedmann","given":"Martin"},{"family":"Alcaine","given":"Samuel"},{"family":"Ivanek","given":"Renata"}],"issued":{"date-parts":[["2025",4,24]]}}}],"schema":"https://github.com/citation-style-language/schema/raw/master/csl-citation.json"} </w:instrText>
      </w:r>
      <w:r w:rsidR="00BE3D78">
        <w:rPr>
          <w:rFonts w:ascii="Helvetica" w:hAnsi="Helvetica"/>
          <w:sz w:val="22"/>
          <w:szCs w:val="22"/>
        </w:rPr>
        <w:fldChar w:fldCharType="separate"/>
      </w:r>
      <w:r w:rsidR="00BE3D78" w:rsidRPr="00BE3D78">
        <w:rPr>
          <w:rFonts w:ascii="Helvetica" w:hAnsi="Helvetica" w:cs="Times New Roman"/>
          <w:sz w:val="22"/>
          <w:vertAlign w:val="superscript"/>
        </w:rPr>
        <w:t>34</w:t>
      </w:r>
      <w:r w:rsidR="00BE3D78">
        <w:rPr>
          <w:rFonts w:ascii="Helvetica" w:hAnsi="Helvetica"/>
          <w:sz w:val="22"/>
          <w:szCs w:val="22"/>
        </w:rPr>
        <w:fldChar w:fldCharType="end"/>
      </w:r>
      <w:r w:rsidR="00C245ED" w:rsidRPr="00C245ED">
        <w:rPr>
          <w:rFonts w:ascii="Helvetica" w:hAnsi="Helvetica"/>
          <w:sz w:val="22"/>
          <w:szCs w:val="22"/>
        </w:rPr>
        <w:t xml:space="preserve"> and retrospective analyses have linked agricultural labor losses during COVID-19 to reductions in farm output.</w:t>
      </w:r>
      <w:r w:rsidR="00BE3D78">
        <w:rPr>
          <w:rFonts w:ascii="Helvetica" w:hAnsi="Helvetica"/>
          <w:sz w:val="22"/>
          <w:szCs w:val="22"/>
        </w:rPr>
        <w:fldChar w:fldCharType="begin"/>
      </w:r>
      <w:r w:rsidR="00BE3D78">
        <w:rPr>
          <w:rFonts w:ascii="Helvetica" w:hAnsi="Helvetica"/>
          <w:sz w:val="22"/>
          <w:szCs w:val="22"/>
        </w:rPr>
        <w:instrText xml:space="preserve"> ADDIN ZOTERO_ITEM CSL_CITATION {"citationID":"To8Ev57b","properties":{"formattedCitation":"\\super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BE3D78">
        <w:rPr>
          <w:rFonts w:ascii="Helvetica" w:hAnsi="Helvetica"/>
          <w:sz w:val="22"/>
          <w:szCs w:val="22"/>
        </w:rPr>
        <w:fldChar w:fldCharType="separate"/>
      </w:r>
      <w:r w:rsidR="00BE3D78" w:rsidRPr="00BE3D78">
        <w:rPr>
          <w:rFonts w:ascii="Helvetica" w:hAnsi="Helvetica" w:cs="Times New Roman"/>
          <w:sz w:val="22"/>
          <w:vertAlign w:val="superscript"/>
        </w:rPr>
        <w:t>3</w:t>
      </w:r>
      <w:r w:rsidR="00BE3D78">
        <w:rPr>
          <w:rFonts w:ascii="Helvetica" w:hAnsi="Helvetica"/>
          <w:sz w:val="22"/>
          <w:szCs w:val="22"/>
        </w:rPr>
        <w:fldChar w:fldCharType="end"/>
      </w:r>
      <w:r w:rsidR="00C245ED" w:rsidRPr="00C245ED">
        <w:rPr>
          <w:rFonts w:ascii="Helvetica" w:hAnsi="Helvetica"/>
          <w:sz w:val="22"/>
          <w:szCs w:val="22"/>
        </w:rPr>
        <w:t xml:space="preserve"> However, we still lack a generalizable, population-level framework that mechanistically translates household-level risk factors into projections of how future respiratory disease outbreaks may differentially affect agricultural workers and what the downstream consequences for food production may be.</w:t>
      </w:r>
    </w:p>
    <w:p w14:paraId="53E71FA8" w14:textId="77B9266C"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 xml:space="preserve">This study aims to address these gaps by developing a household-structured disease transmission model that quantifies the differential impacts of respiratory disease outbreaks on agricultural workers relative to the general U.S. population. </w:t>
      </w:r>
      <w:r w:rsidR="003E1480" w:rsidRPr="003E1480">
        <w:rPr>
          <w:rFonts w:ascii="Helvetica" w:hAnsi="Helvetica"/>
          <w:sz w:val="22"/>
          <w:szCs w:val="22"/>
        </w:rPr>
        <w:t xml:space="preserve">Focusing on household structure as a well-documented and quantifiable driver of transmission heterogeneity, we used household size and </w:t>
      </w:r>
      <w:r w:rsidR="003E1480" w:rsidRPr="003E1480">
        <w:rPr>
          <w:rFonts w:ascii="Helvetica" w:hAnsi="Helvetica"/>
          <w:sz w:val="22"/>
          <w:szCs w:val="22"/>
        </w:rPr>
        <w:lastRenderedPageBreak/>
        <w:t>crowding distributions from national surveys to simulate epidemic dynamics under a range of epidemiological scenarios</w:t>
      </w:r>
      <w:r w:rsidRPr="00CC2F84">
        <w:rPr>
          <w:rFonts w:ascii="Helvetica" w:hAnsi="Helvetica"/>
          <w:sz w:val="22"/>
          <w:szCs w:val="22"/>
        </w:rPr>
        <w:t xml:space="preserve">, assessing the impact of differences in transmissibility, within-household secondary attack rates, and population mixing patterns. </w:t>
      </w:r>
      <w:r w:rsidR="00574172" w:rsidRPr="00574172">
        <w:rPr>
          <w:rFonts w:ascii="Helvetica" w:hAnsi="Helvetica"/>
          <w:sz w:val="22"/>
          <w:szCs w:val="22"/>
        </w:rPr>
        <w:t xml:space="preserve">We then translate the resulting labor impacts into crop-specific production losses. </w:t>
      </w:r>
      <w:r w:rsidR="002D0EF3" w:rsidRPr="002D0EF3">
        <w:rPr>
          <w:rFonts w:ascii="Helvetica" w:hAnsi="Helvetica"/>
          <w:sz w:val="22"/>
          <w:szCs w:val="22"/>
        </w:rPr>
        <w:t>The impacts of labor shortfalls on agricultural output are likely to be greatest for labor-intensive, hand-harvested crops, where mechanization cannot easily compensate for worker absences. We therefore focus on California, which produces nearly two-thirds of the country's fruits, vegetables, and nuts,</w:t>
      </w:r>
      <w:r w:rsidR="00D67D44">
        <w:rPr>
          <w:rFonts w:ascii="Helvetica" w:hAnsi="Helvetica"/>
          <w:sz w:val="22"/>
          <w:szCs w:val="22"/>
        </w:rPr>
        <w:fldChar w:fldCharType="begin"/>
      </w:r>
      <w:r w:rsidR="00BE3D78">
        <w:rPr>
          <w:rFonts w:ascii="Helvetica" w:hAnsi="Helvetica"/>
          <w:sz w:val="22"/>
          <w:szCs w:val="22"/>
        </w:rPr>
        <w:instrText xml:space="preserve"> ADDIN ZOTERO_ITEM CSL_CITATION {"citationID":"dJLmsF1z","properties":{"formattedCitation":"\\super 35\\nosupersub{}","plainCitation":"35","noteIndex":0},"citationItems":[{"id":3167,"uris":["http://zotero.org/users/10934876/items/ZKDUSDV3"],"itemData":{"id":3167,"type":"report","publisher":"California Department of Food and Agriculture","title":"2023-2024 California Agricultural Statistics Review","URL":"https://www.cdfa.ca.gov/Statistics/PDFs/2023-2024_california_agricultural_statistics_review.pdf","author":[{"literal":"California Department of Food and Agriculture"}],"accessed":{"date-parts":[["2026",3,17]]},"issued":{"date-parts":[["2024"]]}}}],"schema":"https://github.com/citation-style-language/schema/raw/master/csl-citation.json"} </w:instrText>
      </w:r>
      <w:r w:rsidR="00D67D44">
        <w:rPr>
          <w:rFonts w:ascii="Helvetica" w:hAnsi="Helvetica"/>
          <w:sz w:val="22"/>
          <w:szCs w:val="22"/>
        </w:rPr>
        <w:fldChar w:fldCharType="separate"/>
      </w:r>
      <w:r w:rsidR="00BE3D78" w:rsidRPr="00BE3D78">
        <w:rPr>
          <w:rFonts w:ascii="Helvetica" w:hAnsi="Helvetica" w:cs="Times New Roman"/>
          <w:sz w:val="22"/>
          <w:vertAlign w:val="superscript"/>
        </w:rPr>
        <w:t>35</w:t>
      </w:r>
      <w:r w:rsidR="00D67D44">
        <w:rPr>
          <w:rFonts w:ascii="Helvetica" w:hAnsi="Helvetica"/>
          <w:sz w:val="22"/>
          <w:szCs w:val="22"/>
        </w:rPr>
        <w:fldChar w:fldCharType="end"/>
      </w:r>
      <w:r w:rsidR="002D0EF3" w:rsidRPr="002D0EF3">
        <w:rPr>
          <w:rFonts w:ascii="Helvetica" w:hAnsi="Helvetica"/>
          <w:sz w:val="22"/>
          <w:szCs w:val="22"/>
        </w:rPr>
        <w:t xml:space="preserve"> and examine three labor-intensive crops — strawberries, iceberg lettuce, and oranges — for which the state dominates national production (approximately 90%, 74%, and 78%, respectively).</w:t>
      </w:r>
      <w:r w:rsidR="0001387C">
        <w:rPr>
          <w:rFonts w:ascii="Helvetica" w:hAnsi="Helvetica"/>
          <w:sz w:val="22"/>
          <w:szCs w:val="22"/>
        </w:rPr>
        <w:fldChar w:fldCharType="begin"/>
      </w:r>
      <w:r w:rsidR="00BE3D78">
        <w:rPr>
          <w:rFonts w:ascii="Helvetica" w:hAnsi="Helvetica"/>
          <w:sz w:val="22"/>
          <w:szCs w:val="22"/>
        </w:rPr>
        <w:instrText xml:space="preserve"> ADDIN ZOTERO_ITEM CSL_CITATION {"citationID":"ylbnZ5lZ","properties":{"formattedCitation":"\\super 36\\uc0\\u8211{}38\\nosupersub{}","plainCitation":"36–38","noteIndex":0},"citationItems":[{"id":3168,"uris":["http://zotero.org/users/10934876/items/LQPSWHMM"],"itemData":{"id":3168,"type":"report","publisher":"United States Department of Agriculture","title":"Citrus Fruits: 2024 Summary","URL":"https://esmis.nal.usda.gov/sites/default/release-files/j9602060k/vx023d76b/w9507070x/cfrt0825.pdf","author":[{"literal":"United States Department of Agriculture"}],"accessed":{"date-parts":[["2026",3,17]]},"issued":{"date-parts":[["2025",8]]}}},{"id":3169,"uris":["http://zotero.org/users/10934876/items/ZGCNLAY9"],"itemData":{"id":3169,"type":"report","publisher":"United States Department of Agriculture","title":"Vegetables: 2024 Summary","URL":"https://www.nass.usda.gov/Publications/Todays_Reports/reports/vegean25.pdf","author":[{"literal":"United States Department of Agriculture"}],"accessed":{"date-parts":[["2026",3,17]]},"issued":{"date-parts":[["2025",2]]}}},{"id":3170,"uris":["http://zotero.org/users/10934876/items/VR33RLQQ"],"itemData":{"id":3170,"type":"report","publisher":"United States Department of Agriculture","title":"Noncitrus Fruits and Nuts: 2024 Summary","URL":"https://www.nass.usda.gov/Publications/Todays_Reports/reports/ncit0525.pdf","author":[{"literal":"United States Department of Agriculture"}],"accessed":{"date-parts":[["2026",3,17]]},"issued":{"date-parts":[["2025",5]]}}}],"schema":"https://github.com/citation-style-language/schema/raw/master/csl-citation.json"} </w:instrText>
      </w:r>
      <w:r w:rsidR="0001387C">
        <w:rPr>
          <w:rFonts w:ascii="Helvetica" w:hAnsi="Helvetica"/>
          <w:sz w:val="22"/>
          <w:szCs w:val="22"/>
        </w:rPr>
        <w:fldChar w:fldCharType="separate"/>
      </w:r>
      <w:r w:rsidR="00BE3D78" w:rsidRPr="00BE3D78">
        <w:rPr>
          <w:rFonts w:ascii="Helvetica" w:hAnsi="Helvetica" w:cs="Times New Roman"/>
          <w:sz w:val="22"/>
          <w:vertAlign w:val="superscript"/>
        </w:rPr>
        <w:t>36–38</w:t>
      </w:r>
      <w:r w:rsidR="0001387C">
        <w:rPr>
          <w:rFonts w:ascii="Helvetica" w:hAnsi="Helvetica"/>
          <w:sz w:val="22"/>
          <w:szCs w:val="22"/>
        </w:rPr>
        <w:fldChar w:fldCharType="end"/>
      </w:r>
      <w:r w:rsidR="002D0EF3" w:rsidRPr="002D0EF3">
        <w:rPr>
          <w:rFonts w:ascii="Helvetica" w:hAnsi="Helvetica"/>
          <w:sz w:val="22"/>
          <w:szCs w:val="22"/>
        </w:rPr>
        <w:t xml:space="preserve"> These crops also offer distinct harvest seasonalities, allowing us to assess how outbreak timing interacts with production vulnerability.</w:t>
      </w:r>
      <w:r w:rsidR="002D0EF3">
        <w:rPr>
          <w:rFonts w:ascii="Helvetica" w:hAnsi="Helvetica"/>
          <w:sz w:val="22"/>
          <w:szCs w:val="22"/>
        </w:rPr>
        <w:t xml:space="preserve"> </w:t>
      </w:r>
      <w:r w:rsidR="0064311E">
        <w:rPr>
          <w:rFonts w:ascii="Helvetica" w:hAnsi="Helvetica"/>
          <w:sz w:val="22"/>
          <w:szCs w:val="22"/>
        </w:rPr>
        <w:t xml:space="preserve">To accompany our analysis, we developed an interactive simulation tool that covers a </w:t>
      </w:r>
      <w:r w:rsidR="00EA5153">
        <w:rPr>
          <w:rFonts w:ascii="Helvetica" w:hAnsi="Helvetica"/>
          <w:sz w:val="22"/>
          <w:szCs w:val="22"/>
        </w:rPr>
        <w:t>wide</w:t>
      </w:r>
      <w:r w:rsidR="0064311E">
        <w:rPr>
          <w:rFonts w:ascii="Helvetica" w:hAnsi="Helvetica"/>
          <w:sz w:val="22"/>
          <w:szCs w:val="22"/>
        </w:rPr>
        <w:t xml:space="preserve"> range of epidemiological scenarios and crops</w:t>
      </w:r>
      <w:r w:rsidR="005961CD">
        <w:rPr>
          <w:rFonts w:ascii="Helvetica" w:hAnsi="Helvetica"/>
          <w:sz w:val="22"/>
          <w:szCs w:val="22"/>
        </w:rPr>
        <w:t>, allowing for more detailed projections of the impact of outbreaks on agricultural workers and crop production</w:t>
      </w:r>
      <w:r w:rsidR="0064311E">
        <w:rPr>
          <w:rFonts w:ascii="Helvetica" w:hAnsi="Helvetica"/>
          <w:sz w:val="22"/>
          <w:szCs w:val="22"/>
        </w:rPr>
        <w:t xml:space="preserve">. </w:t>
      </w:r>
      <w:r w:rsidRPr="00CC2F84">
        <w:rPr>
          <w:rFonts w:ascii="Helvetica" w:hAnsi="Helvetica"/>
          <w:sz w:val="22"/>
          <w:szCs w:val="22"/>
        </w:rPr>
        <w:t>Our analysis provides a quantitative assessment of how outbreaks with varying characteristics might impact agricultural production</w:t>
      </w:r>
      <w:r w:rsidR="6BA392B9" w:rsidRPr="00CC2F84">
        <w:rPr>
          <w:rFonts w:ascii="Helvetica" w:hAnsi="Helvetica"/>
          <w:sz w:val="22"/>
          <w:szCs w:val="22"/>
        </w:rPr>
        <w:t>, along with</w:t>
      </w:r>
      <w:r w:rsidR="00C12752" w:rsidRPr="00CC2F84">
        <w:rPr>
          <w:rFonts w:ascii="Helvetica" w:hAnsi="Helvetica"/>
          <w:sz w:val="22"/>
          <w:szCs w:val="22"/>
        </w:rPr>
        <w:t xml:space="preserve"> </w:t>
      </w:r>
      <w:r w:rsidRPr="00CC2F84">
        <w:rPr>
          <w:rFonts w:ascii="Helvetica" w:hAnsi="Helvetica"/>
          <w:sz w:val="22"/>
          <w:szCs w:val="22"/>
        </w:rPr>
        <w:t>a general framework</w:t>
      </w:r>
      <w:r w:rsidR="00C12752" w:rsidRPr="00CC2F84">
        <w:rPr>
          <w:rFonts w:ascii="Helvetica" w:hAnsi="Helvetica"/>
          <w:sz w:val="22"/>
          <w:szCs w:val="22"/>
        </w:rPr>
        <w:t xml:space="preserve"> </w:t>
      </w:r>
      <w:r w:rsidRPr="00CC2F84">
        <w:rPr>
          <w:rFonts w:ascii="Helvetica" w:hAnsi="Helvetica"/>
          <w:sz w:val="22"/>
          <w:szCs w:val="22"/>
        </w:rPr>
        <w:t>for anticipating the food system consequences of future respiratory disease outbreaks.</w:t>
      </w:r>
    </w:p>
    <w:p w14:paraId="64B66298" w14:textId="77777777" w:rsidR="00AB7EBC" w:rsidRPr="00CC2F84" w:rsidRDefault="006B4661">
      <w:pPr>
        <w:pStyle w:val="Heading2"/>
        <w:rPr>
          <w:rFonts w:ascii="Helvetica" w:hAnsi="Helvetica"/>
          <w:b/>
          <w:bCs/>
          <w:color w:val="auto"/>
          <w:sz w:val="22"/>
          <w:szCs w:val="22"/>
        </w:rPr>
      </w:pPr>
      <w:bookmarkStart w:id="8" w:name="methods"/>
      <w:bookmarkEnd w:id="2"/>
      <w:r w:rsidRPr="00CC2F84">
        <w:rPr>
          <w:rFonts w:ascii="Helvetica" w:hAnsi="Helvetica"/>
          <w:b/>
          <w:bCs/>
          <w:color w:val="auto"/>
          <w:sz w:val="22"/>
          <w:szCs w:val="22"/>
        </w:rPr>
        <w:lastRenderedPageBreak/>
        <w:t>Methods</w:t>
      </w:r>
    </w:p>
    <w:p w14:paraId="43F15702" w14:textId="77777777" w:rsidR="00AB7EBC" w:rsidRPr="00CC2F84" w:rsidRDefault="006B4661" w:rsidP="000C35A9">
      <w:pPr>
        <w:pStyle w:val="Heading3"/>
        <w:jc w:val="both"/>
        <w:rPr>
          <w:rFonts w:ascii="Helvetica" w:hAnsi="Helvetica"/>
          <w:color w:val="auto"/>
          <w:sz w:val="22"/>
          <w:szCs w:val="22"/>
          <w:u w:val="single"/>
        </w:rPr>
      </w:pPr>
      <w:bookmarkStart w:id="9" w:name="data"/>
      <w:r w:rsidRPr="00CC2F84">
        <w:rPr>
          <w:rFonts w:ascii="Helvetica" w:hAnsi="Helvetica"/>
          <w:color w:val="auto"/>
          <w:sz w:val="22"/>
          <w:szCs w:val="22"/>
          <w:u w:val="single"/>
        </w:rPr>
        <w:t>Data</w:t>
      </w:r>
    </w:p>
    <w:p w14:paraId="4E9F47DE" w14:textId="458F1DE3" w:rsidR="00AB7EBC" w:rsidRPr="00CC2F84" w:rsidRDefault="006B4661" w:rsidP="000C35A9">
      <w:pPr>
        <w:pStyle w:val="Heading4"/>
        <w:jc w:val="both"/>
        <w:rPr>
          <w:rFonts w:ascii="Helvetica" w:hAnsi="Helvetica"/>
          <w:i w:val="0"/>
          <w:iCs w:val="0"/>
          <w:color w:val="auto"/>
          <w:sz w:val="22"/>
          <w:szCs w:val="22"/>
        </w:rPr>
      </w:pPr>
      <w:bookmarkStart w:id="10" w:name="population-characteristics"/>
      <w:r w:rsidRPr="00CC2F84">
        <w:rPr>
          <w:rFonts w:ascii="Helvetica" w:hAnsi="Helvetica"/>
          <w:color w:val="auto"/>
          <w:sz w:val="22"/>
          <w:szCs w:val="22"/>
        </w:rPr>
        <w:t>Population characteristics</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We obtained county-level data on overall population size, household size distribution (proportion of households of size 1, 2, 3, 4, 5, 6, or 7+), proportion of crowded households (i.e., with more than one individual per room), and proportion of agricultural workers from the U.S. Census Bureau’s 2022 American Community Survey (ACS) 5-year estimates.</w:t>
      </w:r>
      <w:r w:rsidR="00493D2C">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{"citationID":"HV9FVCZj","properties":{"formattedCitation":"\\super 39\\nosupersub{}","plainCitation":"39","noteIndex":0},"citationItems":[{"id":3171,"uris":["http://zotero.org/users/10934876/items/P4W7DSE7"],"itemData":{"id":3171,"type":"dataset","title":"American Community Survey","URL":"https://www.census.gov/programs-surveys/acs/","author":[{"literal":"United States Census Bureau"}],"accessed":{"date-parts":[["2026",3,18]]}}}],"schema":"https://github.com/citation-style-language/schema/raw/master/csl-citation.json"} </w:instrText>
      </w:r>
      <w:r w:rsidR="00493D2C">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39</w:t>
      </w:r>
      <w:r w:rsidR="00493D2C">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For agricultural workers specifically, we obtained regional data on household size distribution and proportion of crowded households from the 2018-2022 National Agricultural Workers Survey (NAWS).</w:t>
      </w:r>
      <w:r w:rsidR="00493D2C">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{"citationID":"rAfIHfgx","properties":{"formattedCitation":"\\super 40\\nosupersub{}","plainCitation":"40","noteIndex":0},"citationItems":[{"id":3172,"uris":["http://zotero.org/users/10934876/items/84U397IT"],"itemData":{"id":3172,"type":"dataset","title":"National Agricultural Workers Survey","URL":"https://www.dol.gov/agencies/eta/national-agricultural-workers-survey","author":[{"literal":"United States Department of Labor"}],"accessed":{"date-parts":[["2026",3,18]]}}}],"schema":"https://github.com/citation-style-language/schema/raw/master/csl-citation.json"} </w:instrText>
      </w:r>
      <w:r w:rsidR="00493D2C">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40</w:t>
      </w:r>
      <w:r w:rsidR="00493D2C">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The NAWS data are stratified geographically into six regions: East, Southeast, Midwest, Southwest, Northwest, and California. To enable region-level analysis, we aggregated the county-level ACS data into the corresponding NAWS regions using population-weighted averages. Full details on the data extraction are given in the </w:t>
      </w:r>
      <w:r w:rsidRPr="00CC2F84">
        <w:rPr>
          <w:rFonts w:ascii="Helvetica" w:hAnsi="Helvetica"/>
          <w:b/>
          <w:bCs/>
          <w:i w:val="0"/>
          <w:iCs w:val="0"/>
          <w:color w:val="auto"/>
          <w:sz w:val="22"/>
          <w:szCs w:val="22"/>
        </w:rPr>
        <w:t>Supplementary Methods.</w:t>
      </w:r>
    </w:p>
    <w:p w14:paraId="20C25B95" w14:textId="4B099F65" w:rsidR="00AB7EBC" w:rsidRPr="00CC2F84" w:rsidRDefault="41E6E89B" w:rsidP="2687C85F">
      <w:pPr>
        <w:pStyle w:val="Heading4"/>
        <w:jc w:val="both"/>
        <w:rPr>
          <w:rFonts w:ascii="Helvetica" w:hAnsi="Helvetica"/>
          <w:i w:val="0"/>
          <w:iCs w:val="0"/>
          <w:color w:val="auto"/>
          <w:sz w:val="22"/>
          <w:szCs w:val="22"/>
        </w:rPr>
      </w:pPr>
      <w:bookmarkStart w:id="11" w:name="Xf200027468216e1055a5901970be2c7d1dbf637"/>
      <w:bookmarkEnd w:id="10"/>
      <w:r w:rsidRPr="00CC2F84">
        <w:rPr>
          <w:rFonts w:ascii="Helvetica" w:hAnsi="Helvetica"/>
          <w:color w:val="auto"/>
          <w:sz w:val="22"/>
          <w:szCs w:val="22"/>
        </w:rPr>
        <w:t>Crop harvest calendars and labor requirements</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To approximate daily harvest volumes, we obtained data on specialty crop movements (point-to-point shipments) for </w:t>
      </w:r>
      <w:commentRangeStart w:id="12"/>
      <w:r w:rsidRPr="00CC2F84">
        <w:rPr>
          <w:rFonts w:ascii="Helvetica" w:hAnsi="Helvetica"/>
          <w:i w:val="0"/>
          <w:iCs w:val="0"/>
          <w:color w:val="auto"/>
          <w:sz w:val="22"/>
          <w:szCs w:val="22"/>
        </w:rPr>
        <w:t>strawberries, iceberg lettuce, and oranges</w:t>
      </w:r>
      <w:commentRangeEnd w:id="12"/>
      <w:r w:rsidR="00956CEE" w:rsidRPr="00CC2F84">
        <w:rPr>
          <w:rStyle w:val="CommentReference"/>
          <w:rFonts w:ascii="Helvetica" w:hAnsi="Helvetica"/>
          <w:i w:val="0"/>
          <w:iCs w:val="0"/>
          <w:color w:val="auto"/>
          <w:sz w:val="22"/>
          <w:szCs w:val="22"/>
        </w:rPr>
        <w:commentReference w:id="12"/>
      </w:r>
      <w:r w:rsidRPr="00CC2F84">
        <w:rPr>
          <w:rFonts w:ascii="Helvetica" w:hAnsi="Helvetica"/>
          <w:i w:val="0"/>
          <w:iCs w:val="0"/>
          <w:color w:val="auto"/>
          <w:sz w:val="22"/>
          <w:szCs w:val="22"/>
        </w:rPr>
        <w:t xml:space="preserve"> from the United States Department of Agriculture’s (USDA’s) Agricultural Marketing Service.</w:t>
      </w:r>
      <w:r w:rsidR="00343E58">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{"citationID":"4jBf0Zur","properties":{"formattedCitation":"\\super 41\\nosupersub{}","plainCitation":"41","noteIndex":0},"citationItems":[{"id":3173,"uris":["http://zotero.org/users/10934876/items/KTJM6XUS"],"itemData":{"id":3173,"type":"dataset","title":"Market News","URL":"https://mymarketnews.ams.usda.gov","author":[{"literal":"United States Department of Agriculture Agricultural Marketing Service"}],"accessed":{"date-parts":[["2026",3,18]]},"issued":{"date-parts":[["2026"]]}}}],"schema":"https://github.com/citation-style-language/schema/raw/master/csl-citation.json"} </w:instrText>
      </w:r>
      <w:r w:rsidR="00343E58">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41</w:t>
      </w:r>
      <w:r w:rsidR="00343E58">
        <w:rPr>
          <w:rFonts w:ascii="Helvetica" w:hAnsi="Helvetica"/>
          <w:i w:val="0"/>
          <w:iCs w:val="0"/>
          <w:color w:val="auto"/>
          <w:sz w:val="22"/>
          <w:szCs w:val="22"/>
        </w:rPr>
        <w:fldChar w:fldCharType="end"/>
      </w:r>
      <w:r w:rsidR="0023269D">
        <w:rPr>
          <w:rFonts w:ascii="Helvetica" w:hAnsi="Helvetica"/>
          <w:i w:val="0"/>
          <w:iCs w:val="0"/>
          <w:color w:val="auto"/>
          <w:sz w:val="22"/>
          <w:szCs w:val="22"/>
        </w:rPr>
        <w:t xml:space="preserve"> Data for </w:t>
      </w:r>
      <w:r w:rsidR="00A93C66">
        <w:rPr>
          <w:rFonts w:ascii="Helvetica" w:hAnsi="Helvetica"/>
          <w:i w:val="0"/>
          <w:iCs w:val="0"/>
          <w:color w:val="auto"/>
          <w:sz w:val="22"/>
          <w:szCs w:val="22"/>
        </w:rPr>
        <w:t xml:space="preserve">six </w:t>
      </w:r>
      <w:r w:rsidR="0023269D">
        <w:rPr>
          <w:rFonts w:ascii="Helvetica" w:hAnsi="Helvetica"/>
          <w:i w:val="0"/>
          <w:iCs w:val="0"/>
          <w:color w:val="auto"/>
          <w:sz w:val="22"/>
          <w:szCs w:val="22"/>
        </w:rPr>
        <w:t xml:space="preserve">additional </w:t>
      </w:r>
      <w:r w:rsidR="00D33C05">
        <w:rPr>
          <w:rFonts w:ascii="Helvetica" w:hAnsi="Helvetica"/>
          <w:i w:val="0"/>
          <w:iCs w:val="0"/>
          <w:color w:val="auto"/>
          <w:sz w:val="22"/>
          <w:szCs w:val="22"/>
        </w:rPr>
        <w:t xml:space="preserve">crops </w:t>
      </w:r>
      <w:r w:rsidR="007A39B6">
        <w:rPr>
          <w:rFonts w:ascii="Helvetica" w:hAnsi="Helvetica"/>
          <w:i w:val="0"/>
          <w:iCs w:val="0"/>
          <w:color w:val="auto"/>
          <w:sz w:val="22"/>
          <w:szCs w:val="22"/>
        </w:rPr>
        <w:t xml:space="preserve">(apples, avocados, cherries, grapefruit, grapes, and lemons) </w:t>
      </w:r>
      <w:r w:rsidR="0023269D">
        <w:rPr>
          <w:rFonts w:ascii="Helvetica" w:hAnsi="Helvetica"/>
          <w:i w:val="0"/>
          <w:iCs w:val="0"/>
          <w:color w:val="auto"/>
          <w:sz w:val="22"/>
          <w:szCs w:val="22"/>
        </w:rPr>
        <w:t xml:space="preserve">were extracted </w:t>
      </w:r>
      <w:r w:rsidR="00242C19">
        <w:rPr>
          <w:rFonts w:ascii="Helvetica" w:hAnsi="Helvetica"/>
          <w:i w:val="0"/>
          <w:iCs w:val="0"/>
          <w:color w:val="auto"/>
          <w:sz w:val="22"/>
          <w:szCs w:val="22"/>
        </w:rPr>
        <w:t xml:space="preserve">from the same source </w:t>
      </w:r>
      <w:r w:rsidR="0023269D">
        <w:rPr>
          <w:rFonts w:ascii="Helvetica" w:hAnsi="Helvetica"/>
          <w:i w:val="0"/>
          <w:iCs w:val="0"/>
          <w:color w:val="auto"/>
          <w:sz w:val="22"/>
          <w:szCs w:val="22"/>
        </w:rPr>
        <w:t xml:space="preserve">and integrated into the interactive </w:t>
      </w:r>
      <w:r w:rsidR="00ED4E30">
        <w:rPr>
          <w:rFonts w:ascii="Helvetica" w:hAnsi="Helvetica"/>
          <w:i w:val="0"/>
          <w:iCs w:val="0"/>
          <w:color w:val="auto"/>
          <w:sz w:val="22"/>
          <w:szCs w:val="22"/>
        </w:rPr>
        <w:t xml:space="preserve">modeling </w:t>
      </w:r>
      <w:r w:rsidR="0023269D">
        <w:rPr>
          <w:rFonts w:ascii="Helvetica" w:hAnsi="Helvetica"/>
          <w:i w:val="0"/>
          <w:iCs w:val="0"/>
          <w:color w:val="auto"/>
          <w:sz w:val="22"/>
          <w:szCs w:val="22"/>
        </w:rPr>
        <w:t>tool.</w:t>
      </w:r>
      <w:r w:rsidRPr="00CC2F84">
        <w:rPr>
          <w:rFonts w:ascii="Helvetica" w:hAnsi="Helvetica"/>
          <w:i w:val="0"/>
          <w:iCs w:val="0"/>
          <w:color w:val="auto"/>
          <w:sz w:val="22"/>
          <w:szCs w:val="22"/>
        </w:rPr>
        <w:t xml:space="preserve"> </w:t>
      </w:r>
      <w:commentRangeStart w:id="13"/>
      <w:r w:rsidRPr="00CC2F84">
        <w:rPr>
          <w:rFonts w:ascii="Helvetica" w:hAnsi="Helvetica"/>
          <w:i w:val="0"/>
          <w:iCs w:val="0"/>
          <w:color w:val="auto"/>
          <w:sz w:val="22"/>
          <w:szCs w:val="22"/>
        </w:rPr>
        <w:t>We</w:t>
      </w:r>
      <w:commentRangeEnd w:id="13"/>
      <w:r w:rsidR="00956CEE" w:rsidRPr="00CC2F84">
        <w:rPr>
          <w:rStyle w:val="CommentReference"/>
          <w:rFonts w:ascii="Helvetica" w:hAnsi="Helvetica"/>
          <w:i w:val="0"/>
          <w:iCs w:val="0"/>
          <w:color w:val="auto"/>
          <w:sz w:val="22"/>
          <w:szCs w:val="22"/>
        </w:rPr>
        <w:commentReference w:id="13"/>
      </w:r>
      <w:r w:rsidRPr="00CC2F84">
        <w:rPr>
          <w:rFonts w:ascii="Helvetica" w:hAnsi="Helvetica"/>
          <w:i w:val="0"/>
          <w:iCs w:val="0"/>
          <w:color w:val="auto"/>
          <w:sz w:val="22"/>
          <w:szCs w:val="22"/>
        </w:rPr>
        <w:t xml:space="preserve"> extracted the total weekly weight of shipments </w:t>
      </w:r>
      <w:commentRangeStart w:id="14"/>
      <w:commentRangeStart w:id="15"/>
      <w:commentRangeStart w:id="16"/>
      <w:r w:rsidRPr="00CC2F84">
        <w:rPr>
          <w:rFonts w:ascii="Helvetica" w:hAnsi="Helvetica"/>
          <w:i w:val="0"/>
          <w:iCs w:val="0"/>
          <w:color w:val="auto"/>
          <w:sz w:val="22"/>
          <w:szCs w:val="22"/>
        </w:rPr>
        <w:t xml:space="preserve">originating in California </w:t>
      </w:r>
      <w:commentRangeEnd w:id="14"/>
      <w:r w:rsidR="00956CEE" w:rsidRPr="00CC2F84">
        <w:rPr>
          <w:rStyle w:val="CommentReference"/>
          <w:rFonts w:ascii="Helvetica" w:hAnsi="Helvetica"/>
          <w:i w:val="0"/>
          <w:iCs w:val="0"/>
          <w:color w:val="auto"/>
          <w:sz w:val="22"/>
          <w:szCs w:val="22"/>
        </w:rPr>
        <w:commentReference w:id="14"/>
      </w:r>
      <w:commentRangeEnd w:id="15"/>
      <w:r w:rsidR="0034347F" w:rsidRPr="00CC2F84">
        <w:rPr>
          <w:rStyle w:val="CommentReference"/>
          <w:rFonts w:ascii="Helvetica" w:hAnsi="Helvetica"/>
          <w:i w:val="0"/>
          <w:iCs w:val="0"/>
          <w:color w:val="auto"/>
          <w:sz w:val="22"/>
          <w:szCs w:val="22"/>
        </w:rPr>
        <w:commentReference w:id="15"/>
      </w:r>
      <w:commentRangeEnd w:id="16"/>
      <w:r w:rsidR="0034347F" w:rsidRPr="00CC2F84">
        <w:rPr>
          <w:rStyle w:val="CommentReference"/>
          <w:rFonts w:ascii="Helvetica" w:hAnsi="Helvetica"/>
          <w:i w:val="0"/>
          <w:iCs w:val="0"/>
          <w:color w:val="auto"/>
          <w:sz w:val="22"/>
          <w:szCs w:val="22"/>
        </w:rPr>
        <w:commentReference w:id="16"/>
      </w:r>
      <w:r w:rsidRPr="00CC2F84">
        <w:rPr>
          <w:rFonts w:ascii="Helvetica" w:hAnsi="Helvetica"/>
          <w:i w:val="0"/>
          <w:iCs w:val="0"/>
          <w:color w:val="auto"/>
          <w:sz w:val="22"/>
          <w:szCs w:val="22"/>
        </w:rPr>
        <w:t xml:space="preserve">for each of these crops between 1 Jan 2018 and 1 Jan 2025. We averaged the weekly shipment volumes for each crop across the seven available years to mitigate the impact of inter-annual variation. Then, we interpolated daily shipment volumes by assuming equal shipment volumes across each day of the week. We normalized these shipment volumes by the total mean annual shipment volume, so that the daily values reflected the proportion of the </w:t>
      </w:r>
      <w:r w:rsidR="01EDB003" w:rsidRPr="00CC2F84">
        <w:rPr>
          <w:rFonts w:ascii="Helvetica" w:hAnsi="Helvetica"/>
          <w:i w:val="0"/>
          <w:iCs w:val="0"/>
          <w:color w:val="auto"/>
          <w:sz w:val="22"/>
          <w:szCs w:val="22"/>
        </w:rPr>
        <w:t xml:space="preserve">average annual </w:t>
      </w:r>
      <w:r w:rsidRPr="00CC2F84">
        <w:rPr>
          <w:rFonts w:ascii="Helvetica" w:hAnsi="Helvetica"/>
          <w:i w:val="0"/>
          <w:iCs w:val="0"/>
          <w:color w:val="auto"/>
          <w:sz w:val="22"/>
          <w:szCs w:val="22"/>
        </w:rPr>
        <w:t xml:space="preserve">harvest normally collected on that day. </w:t>
      </w:r>
      <w:commentRangeStart w:id="17"/>
      <w:commentRangeStart w:id="18"/>
      <w:commentRangeStart w:id="19"/>
      <w:r w:rsidRPr="00CC2F84">
        <w:rPr>
          <w:rFonts w:ascii="Helvetica" w:hAnsi="Helvetica"/>
          <w:i w:val="0"/>
          <w:iCs w:val="0"/>
          <w:color w:val="auto"/>
          <w:sz w:val="22"/>
          <w:szCs w:val="22"/>
        </w:rPr>
        <w:t>We cross-referenced the resulting production curves with independent reports on each crop’s production timing</w:t>
      </w:r>
      <w:r w:rsidR="2D016829" w:rsidRPr="00CC2F84">
        <w:rPr>
          <w:rFonts w:ascii="Helvetica" w:hAnsi="Helvetica"/>
          <w:i w:val="0"/>
          <w:iCs w:val="0"/>
          <w:color w:val="auto"/>
          <w:sz w:val="22"/>
          <w:szCs w:val="22"/>
        </w:rPr>
        <w:t>, confirming that the crop movement data are a reasonable proxy for seasonal harvest patterns</w:t>
      </w:r>
      <w:commentRangeEnd w:id="17"/>
      <w:r w:rsidR="00956CEE">
        <w:rPr>
          <w:rStyle w:val="CommentReference"/>
          <w:rFonts w:ascii="Helvetica" w:hAnsi="Helvetica"/>
          <w:i w:val="0"/>
          <w:iCs w:val="0"/>
          <w:color w:val="auto"/>
          <w:sz w:val="22"/>
          <w:szCs w:val="22"/>
        </w:rPr>
        <w:commentReference w:id="17"/>
      </w:r>
      <w:commentRangeEnd w:id="18"/>
      <w:r w:rsidR="0034347F">
        <w:rPr>
          <w:rStyle w:val="CommentReference"/>
          <w:rFonts w:ascii="Helvetica" w:hAnsi="Helvetica"/>
          <w:i w:val="0"/>
          <w:iCs w:val="0"/>
          <w:color w:val="auto"/>
          <w:sz w:val="22"/>
          <w:szCs w:val="22"/>
        </w:rPr>
        <w:commentReference w:id="18"/>
      </w:r>
      <w:commentRangeEnd w:id="19"/>
      <w:r w:rsidR="0034347F">
        <w:rPr>
          <w:rStyle w:val="CommentReference"/>
          <w:rFonts w:ascii="Helvetica" w:hAnsi="Helvetica"/>
          <w:i w:val="0"/>
          <w:iCs w:val="0"/>
          <w:color w:val="auto"/>
          <w:sz w:val="22"/>
          <w:szCs w:val="22"/>
        </w:rPr>
        <w:commentReference w:id="19"/>
      </w:r>
      <w:r w:rsidR="00F202DB">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{"citationID":"mKcl60Sx","properties":{"formattedCitation":"\\super 42\\uc0\\u8211{}44\\nosupersub{}","plainCitation":"42–44","noteIndex":0},"citationItems":[{"id":3174,"uris":["http://zotero.org/users/10934876/items/6TGFH5NT"],"itemData":{"id":3174,"type":"report","publisher":"University of California Agriculture and Natural Resources Cooperative Extension; UC Davis Department of Agricultural and Resource Economics","title":"Sample costs to establish an orchard and produce oranges: San Joaquin Valley - South","URL":"https://coststudyfiles.ucdavis.edu/uploads/pub/2021/08/12/2021orangessjvsouth.pdf","author":[{"literal":"Craig E. Kallsen"},{"literal":"Greg W Douhan"},{"literal":"Karen Jetter"},{"literal":"Donald Stewart"},{"literal":"Daniel A. Sumner"}],"accessed":{"date-parts":[["2026",3,18]]},"issued":{"date-parts":[["2021"]]}}},{"id":3175,"uris":["http://zotero.org/users/10934876/items/Y77YEDYR"],"itemData":{"id":3175,"type":"report","publisher":"University of California Agriculture and Natural Resources Cooperative Extension; UC Davis Department of Agricultural and Resource Economics","title":"Sample costs to produce and harvest film wrapped iceberg lettuce: Central Coast Region","URL":"https://coststudyfiles.ucdavis.edu/uploads/pub/2023/08/04/2023-iceberglettuce-full-final.pdf","author":[{"literal":"Laura Tourte"},{"literal":"Richard Smith"},{"literal":"Jeremy Murdock"},{"literal":"Brittney Goodrich"}],"accessed":{"date-parts":[["2026",3,18]]},"issued":{"date-parts":[["2023"]]}}},{"id":3176,"uris":["http://zotero.org/users/10934876/items/MNSXJUFX"],"itemData":{"id":3176,"type":"report","publisher":"University of California Agriculture and Natural Resources Cooperative Extension; UC Davis Department of Agricultural and Resource Economics","title":"Sample costs to produce and harvest strawberries: Central Coast Region","URL":"https://coststudyfiles.ucdavis.edu/2024/04/04/2024Strawberry-FULL-FINAL-March2024.pdf","author":[{"literal":"Mark Bolda"},{"literal":"Laura Tourte"},{"literal":"Jeremy Murdock"},{"literal":"Brittney Goodrich"}],"accessed":{"date-parts":[["2026",3,18]]},"issued":{"date-parts":[["2024"]]}}}],"schema":"https://github.com/citation-style-language/schema/raw/master/csl-citation.json"} </w:instrText>
      </w:r>
      <w:r w:rsidR="00F202DB">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42–44</w:t>
      </w:r>
      <w:r w:rsidR="00F202DB">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 Supplementary Figures S1</w:t>
      </w:r>
      <w:r w:rsidR="00EF399A">
        <w:rPr>
          <w:rFonts w:ascii="Helvetica" w:hAnsi="Helvetica"/>
          <w:b/>
          <w:bCs/>
          <w:i w:val="0"/>
          <w:iCs w:val="0"/>
          <w:color w:val="auto"/>
          <w:sz w:val="22"/>
          <w:szCs w:val="22"/>
        </w:rPr>
        <w:t>2</w:t>
      </w:r>
      <w:r w:rsidRPr="00CC2F84">
        <w:rPr>
          <w:rFonts w:ascii="Helvetica" w:hAnsi="Helvetica"/>
          <w:b/>
          <w:bCs/>
          <w:i w:val="0"/>
          <w:iCs w:val="0"/>
          <w:color w:val="auto"/>
          <w:sz w:val="22"/>
          <w:szCs w:val="22"/>
        </w:rPr>
        <w:t>-S1</w:t>
      </w:r>
      <w:r w:rsidR="00EF399A">
        <w:rPr>
          <w:rFonts w:ascii="Helvetica" w:hAnsi="Helvetica"/>
          <w:b/>
          <w:bCs/>
          <w:i w:val="0"/>
          <w:iCs w:val="0"/>
          <w:color w:val="auto"/>
          <w:sz w:val="22"/>
          <w:szCs w:val="22"/>
        </w:rPr>
        <w:t>3</w:t>
      </w:r>
      <w:r w:rsidRPr="00CC2F84">
        <w:rPr>
          <w:rFonts w:ascii="Helvetica" w:hAnsi="Helvetica"/>
          <w:i w:val="0"/>
          <w:iCs w:val="0"/>
          <w:color w:val="auto"/>
          <w:sz w:val="22"/>
          <w:szCs w:val="22"/>
        </w:rPr>
        <w:t xml:space="preserve">). The economic value of strawberries, oranges, and </w:t>
      </w:r>
      <w:commentRangeStart w:id="20"/>
      <w:r w:rsidRPr="00CC2F84">
        <w:rPr>
          <w:rFonts w:ascii="Helvetica" w:hAnsi="Helvetica"/>
          <w:i w:val="0"/>
          <w:iCs w:val="0"/>
          <w:color w:val="auto"/>
          <w:sz w:val="22"/>
          <w:szCs w:val="22"/>
        </w:rPr>
        <w:t>head lettuce</w:t>
      </w:r>
      <w:commentRangeEnd w:id="20"/>
      <w:r w:rsidR="00956CEE" w:rsidRPr="00CC2F84">
        <w:rPr>
          <w:rStyle w:val="CommentReference"/>
          <w:rFonts w:ascii="Helvetica" w:hAnsi="Helvetica"/>
          <w:i w:val="0"/>
          <w:iCs w:val="0"/>
          <w:color w:val="auto"/>
          <w:sz w:val="22"/>
          <w:szCs w:val="22"/>
        </w:rPr>
        <w:commentReference w:id="20"/>
      </w:r>
      <w:r w:rsidRPr="00CC2F84">
        <w:rPr>
          <w:rFonts w:ascii="Helvetica" w:hAnsi="Helvetica"/>
          <w:i w:val="0"/>
          <w:iCs w:val="0"/>
          <w:color w:val="auto"/>
          <w:sz w:val="22"/>
          <w:szCs w:val="22"/>
        </w:rPr>
        <w:t xml:space="preserve"> </w:t>
      </w:r>
      <w:r w:rsidR="00462858">
        <w:rPr>
          <w:rFonts w:ascii="Helvetica" w:hAnsi="Helvetica"/>
          <w:i w:val="0"/>
          <w:iCs w:val="0"/>
          <w:color w:val="auto"/>
          <w:sz w:val="22"/>
          <w:szCs w:val="22"/>
        </w:rPr>
        <w:t xml:space="preserve">(of which iceberg lettuce is a variety) </w:t>
      </w:r>
      <w:r w:rsidRPr="00CC2F84">
        <w:rPr>
          <w:rFonts w:ascii="Helvetica" w:hAnsi="Helvetica"/>
          <w:i w:val="0"/>
          <w:iCs w:val="0"/>
          <w:color w:val="auto"/>
          <w:sz w:val="22"/>
          <w:szCs w:val="22"/>
        </w:rPr>
        <w:t>produced in California were obtained from USDA National Agricultural Statistics Service reports capturing crop values in 2024</w:t>
      </w:r>
      <w:r w:rsidR="7FB5187F" w:rsidRPr="00CC2F84">
        <w:rPr>
          <w:rFonts w:ascii="Helvetica" w:hAnsi="Helvetica"/>
          <w:i w:val="0"/>
          <w:iCs w:val="0"/>
          <w:color w:val="auto"/>
          <w:sz w:val="22"/>
          <w:szCs w:val="22"/>
        </w:rPr>
        <w:t>.</w:t>
      </w:r>
      <w:r w:rsidR="00F202DB">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{"citationID":"YWFSkCal","properties":{"formattedCitation":"\\super 36\\uc0\\u8211{}38\\nosupersub{}","plainCitation":"36–38","noteIndex":0},"citationItems":[{"id":3168,"uris":["http://zotero.org/users/10934876/items/LQPSWHMM"],"itemData":{"id":3168,"type":"report","publisher":"United States Department of Agriculture","title":"Citrus Fruits: 2024 Summary","URL":"https://esmis.nal.usda.gov/sites/default/release-files/j9602060k/vx023d76b/w9507070x/cfrt0825.pdf","author":[{"literal":"United States Department of Agriculture"}],"accessed":{"date-parts":[["2026",3,17]]},"issued":{"date-parts":[["2025",8]]}}},{"id":3169,"uris":["http://zotero.org/users/10934876/items/ZGCNLAY9"],"itemData":{"id":3169,"type":"report","publisher":"United States Department of Agriculture","title":"Vegetables: 2024 Summary","URL":"https://www.nass.usda.gov/Publications/Todays_Reports/reports/vegean25.pdf","author":[{"literal":"United States Department of Agriculture"}],"accessed":{"date-parts":[["2026",3,17]]},"issued":{"date-parts":[["2025",2]]}}},{"id":3170,"uris":["http://zotero.org/users/10934876/items/VR33RLQQ"],"itemData":{"id":3170,"type":"report","publisher":"United States Department of Agriculture","title":"Noncitrus Fruits and Nuts: 2024 Summary","URL":"https://www.nass.usda.gov/Publications/Todays_Reports/reports/ncit0525.pdf","author":[{"literal":"United States Department of Agriculture"}],"accessed":{"date-parts":[["2026",3,17]]},"issued":{"date-parts":[["2025",5]]}}}],"schema":"https://github.com/citation-style-language/schema/raw/master/csl-citation.json"} </w:instrText>
      </w:r>
      <w:r w:rsidR="00F202DB">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36–38</w:t>
      </w:r>
      <w:r w:rsidR="00F202DB">
        <w:rPr>
          <w:rFonts w:ascii="Helvetica" w:hAnsi="Helvetica"/>
          <w:i w:val="0"/>
          <w:iCs w:val="0"/>
          <w:color w:val="auto"/>
          <w:sz w:val="22"/>
          <w:szCs w:val="22"/>
        </w:rPr>
        <w:fldChar w:fldCharType="end"/>
      </w:r>
      <w:r w:rsidR="00F202DB" w:rsidRPr="00CC2F84">
        <w:rPr>
          <w:rFonts w:ascii="Helvetica" w:hAnsi="Helvetica"/>
          <w:i w:val="0"/>
          <w:iCs w:val="0"/>
          <w:color w:val="auto"/>
          <w:sz w:val="22"/>
          <w:szCs w:val="22"/>
        </w:rPr>
        <w:t xml:space="preserve"> </w:t>
      </w:r>
    </w:p>
    <w:p w14:paraId="5B4021FE" w14:textId="77777777" w:rsidR="00AB7EBC" w:rsidRPr="00CC2F84" w:rsidRDefault="006B4661" w:rsidP="000C35A9">
      <w:pPr>
        <w:pStyle w:val="Heading3"/>
        <w:jc w:val="both"/>
        <w:rPr>
          <w:rFonts w:ascii="Helvetica" w:hAnsi="Helvetica"/>
          <w:color w:val="auto"/>
          <w:sz w:val="22"/>
          <w:szCs w:val="22"/>
          <w:u w:val="single"/>
        </w:rPr>
      </w:pPr>
      <w:bookmarkStart w:id="21" w:name="disease-transmission-model"/>
      <w:bookmarkEnd w:id="9"/>
      <w:bookmarkEnd w:id="11"/>
      <w:r w:rsidRPr="00CC2F84">
        <w:rPr>
          <w:rFonts w:ascii="Helvetica" w:hAnsi="Helvetica"/>
          <w:color w:val="auto"/>
          <w:sz w:val="22"/>
          <w:szCs w:val="22"/>
          <w:u w:val="single"/>
        </w:rPr>
        <w:t>Disease transmission model</w:t>
      </w:r>
    </w:p>
    <w:p w14:paraId="2A4A9AF5" w14:textId="10A7CE09" w:rsidR="00AB7EBC" w:rsidRPr="00CC2F84" w:rsidRDefault="006B4661" w:rsidP="000C35A9">
      <w:pPr>
        <w:pStyle w:val="Heading4"/>
        <w:jc w:val="both"/>
        <w:rPr>
          <w:rFonts w:ascii="Helvetica" w:hAnsi="Helvetica"/>
          <w:color w:val="auto"/>
          <w:sz w:val="22"/>
          <w:szCs w:val="22"/>
        </w:rPr>
      </w:pPr>
      <w:bookmarkStart w:id="22" w:name="model-structure"/>
      <w:r w:rsidRPr="00CC2F84">
        <w:rPr>
          <w:rFonts w:ascii="Helvetica" w:hAnsi="Helvetica"/>
          <w:color w:val="auto"/>
          <w:sz w:val="22"/>
          <w:szCs w:val="22"/>
        </w:rPr>
        <w:t>Model structure</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simulated respiratory disease transmission using a </w:t>
      </w:r>
      <w:commentRangeStart w:id="23"/>
      <w:commentRangeStart w:id="24"/>
      <w:r w:rsidRPr="00CC2F84">
        <w:rPr>
          <w:rFonts w:ascii="Helvetica" w:hAnsi="Helvetica"/>
          <w:i w:val="0"/>
          <w:iCs w:val="0"/>
          <w:color w:val="auto"/>
          <w:sz w:val="22"/>
          <w:szCs w:val="22"/>
        </w:rPr>
        <w:t xml:space="preserve">deterministic </w:t>
      </w:r>
      <w:commentRangeEnd w:id="23"/>
      <w:r w:rsidR="00956CEE" w:rsidRPr="00CC2F84">
        <w:rPr>
          <w:rStyle w:val="CommentReference"/>
          <w:rFonts w:ascii="Helvetica" w:hAnsi="Helvetica"/>
          <w:i w:val="0"/>
          <w:iCs w:val="0"/>
          <w:color w:val="auto"/>
          <w:sz w:val="22"/>
          <w:szCs w:val="22"/>
        </w:rPr>
        <w:commentReference w:id="23"/>
      </w:r>
      <w:commentRangeEnd w:id="24"/>
      <w:r w:rsidRPr="00CC2F84">
        <w:rPr>
          <w:rStyle w:val="CommentReference"/>
          <w:rFonts w:ascii="Helvetica" w:hAnsi="Helvetica"/>
          <w:i w:val="0"/>
          <w:iCs w:val="0"/>
          <w:color w:val="auto"/>
          <w:sz w:val="22"/>
          <w:szCs w:val="22"/>
        </w:rPr>
        <w:commentReference w:id="24"/>
      </w:r>
      <w:r w:rsidRPr="00CC2F84">
        <w:rPr>
          <w:rFonts w:ascii="Helvetica" w:hAnsi="Helvetica"/>
          <w:i w:val="0"/>
          <w:iCs w:val="0"/>
          <w:color w:val="auto"/>
          <w:sz w:val="22"/>
          <w:szCs w:val="22"/>
        </w:rPr>
        <w:t>household-structured susceptible-infectious-recovered (SIR) model based on a previously developed framewor</w:t>
      </w:r>
      <w:r w:rsidR="001846B1">
        <w:rPr>
          <w:rFonts w:ascii="Helvetica" w:hAnsi="Helvetica"/>
          <w:i w:val="0"/>
          <w:iCs w:val="0"/>
          <w:color w:val="auto"/>
          <w:sz w:val="22"/>
          <w:szCs w:val="22"/>
        </w:rPr>
        <w:t>k</w:t>
      </w:r>
      <w:r w:rsidRPr="00CC2F84">
        <w:rPr>
          <w:rFonts w:ascii="Helvetica" w:hAnsi="Helvetica"/>
          <w:i w:val="0"/>
          <w:iCs w:val="0"/>
          <w:color w:val="auto"/>
          <w:sz w:val="22"/>
          <w:szCs w:val="22"/>
        </w:rPr>
        <w:t>.</w:t>
      </w:r>
      <w:r w:rsidR="001846B1">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{"citationID":"2A8Uu3Us","properties":{"formattedCitation":"\\super 45\\nosupersub{}","plainCitation":"45","noteIndex":0},"citationItems":[{"id":3177,"uris":["http://zotero.org/users/10934876/items/2388WDIA"],"itemData":{"id":3177,"type":"article-journal","abstract":"SUMMARY\n            One of the central tenets of modern infectious disease epidemiology is that an understanding of heterogeneities, both in host demography and transmission, allows control to be efficiently optimized. Due to the strong interactions present, households are one of the most important heterogeneities to consider, both in terms of predicting epidemic severity and as a target for intervention. We consider these effects in the context of pandemic influenza in Great Britain, and find that there is significant local (ward-level) variation in the basic reproductive ratio, with some regions predicted to suffer 50% faster growth rate of infection than the mean. Childhood vaccination was shown to be highly effective at controlling an epidemic, generally outperforming random vaccination and substantially reducing the variation between regions; only nine out of over 10 000 wards did not obey this rule and these can be identified as demographically atypical regions. Since these benefits of childhood vaccination are a product of correlations between household size and number of dependent children in the household, our results are qualitatively robust for a variety of disease scenarios.","container-title":"Epidemiology and Infection","DOI":"10.1017/S0950268808001416","ISSN":"0950-2688, 1469-4409","issue":"5","journalAbbreviation":"Epidemiol. Infect.","language":"en","license":"https://www.cambridge.org/core/terms","page":"654-661","source":"DOI.org (Crossref)","title":"Household structure and infectious disease transmission","volume":"137","author":[{"family":"House","given":"T."},{"family":"Keeling","given":"M. J."}],"issued":{"date-parts":[["2009",5]]}}}],"schema":"https://github.com/citation-style-language/schema/raw/master/csl-citation.json"} </w:instrText>
      </w:r>
      <w:r w:rsidR="001846B1">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45</w:t>
      </w:r>
      <w:r w:rsidR="001846B1">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commentRangeStart w:id="25"/>
      <w:commentRangeStart w:id="26"/>
      <w:r w:rsidRPr="00CC2F84">
        <w:rPr>
          <w:rFonts w:ascii="Helvetica" w:hAnsi="Helvetica"/>
          <w:i w:val="0"/>
          <w:iCs w:val="0"/>
          <w:color w:val="auto"/>
          <w:sz w:val="22"/>
          <w:szCs w:val="22"/>
        </w:rPr>
        <w:t>We split the population at the household level into “agricultural workers” and “general community”, assuming the proportion of households belonging to agricultural workers was equal to the proportion of the working population involved in agricultural work according to the ACS data.</w:t>
      </w:r>
      <w:commentRangeEnd w:id="25"/>
      <w:r w:rsidR="00956CEE" w:rsidRPr="00CC2F84">
        <w:rPr>
          <w:rStyle w:val="CommentReference"/>
          <w:rFonts w:ascii="Helvetica" w:hAnsi="Helvetica"/>
          <w:color w:val="auto"/>
          <w:sz w:val="22"/>
          <w:szCs w:val="22"/>
        </w:rPr>
        <w:commentReference w:id="25"/>
      </w:r>
      <w:commentRangeEnd w:id="26"/>
      <w:r w:rsidRPr="00CC2F84">
        <w:rPr>
          <w:rStyle w:val="CommentReference"/>
          <w:rFonts w:ascii="Helvetica" w:hAnsi="Helvetica"/>
          <w:color w:val="auto"/>
          <w:sz w:val="22"/>
          <w:szCs w:val="22"/>
        </w:rPr>
        <w:commentReference w:id="26"/>
      </w:r>
    </w:p>
    <w:p w14:paraId="0B276374"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The model tracks the number of infections over time in the population, explicitly accounting for transmission within and between households of various sizes (</w:t>
      </w:r>
      <w:r w:rsidRPr="00CC2F84">
        <w:rPr>
          <w:rFonts w:ascii="Helvetica" w:hAnsi="Helvetica"/>
          <w:b/>
          <w:bCs/>
          <w:sz w:val="22"/>
          <w:szCs w:val="22"/>
        </w:rPr>
        <w:t>Supplementary Figure S1</w:t>
      </w:r>
      <w:r w:rsidRPr="00CC2F84">
        <w:rPr>
          <w:rFonts w:ascii="Helvetica" w:hAnsi="Helvetica"/>
          <w:sz w:val="22"/>
          <w:szCs w:val="22"/>
        </w:rPr>
        <w:t>). The transmission model has three main epidemiological parameters: the between-household transmission rate (</w:t>
      </w:r>
      <m:oMath>
        <m:r>
          <w:rPr>
            <w:rFonts w:ascii="Cambria Math" w:hAnsi="Cambria Math"/>
            <w:sz w:val="22"/>
            <w:szCs w:val="22"/>
          </w:rPr>
          <m:t>β</m:t>
        </m:r>
      </m:oMath>
      <w:r w:rsidRPr="00CC2F84">
        <w:rPr>
          <w:rFonts w:ascii="Helvetica" w:hAnsi="Helvetica"/>
          <w:sz w:val="22"/>
          <w:szCs w:val="22"/>
        </w:rPr>
        <w:t>), the within-household transmission rate (</w:t>
      </w:r>
      <m:oMath>
        <m:r>
          <w:rPr>
            <w:rFonts w:ascii="Cambria Math" w:hAnsi="Cambria Math"/>
            <w:sz w:val="22"/>
            <w:szCs w:val="22"/>
          </w:rPr>
          <m:t>τ</m:t>
        </m:r>
      </m:oMath>
      <w:r w:rsidRPr="00CC2F84">
        <w:rPr>
          <w:rFonts w:ascii="Helvetica" w:hAnsi="Helvetica"/>
          <w:sz w:val="22"/>
          <w:szCs w:val="22"/>
        </w:rPr>
        <w:t>), and the recovery rate (</w:t>
      </w:r>
      <m:oMath>
        <m:r>
          <w:rPr>
            <w:rFonts w:ascii="Cambria Math" w:hAnsi="Cambria Math"/>
            <w:sz w:val="22"/>
            <w:szCs w:val="22"/>
          </w:rPr>
          <m:t>γ</m:t>
        </m:r>
      </m:oMath>
      <w:r w:rsidRPr="00CC2F84">
        <w:rPr>
          <w:rFonts w:ascii="Helvetica" w:hAnsi="Helvetica"/>
          <w:sz w:val="22"/>
          <w:szCs w:val="22"/>
        </w:rPr>
        <w:t xml:space="preserve">). We allowed the within-household transmission rate </w:t>
      </w:r>
      <m:oMath>
        <m:r>
          <w:rPr>
            <w:rFonts w:ascii="Cambria Math" w:hAnsi="Cambria Math"/>
            <w:sz w:val="22"/>
            <w:szCs w:val="22"/>
          </w:rPr>
          <m:t>τ</m:t>
        </m:r>
      </m:oMath>
      <w:r w:rsidRPr="00CC2F84">
        <w:rPr>
          <w:rFonts w:ascii="Helvetica" w:hAnsi="Helvetica"/>
          <w:sz w:val="22"/>
          <w:szCs w:val="22"/>
        </w:rPr>
        <w:t xml:space="preserve"> to differ for uncrowded vs. crowded households.</w:t>
      </w:r>
    </w:p>
    <w:p w14:paraId="011F0055" w14:textId="781E19E8" w:rsidR="00AB7EBC" w:rsidRPr="00CC2F84" w:rsidRDefault="006B4661" w:rsidP="000C35A9">
      <w:pPr>
        <w:pStyle w:val="BodyText"/>
        <w:jc w:val="both"/>
        <w:rPr>
          <w:rFonts w:ascii="Helvetica" w:hAnsi="Helvetica"/>
          <w:sz w:val="22"/>
          <w:szCs w:val="22"/>
        </w:rPr>
      </w:pPr>
      <w:commentRangeStart w:id="27"/>
      <w:commentRangeStart w:id="28"/>
      <w:commentRangeStart w:id="29"/>
      <w:commentRangeStart w:id="30"/>
      <w:r w:rsidRPr="00CC2F84">
        <w:rPr>
          <w:rFonts w:ascii="Helvetica" w:hAnsi="Helvetica"/>
          <w:sz w:val="22"/>
          <w:szCs w:val="22"/>
        </w:rPr>
        <w:t xml:space="preserve">We assumed that mixing among agricultural workers (A) and the general community (C) was assortative, governed by an assortativity parameter </w:t>
      </w:r>
      <m:oMath>
        <m:r>
          <w:rPr>
            <w:rFonts w:ascii="Cambria Math" w:hAnsi="Cambria Math"/>
            <w:sz w:val="22"/>
            <w:szCs w:val="22"/>
          </w:rPr>
          <m:t>η</m:t>
        </m:r>
      </m:oMath>
      <w:r w:rsidR="00732F2B">
        <w:rPr>
          <w:rFonts w:ascii="Helvetica" w:hAnsi="Helvetica"/>
          <w:sz w:val="22"/>
          <w:szCs w:val="22"/>
        </w:rPr>
        <w:t>, where</w:t>
      </w:r>
      <w:r w:rsidR="00732F2B" w:rsidRPr="00CC2F84">
        <w:rPr>
          <w:rFonts w:ascii="Helvetica" w:hAnsi="Helvetica"/>
          <w:sz w:val="22"/>
          <w:szCs w:val="22"/>
        </w:rPr>
        <w:t xml:space="preserv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00732F2B" w:rsidRPr="00CC2F84">
        <w:rPr>
          <w:rFonts w:ascii="Helvetica" w:hAnsi="Helvetica"/>
          <w:sz w:val="22"/>
          <w:szCs w:val="22"/>
        </w:rPr>
        <w:t xml:space="preserve"> implies completely assortative mixing and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732F2B" w:rsidRPr="00CC2F84">
        <w:rPr>
          <w:rFonts w:ascii="Helvetica" w:hAnsi="Helvetica"/>
          <w:sz w:val="22"/>
          <w:szCs w:val="22"/>
        </w:rPr>
        <w:t xml:space="preserve"> implies mixing proportional to each sub-population’s size</w:t>
      </w:r>
      <w:r w:rsidRPr="00CC2F84">
        <w:rPr>
          <w:rFonts w:ascii="Helvetica" w:hAnsi="Helvetica"/>
          <w:sz w:val="22"/>
          <w:szCs w:val="22"/>
        </w:rPr>
        <w:t xml:space="preserve">. </w:t>
      </w:r>
      <w:r w:rsidR="00093B6A">
        <w:rPr>
          <w:rFonts w:ascii="Helvetica" w:hAnsi="Helvetica"/>
          <w:sz w:val="22"/>
          <w:szCs w:val="22"/>
        </w:rPr>
        <w:t xml:space="preserve">Following standard </w:t>
      </w:r>
      <w:r w:rsidR="00ED4398">
        <w:rPr>
          <w:rFonts w:ascii="Helvetica" w:hAnsi="Helvetica"/>
          <w:sz w:val="22"/>
          <w:szCs w:val="22"/>
        </w:rPr>
        <w:t>practice for disease transmission modeling in structured populations,</w:t>
      </w:r>
      <w:r w:rsidR="001846B1">
        <w:rPr>
          <w:rFonts w:ascii="Helvetica" w:hAnsi="Helvetica"/>
          <w:sz w:val="22"/>
          <w:szCs w:val="22"/>
        </w:rPr>
        <w:fldChar w:fldCharType="begin"/>
      </w:r>
      <w:r w:rsidR="00BE3D78">
        <w:rPr>
          <w:rFonts w:ascii="Helvetica" w:hAnsi="Helvetica"/>
          <w:sz w:val="22"/>
          <w:szCs w:val="22"/>
        </w:rPr>
        <w:instrText xml:space="preserve"> ADDIN ZOTERO_ITEM CSL_CITATION {"citationID":"WItSnJ15","properties":{"formattedCitation":"\\super 46\\nosupersub{}","plainCitation":"46","noteIndex":0},"citationItems":[{"id":3179,"uris":["http://zotero.org/users/10934876/items/5RDKGDTY"],"itemData":{"id":3179,"type":"article-journal","container-title":"Mathematical Biosciences","DOI":"10.1016/j.mbs.2011.10.001","ISSN":"00255564","issue":"1","journalAbbreviation":"Mathematical Biosciences","language":"en","license":"https://www.elsevier.com/tdm/userlicense/1.0/","page":"1-7","source":"DOI.org (Crossref)","title":"Mixing in age-structured population models of infectious diseases","volume":"235","author":[{"family":"Glasser","given":"John"},{"family":"Feng","given":"Zhilan"},{"family":"Moylan","given":"Andrew"},{"family":"Del Valle","given":"Sara"},{"family":"Castillo-Chavez","given":"Carlos"}],"issued":{"date-parts":[["2012",1]]}}}],"schema":"https://github.com/citation-style-language/schema/raw/master/csl-citation.json"} </w:instrText>
      </w:r>
      <w:r w:rsidR="001846B1">
        <w:rPr>
          <w:rFonts w:ascii="Helvetica" w:hAnsi="Helvetica"/>
          <w:sz w:val="22"/>
          <w:szCs w:val="22"/>
        </w:rPr>
        <w:fldChar w:fldCharType="separate"/>
      </w:r>
      <w:r w:rsidR="00BE3D78" w:rsidRPr="00BE3D78">
        <w:rPr>
          <w:rFonts w:ascii="Helvetica" w:hAnsi="Helvetica" w:cs="Times New Roman"/>
          <w:sz w:val="22"/>
          <w:vertAlign w:val="superscript"/>
        </w:rPr>
        <w:t>46</w:t>
      </w:r>
      <w:r w:rsidR="001846B1">
        <w:rPr>
          <w:rFonts w:ascii="Helvetica" w:hAnsi="Helvetica"/>
          <w:sz w:val="22"/>
          <w:szCs w:val="22"/>
        </w:rPr>
        <w:fldChar w:fldCharType="end"/>
      </w:r>
      <w:r w:rsidR="00ED4398">
        <w:rPr>
          <w:rFonts w:ascii="Helvetica" w:hAnsi="Helvetica"/>
          <w:sz w:val="22"/>
          <w:szCs w:val="22"/>
        </w:rPr>
        <w:t xml:space="preserve"> </w:t>
      </w:r>
      <w:r w:rsidR="00093B6A">
        <w:rPr>
          <w:rFonts w:ascii="Helvetica" w:hAnsi="Helvetica"/>
          <w:sz w:val="22"/>
          <w:szCs w:val="22"/>
        </w:rPr>
        <w:t>w</w:t>
      </w:r>
      <w:r w:rsidRPr="00CC2F84">
        <w:rPr>
          <w:rFonts w:ascii="Helvetica" w:hAnsi="Helvetica"/>
          <w:sz w:val="22"/>
          <w:szCs w:val="22"/>
        </w:rPr>
        <w:t xml:space="preserve">e modeled </w:t>
      </w:r>
      <w:r w:rsidR="00ED4398">
        <w:rPr>
          <w:rFonts w:ascii="Helvetica" w:hAnsi="Helvetica"/>
          <w:sz w:val="22"/>
          <w:szCs w:val="22"/>
        </w:rPr>
        <w:t>these interactions</w:t>
      </w:r>
      <w:r w:rsidRPr="00CC2F84">
        <w:rPr>
          <w:rFonts w:ascii="Helvetica" w:hAnsi="Helvetica"/>
          <w:sz w:val="22"/>
          <w:szCs w:val="22"/>
        </w:rPr>
        <w:t xml:space="preserve"> using the mixing matrix</w:t>
      </w:r>
      <w:commentRangeEnd w:id="27"/>
      <w:r w:rsidR="00956CEE" w:rsidRPr="00CC2F84">
        <w:rPr>
          <w:rStyle w:val="CommentReference"/>
          <w:rFonts w:ascii="Helvetica" w:hAnsi="Helvetica"/>
          <w:sz w:val="22"/>
          <w:szCs w:val="22"/>
        </w:rPr>
        <w:commentReference w:id="27"/>
      </w:r>
      <w:commentRangeEnd w:id="28"/>
      <w:r w:rsidRPr="00CC2F84">
        <w:rPr>
          <w:rStyle w:val="CommentReference"/>
          <w:rFonts w:ascii="Helvetica" w:hAnsi="Helvetica"/>
          <w:sz w:val="22"/>
          <w:szCs w:val="22"/>
        </w:rPr>
        <w:commentReference w:id="28"/>
      </w:r>
      <w:commentRangeEnd w:id="29"/>
      <w:r w:rsidRPr="00CC2F84">
        <w:rPr>
          <w:rStyle w:val="CommentReference"/>
          <w:rFonts w:ascii="Helvetica" w:hAnsi="Helvetica"/>
          <w:sz w:val="22"/>
          <w:szCs w:val="22"/>
        </w:rPr>
        <w:commentReference w:id="29"/>
      </w:r>
      <w:commentRangeEnd w:id="30"/>
      <w:r w:rsidRPr="00CC2F84">
        <w:rPr>
          <w:rStyle w:val="CommentReference"/>
          <w:rFonts w:ascii="Helvetica" w:hAnsi="Helvetica"/>
          <w:sz w:val="22"/>
          <w:szCs w:val="22"/>
        </w:rPr>
        <w:commentReference w:id="30"/>
      </w:r>
    </w:p>
    <w:p w14:paraId="1D5C7048" w14:textId="77777777" w:rsidR="00AB7EBC" w:rsidRPr="00CC2F84" w:rsidRDefault="006B4661">
      <w:pPr>
        <w:pStyle w:val="BodyText"/>
        <w:rPr>
          <w:rFonts w:ascii="Helvetica" w:hAnsi="Helvetica"/>
        </w:rPr>
      </w:pPr>
      <m:oMathPara>
        <m:oMathParaPr>
          <m:jc m:val="center"/>
        </m:oMathParaPr>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CC</m:t>
                        </m:r>
                      </m:sub>
                    </m:sSub>
                  </m:e>
                  <m:e>
                    <m:sSub>
                      <m:sSubPr>
                        <m:ctrlPr>
                          <w:rPr>
                            <w:rFonts w:ascii="Cambria Math" w:hAnsi="Cambria Math"/>
                          </w:rPr>
                        </m:ctrlPr>
                      </m:sSubPr>
                      <m:e>
                        <m:r>
                          <w:rPr>
                            <w:rFonts w:ascii="Cambria Math" w:hAnsi="Cambria Math"/>
                          </w:rPr>
                          <m:t>m</m:t>
                        </m:r>
                      </m:e>
                      <m:sub>
                        <m:r>
                          <w:rPr>
                            <w:rFonts w:ascii="Cambria Math" w:hAnsi="Cambria Math"/>
                          </w:rPr>
                          <m:t>CA</m:t>
                        </m:r>
                      </m:sub>
                    </m:sSub>
                  </m:e>
                </m:mr>
                <m:mr>
                  <m:e>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AC</m:t>
                        </m:r>
                      </m:sub>
                    </m:sSub>
                  </m:e>
                  <m:e>
                    <m:sSub>
                      <m:sSubPr>
                        <m:ctrlPr>
                          <w:rPr>
                            <w:rFonts w:ascii="Cambria Math" w:hAnsi="Cambria Math"/>
                          </w:rPr>
                        </m:ctrlPr>
                      </m:sSubPr>
                      <m:e>
                        <m:r>
                          <w:rPr>
                            <w:rFonts w:ascii="Cambria Math" w:hAnsi="Cambria Math"/>
                          </w:rPr>
                          <m:t>m</m:t>
                        </m:r>
                      </m:e>
                      <m:sub>
                        <m:r>
                          <w:rPr>
                            <w:rFonts w:ascii="Cambria Math" w:hAnsi="Cambria Math"/>
                          </w:rPr>
                          <m:t>AA</m:t>
                        </m:r>
                      </m:sub>
                    </m:sSub>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r>
                  <m:e>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
            </m:e>
          </m:d>
        </m:oMath>
      </m:oMathPara>
    </w:p>
    <w:p w14:paraId="7E4C44DC" w14:textId="77777777" w:rsidR="00AB7EBC" w:rsidRPr="00CC2F84" w:rsidRDefault="006B4661" w:rsidP="000C35A9">
      <w:pPr>
        <w:pStyle w:val="FirstParagraph"/>
        <w:jc w:val="both"/>
        <w:rPr>
          <w:rFonts w:ascii="Helvetica" w:hAnsi="Helvetica"/>
          <w:sz w:val="22"/>
          <w:szCs w:val="22"/>
        </w:rPr>
      </w:pPr>
      <w:r w:rsidRPr="00CC2F84">
        <w:rPr>
          <w:rFonts w:ascii="Helvetica" w:hAnsi="Helvetica"/>
          <w:sz w:val="22"/>
          <w:szCs w:val="22"/>
        </w:rPr>
        <w:t xml:space="preserve">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oMath>
      <w:r w:rsidRPr="00CC2F84">
        <w:rPr>
          <w:rFonts w:ascii="Helvetica" w:hAnsi="Helvetica"/>
          <w:sz w:val="22"/>
          <w:szCs w:val="22"/>
        </w:rPr>
        <w:t xml:space="preserve"> is the fraction of the region’s population made up by the general community and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Pr="00CC2F84">
        <w:rPr>
          <w:rFonts w:ascii="Helvetica" w:hAnsi="Helvetica"/>
          <w:sz w:val="22"/>
          <w:szCs w:val="22"/>
        </w:rPr>
        <w:t xml:space="preserve"> is the fraction of the population made up by agricultural workers. This matrix modulates the between-household force of infection </w:t>
      </w:r>
      <m:oMath>
        <m:r>
          <w:rPr>
            <w:rFonts w:ascii="Cambria Math" w:hAnsi="Cambria Math"/>
            <w:sz w:val="22"/>
            <w:szCs w:val="22"/>
          </w:rPr>
          <m:t>λ</m:t>
        </m:r>
      </m:oMath>
      <w:r w:rsidRPr="00CC2F84">
        <w:rPr>
          <w:rFonts w:ascii="Helvetica" w:hAnsi="Helvetica"/>
          <w:sz w:val="22"/>
          <w:szCs w:val="22"/>
        </w:rPr>
        <w:t xml:space="preserve"> experienced by each population such that</w:t>
      </w:r>
    </w:p>
    <w:p w14:paraId="4EFA94EF" w14:textId="77777777" w:rsidR="00AB7EBC" w:rsidRPr="00CC2F84" w:rsidRDefault="00000000">
      <w:pPr>
        <w:pStyle w:val="BodyText"/>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C</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7E30715B" w14:textId="77777777" w:rsidR="00AB7EBC" w:rsidRPr="00CC2F84" w:rsidRDefault="00000000">
      <w:pPr>
        <w:pStyle w:val="FirstParagraph"/>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A</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57D7B23D" w14:textId="30994CCC" w:rsidR="00B3133B" w:rsidRPr="00B3133B" w:rsidRDefault="006B4661" w:rsidP="00B06118">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i</m:t>
            </m:r>
          </m:sub>
        </m:sSub>
      </m:oMath>
      <w:r w:rsidRPr="00CC2F84">
        <w:rPr>
          <w:rFonts w:ascii="Helvetica" w:hAnsi="Helvetica"/>
          <w:sz w:val="22"/>
          <w:szCs w:val="22"/>
        </w:rPr>
        <w:t xml:space="preserve"> is the between-household force of infection for members of sub-population </w:t>
      </w:r>
      <m:oMath>
        <m:r>
          <w:rPr>
            <w:rFonts w:ascii="Cambria Math" w:hAnsi="Cambria Math"/>
            <w:sz w:val="22"/>
            <w:szCs w:val="22"/>
          </w:rPr>
          <m:t>i</m:t>
        </m:r>
      </m:oMath>
      <w:r w:rsidRPr="00CC2F84">
        <w:rPr>
          <w:rFonts w:ascii="Helvetica" w:hAnsi="Helvetica"/>
          <w:sz w:val="22"/>
          <w:szCs w:val="22"/>
        </w:rPr>
        <w:t xml:space="preserve">, </w:t>
      </w:r>
      <m:oMath>
        <m:r>
          <w:rPr>
            <w:rFonts w:ascii="Cambria Math" w:hAnsi="Cambria Math"/>
            <w:sz w:val="22"/>
            <w:szCs w:val="22"/>
          </w:rPr>
          <m:t>β</m:t>
        </m:r>
      </m:oMath>
      <w:r w:rsidRPr="00CC2F84">
        <w:rPr>
          <w:rFonts w:ascii="Helvetica" w:hAnsi="Helvetica"/>
          <w:sz w:val="22"/>
          <w:szCs w:val="22"/>
        </w:rPr>
        <w:t xml:space="preserve"> is the between-household transmission constant, and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i</m:t>
            </m:r>
          </m:sub>
        </m:sSub>
      </m:oMath>
      <w:r w:rsidRPr="00CC2F84">
        <w:rPr>
          <w:rFonts w:ascii="Helvetica" w:hAnsi="Helvetica"/>
          <w:sz w:val="22"/>
          <w:szCs w:val="22"/>
        </w:rPr>
        <w:t xml:space="preserve"> is the proportion of infectious individuals in sub-population </w:t>
      </w:r>
      <m:oMath>
        <m:r>
          <w:rPr>
            <w:rFonts w:ascii="Cambria Math" w:hAnsi="Cambria Math"/>
            <w:sz w:val="22"/>
            <w:szCs w:val="22"/>
          </w:rPr>
          <m:t>i.</m:t>
        </m:r>
      </m:oMath>
    </w:p>
    <w:p w14:paraId="104BD66B"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Besides the impact of household size, household crowding, and assortative mixing, we did not assume any additional differences in transmission rates between the two sub-populations. For full details on the model structure, see the </w:t>
      </w:r>
      <w:r w:rsidRPr="00CC2F84">
        <w:rPr>
          <w:rFonts w:ascii="Helvetica" w:hAnsi="Helvetica"/>
          <w:b/>
          <w:bCs/>
          <w:sz w:val="22"/>
          <w:szCs w:val="22"/>
        </w:rPr>
        <w:t>Supplementary Methods.</w:t>
      </w:r>
    </w:p>
    <w:p w14:paraId="2B4356C6" w14:textId="03FFBB3C" w:rsidR="00AB7EBC" w:rsidRPr="00267447" w:rsidRDefault="41E6E89B" w:rsidP="2687C85F">
      <w:pPr>
        <w:pStyle w:val="Heading4"/>
        <w:jc w:val="both"/>
        <w:rPr>
          <w:rFonts w:ascii="Helvetica" w:hAnsi="Helvetica"/>
          <w:i w:val="0"/>
          <w:iCs w:val="0"/>
          <w:color w:val="auto"/>
          <w:sz w:val="22"/>
          <w:szCs w:val="22"/>
        </w:rPr>
      </w:pPr>
      <w:bookmarkStart w:id="31" w:name="model-parameterization"/>
      <w:bookmarkEnd w:id="22"/>
      <w:r w:rsidRPr="00CC2F84">
        <w:rPr>
          <w:rFonts w:ascii="Helvetica" w:hAnsi="Helvetica"/>
          <w:color w:val="auto"/>
          <w:sz w:val="22"/>
          <w:szCs w:val="22"/>
        </w:rPr>
        <w:t>Model parameterization</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Following previous methods,</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{"citationID":"4xfJTab9","properties":{"formattedCitation":"\\super 45\\nosupersub{}","plainCitation":"45","noteIndex":0},"citationItems":[{"id":3177,"uris":["http://zotero.org/users/10934876/items/2388WDIA"],"itemData":{"id":3177,"type":"article-journal","abstract":"SUMMARY\n            One of the central tenets of modern infectious disease epidemiology is that an understanding of heterogeneities, both in host demography and transmission, allows control to be efficiently optimized. Due to the strong interactions present, households are one of the most important heterogeneities to consider, both in terms of predicting epidemic severity and as a target for intervention. We consider these effects in the context of pandemic influenza in Great Britain, and find that there is significant local (ward-level) variation in the basic reproductive ratio, with some regions predicted to suffer 50% faster growth rate of infection than the mean. Childhood vaccination was shown to be highly effective at controlling an epidemic, generally outperforming random vaccination and substantially reducing the variation between regions; only nine out of over 10 000 wards did not obey this rule and these can be identified as demographically atypical regions. Since these benefits of childhood vaccination are a product of correlations between household size and number of dependent children in the household, our results are qualitatively robust for a variety of disease scenarios.","container-title":"Epidemiology and Infection","DOI":"10.1017/S0950268808001416","ISSN":"0950-2688, 1469-4409","issue":"5","journalAbbreviation":"Epidemiol. Infect.","language":"en","license":"https://www.cambridge.org/core/terms","page":"654-661","source":"DOI.org (Crossref)","title":"Household structure and infectious disease transmission","volume":"137","author":[{"family":"House","given":"T."},{"family":"Keeling","given":"M. J."}],"issued":{"date-parts":[["2009",5]]}}}],"schema":"https://github.com/citation-style-language/schema/raw/master/csl-citation.json"}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45</w:t>
      </w:r>
      <w:r w:rsidR="00242EFF">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commentRangeStart w:id="32"/>
      <w:commentRangeStart w:id="33"/>
      <w:r w:rsidRPr="00CC2F84">
        <w:rPr>
          <w:rFonts w:ascii="Helvetica" w:hAnsi="Helvetica"/>
          <w:i w:val="0"/>
          <w:iCs w:val="0"/>
          <w:color w:val="auto"/>
          <w:sz w:val="22"/>
          <w:szCs w:val="22"/>
        </w:rPr>
        <w:t xml:space="preserve">we began by fixing the recovery rate </w:t>
      </w:r>
      <m:oMath>
        <m:r>
          <w:rPr>
            <w:rFonts w:ascii="Cambria Math" w:hAnsi="Cambria Math"/>
            <w:color w:val="auto"/>
            <w:sz w:val="22"/>
            <w:szCs w:val="22"/>
          </w:rPr>
          <m:t>γ=1</m:t>
        </m:r>
        <m:r>
          <m:rPr>
            <m:lit/>
          </m:rPr>
          <w:rPr>
            <w:rFonts w:ascii="Cambria Math" w:hAnsi="Cambria Math"/>
            <w:color w:val="auto"/>
            <w:sz w:val="22"/>
            <w:szCs w:val="22"/>
          </w:rPr>
          <m:t>/</m:t>
        </m:r>
        <m:r>
          <w:rPr>
            <w:rFonts w:ascii="Cambria Math" w:hAnsi="Cambria Math"/>
            <w:color w:val="auto"/>
            <w:sz w:val="22"/>
            <w:szCs w:val="22"/>
          </w:rPr>
          <m:t>5</m:t>
        </m:r>
      </m:oMath>
      <w:commentRangeEnd w:id="32"/>
      <w:r w:rsidR="00956CEE" w:rsidRPr="00CC2F84">
        <w:rPr>
          <w:rStyle w:val="CommentReference"/>
          <w:rFonts w:ascii="Helvetica" w:hAnsi="Helvetica"/>
          <w:i w:val="0"/>
          <w:iCs w:val="0"/>
          <w:color w:val="auto"/>
          <w:sz w:val="22"/>
          <w:szCs w:val="22"/>
        </w:rPr>
        <w:commentReference w:id="32"/>
      </w:r>
      <w:commentRangeEnd w:id="33"/>
      <w:r w:rsidR="0034347F" w:rsidRPr="00CC2F84">
        <w:rPr>
          <w:rStyle w:val="CommentReference"/>
          <w:rFonts w:ascii="Helvetica" w:hAnsi="Helvetica"/>
          <w:i w:val="0"/>
          <w:iCs w:val="0"/>
          <w:color w:val="auto"/>
          <w:sz w:val="22"/>
          <w:szCs w:val="22"/>
        </w:rPr>
        <w:commentReference w:id="33"/>
      </w:r>
      <w:r w:rsidRPr="00CC2F84">
        <w:rPr>
          <w:rFonts w:ascii="Helvetica" w:hAnsi="Helvetica"/>
          <w:i w:val="0"/>
          <w:iCs w:val="0"/>
          <w:color w:val="auto"/>
          <w:sz w:val="22"/>
          <w:szCs w:val="22"/>
        </w:rPr>
        <w:t>, which corresponds to a mean infectious period of 5 days, consistent with the infectious period of influenza.</w:t>
      </w:r>
      <w:r w:rsidR="00261DB5">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{"citationID":"mM1ucAHj","properties":{"formattedCitation":"\\super 47\\nosupersub{}","plainCitation":"47","noteIndex":0},"citationItems":[{"id":3180,"uris":["http://zotero.org/users/10934876/items/8UVPY9KI"],"itemData":{"id":3180,"type":"report","collection-title":"Influenza (Flu)","publisher":"Centers for Disease Control and Prevention","publisher-place":"Atlanta","title":"How Flu Spreads","URL":"https://www.cdc.gov/flu/spread/index.html","author":[{"literal":"Centers for Disease Control and Prevention"}],"accessed":{"date-parts":[["2026",3,18]]},"issued":{"date-parts":[["2024",9,17]]}}}],"schema":"https://github.com/citation-style-language/schema/raw/master/csl-citation.json"} </w:instrText>
      </w:r>
      <w:r w:rsidR="00261DB5">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47</w:t>
      </w:r>
      <w:r w:rsidR="00261DB5">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00787C0D">
        <w:rPr>
          <w:rFonts w:ascii="Helvetica" w:hAnsi="Helvetica"/>
          <w:i w:val="0"/>
          <w:iCs w:val="0"/>
          <w:color w:val="auto"/>
          <w:sz w:val="22"/>
          <w:szCs w:val="22"/>
        </w:rPr>
        <w:t>In sensitivity analyses, we considered infections periods between 3 and 10 days</w:t>
      </w:r>
      <w:r w:rsidR="00267447">
        <w:rPr>
          <w:rFonts w:ascii="Helvetica" w:hAnsi="Helvetica"/>
          <w:i w:val="0"/>
          <w:iCs w:val="0"/>
          <w:color w:val="auto"/>
          <w:sz w:val="22"/>
          <w:szCs w:val="22"/>
        </w:rPr>
        <w:t xml:space="preserve"> (</w:t>
      </w:r>
      <m:oMath>
        <m:r>
          <m:rPr>
            <m:sty m:val="p"/>
          </m:rPr>
          <w:rPr>
            <w:rFonts w:ascii="Cambria Math" w:hAnsi="Cambria Math"/>
            <w:color w:val="auto"/>
            <w:sz w:val="22"/>
            <w:szCs w:val="22"/>
          </w:rPr>
          <m:t>γ</m:t>
        </m:r>
        <m:r>
          <m:rPr>
            <m:sty m:val="p"/>
          </m:rPr>
          <w:rPr>
            <w:rFonts w:ascii="Cambria Math" w:hAnsi="Cambria Math" w:hint="eastAsia"/>
            <w:color w:val="auto"/>
            <w:sz w:val="22"/>
            <w:szCs w:val="22"/>
          </w:rPr>
          <m:t>∈</m:t>
        </m:r>
        <m:r>
          <m:rPr>
            <m:lit/>
          </m:rPr>
          <w:rPr>
            <w:rFonts w:ascii="Cambria Math" w:hAnsi="Cambria Math"/>
            <w:color w:val="auto"/>
            <w:sz w:val="22"/>
            <w:szCs w:val="22"/>
          </w:rPr>
          <m:t>{</m:t>
        </m:r>
        <m:f>
          <m:fPr>
            <m:ctrlPr>
              <w:rPr>
                <w:rFonts w:ascii="Cambria Math" w:hAnsi="Cambria Math"/>
                <w:i w:val="0"/>
                <w:iCs w:val="0"/>
                <w:color w:val="auto"/>
                <w:sz w:val="22"/>
                <w:szCs w:val="22"/>
              </w:rPr>
            </m:ctrlPr>
          </m:fPr>
          <m:num>
            <m:r>
              <w:rPr>
                <w:rFonts w:ascii="Cambria Math" w:hAnsi="Cambria Math"/>
                <w:color w:val="auto"/>
                <w:sz w:val="22"/>
                <w:szCs w:val="22"/>
              </w:rPr>
              <m:t>1</m:t>
            </m:r>
            <m:ctrlPr>
              <w:rPr>
                <w:rFonts w:ascii="Cambria Math" w:hAnsi="Cambria Math"/>
                <w:iCs w:val="0"/>
                <w:color w:val="auto"/>
                <w:sz w:val="22"/>
                <w:szCs w:val="22"/>
              </w:rPr>
            </m:ctrlPr>
          </m:num>
          <m:den>
            <m:r>
              <w:rPr>
                <w:rFonts w:ascii="Cambria Math" w:hAnsi="Cambria Math"/>
                <w:color w:val="auto"/>
                <w:sz w:val="22"/>
                <w:szCs w:val="22"/>
              </w:rPr>
              <m:t>3</m:t>
            </m:r>
            <m:ctrlPr>
              <w:rPr>
                <w:rFonts w:ascii="Cambria Math" w:hAnsi="Cambria Math"/>
                <w:iCs w:val="0"/>
                <w:color w:val="auto"/>
                <w:sz w:val="22"/>
                <w:szCs w:val="22"/>
              </w:rPr>
            </m:ctrlPr>
          </m:den>
        </m:f>
        <m:r>
          <w:rPr>
            <w:rFonts w:ascii="Cambria Math" w:hAnsi="Cambria Math"/>
            <w:color w:val="auto"/>
            <w:sz w:val="22"/>
            <w:szCs w:val="22"/>
          </w:rPr>
          <m:t>,</m:t>
        </m:r>
        <m:f>
          <m:fPr>
            <m:ctrlPr>
              <w:rPr>
                <w:rFonts w:ascii="Cambria Math" w:hAnsi="Cambria Math"/>
                <w:i w:val="0"/>
                <w:iCs w:val="0"/>
                <w:color w:val="auto"/>
                <w:sz w:val="22"/>
                <w:szCs w:val="22"/>
              </w:rPr>
            </m:ctrlPr>
          </m:fPr>
          <m:num>
            <m:r>
              <w:rPr>
                <w:rFonts w:ascii="Cambria Math" w:hAnsi="Cambria Math"/>
                <w:color w:val="auto"/>
                <w:sz w:val="22"/>
                <w:szCs w:val="22"/>
              </w:rPr>
              <m:t>1</m:t>
            </m:r>
            <m:ctrlPr>
              <w:rPr>
                <w:rFonts w:ascii="Cambria Math" w:hAnsi="Cambria Math"/>
                <w:iCs w:val="0"/>
                <w:color w:val="auto"/>
                <w:sz w:val="22"/>
                <w:szCs w:val="22"/>
              </w:rPr>
            </m:ctrlPr>
          </m:num>
          <m:den>
            <m:r>
              <w:rPr>
                <w:rFonts w:ascii="Cambria Math" w:hAnsi="Cambria Math"/>
                <w:color w:val="auto"/>
                <w:sz w:val="22"/>
                <w:szCs w:val="22"/>
              </w:rPr>
              <m:t>10</m:t>
            </m:r>
            <m:ctrlPr>
              <w:rPr>
                <w:rFonts w:ascii="Cambria Math" w:hAnsi="Cambria Math"/>
                <w:iCs w:val="0"/>
                <w:color w:val="auto"/>
                <w:sz w:val="22"/>
                <w:szCs w:val="22"/>
              </w:rPr>
            </m:ctrlPr>
          </m:den>
        </m:f>
        <m:r>
          <m:rPr>
            <m:lit/>
          </m:rPr>
          <w:rPr>
            <w:rFonts w:ascii="Cambria Math" w:hAnsi="Cambria Math"/>
            <w:color w:val="auto"/>
            <w:sz w:val="22"/>
            <w:szCs w:val="22"/>
          </w:rPr>
          <m:t>}</m:t>
        </m:r>
      </m:oMath>
      <w:r w:rsidR="00267447">
        <w:rPr>
          <w:rFonts w:ascii="Helvetica" w:hAnsi="Helvetica"/>
          <w:i w:val="0"/>
          <w:iCs w:val="0"/>
          <w:color w:val="auto"/>
          <w:sz w:val="22"/>
          <w:szCs w:val="22"/>
        </w:rPr>
        <w:t>)</w:t>
      </w:r>
      <w:r w:rsidR="00787C0D">
        <w:rPr>
          <w:rFonts w:ascii="Helvetica" w:hAnsi="Helvetica"/>
          <w:i w:val="0"/>
          <w:iCs w:val="0"/>
          <w:color w:val="auto"/>
          <w:sz w:val="22"/>
          <w:szCs w:val="22"/>
        </w:rPr>
        <w:t xml:space="preserve">. </w:t>
      </w:r>
      <w:r w:rsidRPr="00CC2F84">
        <w:rPr>
          <w:rFonts w:ascii="Helvetica" w:hAnsi="Helvetica"/>
          <w:i w:val="0"/>
          <w:iCs w:val="0"/>
          <w:color w:val="auto"/>
          <w:sz w:val="22"/>
          <w:szCs w:val="22"/>
        </w:rPr>
        <w:t xml:space="preserve">Then, given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the household secondary attack rate (SAR)</w:t>
      </w:r>
      <w:r w:rsidR="6A9375E9" w:rsidRPr="00CC2F84">
        <w:rPr>
          <w:rFonts w:ascii="Helvetica" w:hAnsi="Helvetica"/>
          <w:i w:val="0"/>
          <w:iCs w:val="0"/>
          <w:color w:val="auto"/>
          <w:sz w:val="22"/>
          <w:szCs w:val="22"/>
        </w:rPr>
        <w:t xml:space="preserve"> (i.e., the probability that a household contact of an infected index case becomes infected themselves)</w:t>
      </w:r>
      <w:r w:rsidRPr="00CC2F84">
        <w:rPr>
          <w:rFonts w:ascii="Helvetica" w:hAnsi="Helvetica"/>
          <w:i w:val="0"/>
          <w:iCs w:val="0"/>
          <w:color w:val="auto"/>
          <w:sz w:val="22"/>
          <w:szCs w:val="22"/>
        </w:rPr>
        <w:t xml:space="preserve">, we derived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w:t>
      </w:r>
      <w:r w:rsidRPr="00CC2F84">
        <w:rPr>
          <w:rFonts w:ascii="Helvetica" w:hAnsi="Helvetica"/>
          <w:i w:val="0"/>
          <w:iCs w:val="0"/>
          <w:color w:val="auto"/>
          <w:sz w:val="22"/>
          <w:szCs w:val="22"/>
        </w:rPr>
        <w:t>). We set the SAR for uncrowded households at 20%, following estimates for influenza.</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{"citationID":"AC08fnHI","properties":{"formattedCitation":"\\super 48\\uc0\\u8211{}50\\nosupersub{}","plainCitation":"48–50","noteIndex":0},"citationItems":[{"id":3181,"uris":["http://zotero.org/users/10934876/items/A4VKP67E"],"itemData":{"id":3181,"type":"article-journal","container-title":"Trends in Microbiology","DOI":"10.1016/j.tim.2015.10.012","ISSN":"0966842X","issue":"2","journalAbbreviation":"Trends in Microbiology","language":"en","page":"123-133","source":"DOI.org (Crossref)","title":"Household Transmission of Influenza Virus","volume":"24","author":[{"family":"Tsang","given":"Tim K."},{"family":"Lau","given":"Lincoln L.H."},{"family":"Cauchemez","given":"Simon"},{"family":"Cowling","given":"Benjamin J."}],"issued":{"date-parts":[["2016",2]]}}},{"id":3183,"uris":["http://zotero.org/users/10934876/items/Y4R2MBB8"],"itemData":{"id":3183,"type":"article-journal","container-title":"PLoS ONE","DOI":"10.1371/journal.pone.0108485","ISSN":"1932-6203","issue":"9","journalAbbreviation":"PLoS ONE","language":"en","page":"e108485","source":"DOI.org (Crossref)","title":"Household Transmission of Influenza A(H1N1)pdm09 in the Pandemic and Post-Pandemic Seasons","volume":"9","author":[{"family":"Casado","given":"Itziar"},{"family":"Martínez-Baz","given":"Iván"},{"family":"Burgui","given":"Rosana"},{"family":"Irisarri","given":"Fátima"},{"family":"Arriazu","given":"Maite"},{"family":"Elía","given":"Fernando"},{"family":"Navascués","given":"Ana"},{"family":"Ezpeleta","given":"Carmen"},{"family":"Aldaz","given":"Pablo"},{"family":"Castilla","given":"Jesús"},{"literal":"the Primary Health Care Sentinel Network of Navarra"}],"editor":[{"family":"Chowell","given":"Gerardo"}],"issued":{"date-parts":[["2014",9,25]]}}},{"id":3185,"uris":["http://zotero.org/users/10934876/items/QBWN9PXM"],"itemData":{"id":3185,"type":"article-journal","abstract":"Importance\n              Influenza vaccine effectiveness (VE) is commonly assessed against prevention of illness that requires medical attention. Few studies have evaluated VE against secondary influenza infections.\n            \n            \n              Objective\n              To determine the estimated effectiveness of influenza vaccines in preventing secondary infections after influenza was introduced into households.\n            \n            \n              Design, Settings, and Participants\n              During 3 consecutive influenza seasons (2017-2020), primary cases (the first household members with laboratory-confirmed influenza) and their household contacts in Tennessee and Wisconsin were enrolled into a prospective case-ascertained household transmission cohort study. Participants collected daily symptom diaries and nasal swabs for up to 7 days. Data were analyzed from September 2022 to February 2024.\n            \n            \n              Exposures\n              Vaccination history, self-reported and verified through review of medical and registry records.\n            \n            \n              Main Outcomes and Measures\n              Specimens were tested using reverse transcription-polymerase chain reaction to determine influenza infection. Longitudinal chain binomial models were used to estimate secondary infection risk and the effectiveness of influenza vaccines in preventing infection among household contacts overall and by virus type and subtype and/or lineage.\n            \n            \n              Results\n              The analysis included 699 primary cases and 1581 household contacts. The median (IQR) age of the primary cases was 13 (7-38) years, 381 (54.5%) were female, 60 (8.6%) were Hispanic, 46 (6.6%) were non-Hispanic Black, 553 (79.1%) were Non-Hispanic White, and 343 (49.1%) were vaccinated. Among household contacts, the median age was 31 (10-41) years, 833 (52.7%) were female, 116 (7.3%) were Hispanic, 78 (4.9%) were non-Hispanic Black, 1283 (81.2%) were non-Hispanic White, 792 (50.1%) were vaccinated, and 356 (22.5%) had laboratory-confirmed influenza during follow-up. The overall secondary infection risk of influenza among unvaccinated household contacts was 18.8% (95% CI, 15.9% to 22.0%). The risk was highest among children and was 20.3% (95% CI, 16.4% to 24.9%) for influenza A and 15.9% (95% CI, 11.8% to 21.0%) for influenza B. The overall estimated VE for preventing secondary infections among household contacts was 21.0% (95% CI, 1.4% to 36.7%) and varied by type; estimated VE against influenza A was 5.0% (95% CI, −22.3% to 26.3%) and 56.4% (95% CI, 30.1% to 72.8%) against influenza B.\n            \n            \n              Conclusions and Relevance\n              After influenza was introduced into households, the risk of secondary influenza among unvaccinated household contacts was approximately 15% to 20%, and highest among children. Estimated VE varied by influenza type, with demonstrated protection against influenza B virus infection.","container-title":"JAMA Network Open","DOI":"10.1001/jamanetworkopen.2024.46814","ISSN":"2574-3805","issue":"11","journalAbbreviation":"JAMA Netw Open","language":"en","page":"e2446814","source":"DOI.org (Crossref)","title":"Estimated Effectiveness of Influenza Vaccines in Preventing Secondary Infections in Households","volume":"7","author":[{"family":"Grijalva","given":"Carlos G."},{"family":"Nguyen","given":"Huong Q."},{"family":"Zhu","given":"Yuwei"},{"family":"Mellis","given":"Alexandra M."},{"family":"McGonigle","given":"Trey"},{"family":"Meece","given":"Jennifer K."},{"family":"Biddle","given":"Jessica E."},{"family":"Halasa","given":"Natasha B."},{"family":"Reed","given":"Carrie"},{"family":"Fry","given":"Alicia M."},{"family":"Yang","given":"Yang"},{"family":"Belongia","given":"Edward A."},{"family":"Talbot","given":"H. Keipp"},{"family":"Rolfes","given":"Melissa A."}],"issued":{"date-parts":[["2024",11,21]]}}}],"schema":"https://github.com/citation-style-language/schema/raw/master/csl-citation.json"}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48–50</w:t>
      </w:r>
      <w:r w:rsidR="00242EFF">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0005607D" w:rsidRPr="0005607D">
        <w:rPr>
          <w:rFonts w:ascii="Helvetica" w:hAnsi="Helvetica"/>
          <w:i w:val="0"/>
          <w:iCs w:val="0"/>
          <w:color w:val="auto"/>
          <w:sz w:val="22"/>
          <w:szCs w:val="22"/>
        </w:rPr>
        <w:t xml:space="preserve">For crowded households, we set the baseline SAR at 40%, reflecting approximately twice the uncrowded rate. Available evidence suggests that household crowding </w:t>
      </w:r>
      <w:r w:rsidR="0005607D">
        <w:rPr>
          <w:rFonts w:ascii="Helvetica" w:hAnsi="Helvetica"/>
          <w:i w:val="0"/>
          <w:iCs w:val="0"/>
          <w:color w:val="auto"/>
          <w:sz w:val="22"/>
          <w:szCs w:val="22"/>
        </w:rPr>
        <w:t xml:space="preserve">may </w:t>
      </w:r>
      <w:r w:rsidR="0005607D" w:rsidRPr="0005607D">
        <w:rPr>
          <w:rFonts w:ascii="Helvetica" w:hAnsi="Helvetica"/>
          <w:i w:val="0"/>
          <w:iCs w:val="0"/>
          <w:color w:val="auto"/>
          <w:sz w:val="22"/>
          <w:szCs w:val="22"/>
        </w:rPr>
        <w:t>increase the risk of respiratory infection by 1.2- to 3.3-fold,</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{"citationID":"rO65EERo","properties":{"formattedCitation":"\\super 51,52\\nosupersub{}","plainCitation":"51,52","noteIndex":0},"citationItems":[{"id":3187,"uris":["http://zotero.org/users/10934876/items/5QW48QS4"],"itemData":{"id":3187,"type":"article-journal","abstract":"Abstract\n            \n              Background\n              Households are hot spots for severe acute respiratory syndrome coronavirus 2 transmission.\n            \n            \n              Methods\n              This prospective study enrolled 100 coronavirus disease 2019 (COVID-19) cases and 208 of their household members in North Carolina though October 2020, including 44% who identified as Hispanic or non-White. Households were enrolled a median of 6 days from symptom onset in the index case. Incident secondary cases within the household were detected using quantitative polymerase chain reaction of weekly nasal swabs (days 7, 14, 21) or by seroconversion at day 28.\n            \n            \n              Results\n              Excluding 73 household contacts who were PCR-positive at baseline, the secondary attack rate (SAR) among household contacts was 32% (33 of 103; 95% confidence interval [CI], 22%–44%). The majority of cases occurred by day 7, with later cases confirmed as household-acquired by viral sequencing. Infected persons in the same household had similar nasopharyngeal viral loads (intraclass correlation coefficient = 0.45; 95% CI, .23–.62). Households with secondary transmission had index cases with a median viral load that was 1.4 log10 higher than those without transmission (P = .03), as well as higher living density (more than 3 persons occupying fewer than 6 rooms; odds ratio, 3.3; 95% CI, 1.02–10.9). Minority households were more likely to experience high living density and had a higher risk of incident infection than did White households (SAR, 51% vs 19%; P = .01).\n            \n            \n              Conclusions\n              Household crowding in the context of high-inoculum infections may amplify the spread of COVID-19, potentially contributing to disproportionate impact on communities of color.","container-title":"Clinical Infectious Diseases","DOI":"10.1093/cid/ciab701","ISSN":"1058-4838, 1537-6591","issue":"10","language":"en","license":"https://academic.oup.com/journals/pages/open_access/funder_policies/chorus/standard_publication_model","page":"1776-1785","source":"DOI.org (Crossref)","title":"Household Transmission of Severe Acute Respiratory Syndrome Coronavirus 2 in the United States: Living Density, Viral Load, and Disproportionate Impact on Communities of Color","title-short":"Household Transmission of Severe Acute Respiratory Syndrome Coronavirus 2 in the United States","volume":"74","author":[{"family":"Cerami","given":"Carla"},{"family":"Popkin-Hall","given":"Zachary R"},{"family":"Rapp","given":"Tyler"},{"family":"Tompkins","given":"Kathleen"},{"family":"Zhang","given":"Haoming"},{"family":"Muller","given":"Meredith S"},{"family":"Basham","given":"Christopher"},{"family":"Whittelsey","given":"Maureen"},{"family":"Chhetri","given":"Srijana B"},{"family":"Smith","given":"Judy"},{"family":"Litel","given":"Christy"},{"family":"Lin","given":"Kelly D"},{"family":"Churiwal","given":"Mehal"},{"family":"Khan","given":"Salman"},{"family":"Rubinstein","given":"Rebecca"},{"family":"Claman","given":"Faith"},{"family":"Mollan","given":"Katie"},{"family":"Wohl","given":"David"},{"family":"Premkumar","given":"Lakshmanane"},{"family":"Powers","given":"Kimberly A"},{"family":"Juliano","given":"Jonathan J"},{"family":"Lin","given":"Feng-Chang"},{"family":"Lin","given":"Jessica T"}],"issued":{"date-parts":[["2022",5,30]]}}},{"id":3189,"uris":["http://zotero.org/users/10934876/items/64JW7VNM"],"itemData":{"id":3189,"ty</w:instrText>
      </w:r>
      <w:r w:rsidR="00BE3D78">
        <w:rPr>
          <w:rFonts w:ascii="Helvetica" w:hAnsi="Helvetica" w:hint="eastAsia"/>
          <w:i w:val="0"/>
          <w:iCs w:val="0"/>
          <w:color w:val="auto"/>
          <w:sz w:val="22"/>
          <w:szCs w:val="22"/>
        </w:rPr>
        <w:instrText>pe":"article-journal","abstract":"Background\n              Influenza hospitalizations result in substantial morbidity and mortality each year. Little is known about the association between influenza hospitalization and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socioeconomic determinants beyond the effect of individual factors.\n            \n            \n              Objective\n              To evaluate whether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determinants such as poverty and household crowding would contribute significantly to the risk of influenza hospitalization above and beyond individual</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level determinants.\n            \n            \n              Methods\n              We analyzed 33 515 laboratory</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confirmed influenza</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associated hospitalizations that occurred during the 2009</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2010 through 2013</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2014 influenza seasons using a population</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surveillance system at 14 sites across the United States.\n            \n            \n              Results\n              \n                Using a multilevel regression model, we found that i</w:instrText>
      </w:r>
      <w:r w:rsidR="00BE3D78">
        <w:rPr>
          <w:rFonts w:ascii="Helvetica" w:hAnsi="Helvetica"/>
          <w:i w:val="0"/>
          <w:iCs w:val="0"/>
          <w:color w:val="auto"/>
          <w:sz w:val="22"/>
          <w:szCs w:val="22"/>
        </w:rPr>
        <w:instrText>ndividual factors were associated with influenza hospitalization with the highest adjusted odds ratio (\n                AOR\n                ) of 9.20 (95%\n                CI\n                8.72</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9.70) for those ≥65 vs 5</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17 years old. African Americans</w:instrText>
      </w:r>
      <w:r w:rsidR="00BE3D78">
        <w:rPr>
          <w:rFonts w:ascii="Helvetica" w:hAnsi="Helvetica" w:hint="eastAsia"/>
          <w:i w:val="0"/>
          <w:iCs w:val="0"/>
          <w:color w:val="auto"/>
          <w:sz w:val="22"/>
          <w:szCs w:val="22"/>
        </w:rPr>
        <w:instrText xml:space="preserve"> had an\n                AOR\n                of 1.67 (95%\n                CI\n                1.60</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1.73) compared to Whites, and Hispanics had an\n                AOR\n                of 1.21 (95%\n                CI\n                1.16</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1.26) compared</w:instrText>
      </w:r>
      <w:r w:rsidR="00BE3D78">
        <w:rPr>
          <w:rFonts w:ascii="Helvetica" w:hAnsi="Helvetica"/>
          <w:i w:val="0"/>
          <w:iCs w:val="0"/>
          <w:color w:val="auto"/>
          <w:sz w:val="22"/>
          <w:szCs w:val="22"/>
        </w:rPr>
        <w:instrText xml:space="preserve"> to non</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Hispanics. Among census tract</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based determinants, those living in a tract with ≥20% vs &lt;5% of persons living below poverty had an\n                AOR\n                of 1.31 (95%\n                CI\n                1.16</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1.47), those living in a tract with ≥5% vs &lt;5% of persons living in crowded conditions had an\n                AOR\n                of 1.17 (95%\n                CI\n                1.11</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 xml:space="preserve">1.23), and those living in a tract with ≥40% vs &lt;5% female heads of household had an\n      </w:instrText>
      </w:r>
      <w:r w:rsidR="00BE3D78">
        <w:rPr>
          <w:rFonts w:ascii="Helvetica" w:hAnsi="Helvetica" w:hint="eastAsia"/>
          <w:i w:val="0"/>
          <w:iCs w:val="0"/>
          <w:color w:val="auto"/>
          <w:sz w:val="22"/>
          <w:szCs w:val="22"/>
        </w:rPr>
        <w:instrText xml:space="preserve">          AOR\n                of 1.32 (95%\n                CI\n                1.25</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1.40).\n              \n            \n            \n              Conclusion\n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determinants account for 11% of the variability in influen</w:instrText>
      </w:r>
      <w:r w:rsidR="00BE3D78">
        <w:rPr>
          <w:rFonts w:ascii="Helvetica" w:hAnsi="Helvetica"/>
          <w:i w:val="0"/>
          <w:iCs w:val="0"/>
          <w:color w:val="auto"/>
          <w:sz w:val="22"/>
          <w:szCs w:val="22"/>
        </w:rPr>
        <w:instrText>za hospitalization.","container-title":"Influenza and Other Respiratory Viruses","DOI":"10.1111/irv.12483","ISSN":"1750-2640, 1750-2659","issue":"6","journalAbbreviation":"Influenza Resp Viruses","language":"en","license":"http://creativecommons.org/licenses/by/4.0/","page":"479-488","source":"DOI.org (Crossref)","title":"Social determinants of influenza hospitalization in the United States","volume":"11","author":[{"family":"Chandrasekhar","given":"Rameela"},{"family":"Sloan","given":"Chantel"},{"family":"Mitchel","given":"Edward"},{"family":"Ndi","given":"Danielle"},{"family":"Alden","given":"Nisha"},{"family":"Thomas","given":"Ann"},{"family":"Bennett","given":"Nancy M."},{"family":"Kirley","given":"Pam D."},{"family":"Hill","given":"Mary"},{"family":"</w:instrText>
      </w:r>
      <w:r w:rsidR="00BE3D78">
        <w:rPr>
          <w:rFonts w:ascii="Helvetica" w:hAnsi="Helvetica" w:hint="eastAsia"/>
          <w:i w:val="0"/>
          <w:iCs w:val="0"/>
          <w:color w:val="auto"/>
          <w:sz w:val="22"/>
          <w:szCs w:val="22"/>
        </w:rPr>
        <w:instrText>Anderson","given":"Evan J."},{"family":"Lynfield","given":"Ruth"},{"family":"Yousey</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Hindes","given":"Kimberly"},{"family":"Bargsten","given":"Marisa"},{"family":"Zansky","given":"Shelley M."},{"family":"Lung","given":"Krista"},{"family":"Schroeder","given</w:instrText>
      </w:r>
      <w:r w:rsidR="00BE3D78">
        <w:rPr>
          <w:rFonts w:ascii="Helvetica" w:hAnsi="Helvetica"/>
          <w:i w:val="0"/>
          <w:iCs w:val="0"/>
          <w:color w:val="auto"/>
          <w:sz w:val="22"/>
          <w:szCs w:val="22"/>
        </w:rPr>
        <w:instrText xml:space="preserve">":"Monica"},{"family":"Monroe","given":"Maya"},{"family":"Eckel","given":"Seth"},{"family":"Markus","given":"Tiffanie M."},{"family":"Cummings","given":"Charisse N."},{"family":"Garg","given":"Shikha"},{"family":"Schaffner","given":"William"},{"family":"Lindegren","given":"Mary Lou"}],"issued":{"date-parts":[["2017",11]]}}}],"schema":"https://github.com/citation-style-language/schema/raw/master/csl-citation.json"}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51,52</w:t>
      </w:r>
      <w:r w:rsidR="00242EFF">
        <w:rPr>
          <w:rFonts w:ascii="Helvetica" w:hAnsi="Helvetica"/>
          <w:i w:val="0"/>
          <w:iCs w:val="0"/>
          <w:color w:val="auto"/>
          <w:sz w:val="22"/>
          <w:szCs w:val="22"/>
        </w:rPr>
        <w:fldChar w:fldCharType="end"/>
      </w:r>
      <w:r w:rsidR="0005607D" w:rsidRPr="0005607D">
        <w:rPr>
          <w:rFonts w:ascii="Helvetica" w:hAnsi="Helvetica"/>
          <w:i w:val="0"/>
          <w:iCs w:val="0"/>
          <w:color w:val="auto"/>
          <w:sz w:val="22"/>
          <w:szCs w:val="22"/>
        </w:rPr>
        <w:t xml:space="preserve"> though estimates vary by pathogen and outcome measure. We therefore treat this parameter as uncertain and vary the crowded-household SAR from 20% to 60% in sensitivity analyses</w:t>
      </w:r>
      <w:r w:rsidR="0005607D">
        <w:rPr>
          <w:rFonts w:ascii="Helvetica" w:hAnsi="Helvetica"/>
          <w:i w:val="0"/>
          <w:iCs w:val="0"/>
          <w:color w:val="auto"/>
          <w:sz w:val="22"/>
          <w:szCs w:val="22"/>
        </w:rPr>
        <w:t xml:space="preserve">. </w:t>
      </w:r>
      <w:r w:rsidRPr="00CC2F84">
        <w:rPr>
          <w:rFonts w:ascii="Helvetica" w:hAnsi="Helvetica"/>
          <w:i w:val="0"/>
          <w:iCs w:val="0"/>
          <w:color w:val="auto"/>
          <w:sz w:val="22"/>
          <w:szCs w:val="22"/>
        </w:rPr>
        <w:t xml:space="preserve">Last, given values for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we numerically identified the value of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that would achieve a desired basic reproduction number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when simulating outbreaks at the national level. Specifically, for a candidate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value, we ran the model with a single sub-population to equilibrium; then, we compared the outbreak’s final size with the theoretical prediction from the implicit relationship </w:t>
      </w:r>
      <m:oMath>
        <m:r>
          <w:rPr>
            <w:rFonts w:ascii="Cambria Math" w:hAnsi="Cambria Math"/>
            <w:color w:val="auto"/>
            <w:sz w:val="22"/>
            <w:szCs w:val="22"/>
          </w:rPr>
          <m:t>R(∞)=1-exp(-</m:t>
        </m:r>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r>
          <w:rPr>
            <w:rFonts w:ascii="Cambria Math" w:hAnsi="Cambria Math"/>
            <w:color w:val="auto"/>
            <w:sz w:val="22"/>
            <w:szCs w:val="22"/>
          </w:rPr>
          <m:t>⋅R(∞))</m:t>
        </m:r>
      </m:oMath>
      <w:r w:rsidRPr="00CC2F84">
        <w:rPr>
          <w:rFonts w:ascii="Helvetica" w:hAnsi="Helvetica"/>
          <w:i w:val="0"/>
          <w:iCs w:val="0"/>
          <w:color w:val="auto"/>
          <w:sz w:val="22"/>
          <w:szCs w:val="22"/>
        </w:rPr>
        <w:t xml:space="preserve">, where </w:t>
      </w:r>
      <m:oMath>
        <m:r>
          <w:rPr>
            <w:rFonts w:ascii="Cambria Math" w:hAnsi="Cambria Math"/>
            <w:color w:val="auto"/>
            <w:sz w:val="22"/>
            <w:szCs w:val="22"/>
          </w:rPr>
          <m:t>R(∞)</m:t>
        </m:r>
      </m:oMath>
      <w:r w:rsidRPr="00CC2F84">
        <w:rPr>
          <w:rFonts w:ascii="Helvetica" w:hAnsi="Helvetica"/>
          <w:i w:val="0"/>
          <w:iCs w:val="0"/>
          <w:color w:val="auto"/>
          <w:sz w:val="22"/>
          <w:szCs w:val="22"/>
        </w:rPr>
        <w:t xml:space="preserve"> is the final size of the outbreak.</w:t>
      </w:r>
      <w:r w:rsidR="005A79F0">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{"citationID":"lwrfxqtV","properties":{"formattedCitation":"\\super 53\\nosupersub{}","plainCitation":"53","noteIndex":0},"citationItems":[{"id":3192,"uris":["http://zotero.org/users/10934876/items/YM5IDLYT"],"itemData":{"id":3192,"type":"article-journal","container-title":"Bulletin of Mathematical Biology","DOI":"10.1007/s11538-012-9749-6","ISSN":"0092-8240, 1522-9602","issue":"9","journalAbbreviation":"Bull Math Biol","language":"en","license":"http://www.springer.com/tdm","page":"2125-2141","source":"DOI.org (Crossref)","title":"A Note on the Derivation of Epidemic Final Sizes","volume":"74","author":[{"family":"Miller","given":"Joel C."}],"issued":{"date-parts":[["2012",9]]}}}],"schema":"https://github.com/citation-style-language/schema/raw/master/csl-citation.json"} </w:instrText>
      </w:r>
      <w:r w:rsidR="005A79F0">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53</w:t>
      </w:r>
      <w:r w:rsidR="005A79F0">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We adjusted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using a bisection search algorithm until the simulated final size was within 0.0005 of the theoretical value. For the baseline analysis, </w:t>
      </w:r>
      <w:commentRangeStart w:id="34"/>
      <w:commentRangeStart w:id="35"/>
      <w:r w:rsidRPr="00CC2F84">
        <w:rPr>
          <w:rFonts w:ascii="Helvetica" w:hAnsi="Helvetica"/>
          <w:i w:val="0"/>
          <w:iCs w:val="0"/>
          <w:color w:val="auto"/>
          <w:sz w:val="22"/>
          <w:szCs w:val="22"/>
        </w:rPr>
        <w:t xml:space="preserve">we used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 1.5, reflecting a moderate pandemic influenza scenario</w:t>
      </w:r>
      <w:commentRangeEnd w:id="34"/>
      <w:r w:rsidR="00956CEE" w:rsidRPr="00CC2F84">
        <w:rPr>
          <w:rStyle w:val="CommentReference"/>
          <w:rFonts w:ascii="Helvetica" w:hAnsi="Helvetica"/>
          <w:i w:val="0"/>
          <w:iCs w:val="0"/>
          <w:color w:val="auto"/>
          <w:sz w:val="22"/>
          <w:szCs w:val="22"/>
        </w:rPr>
        <w:commentReference w:id="34"/>
      </w:r>
      <w:commentRangeEnd w:id="35"/>
      <w:r w:rsidR="0034347F" w:rsidRPr="00CC2F84">
        <w:rPr>
          <w:rStyle w:val="CommentReference"/>
          <w:rFonts w:ascii="Helvetica" w:hAnsi="Helvetica"/>
          <w:i w:val="0"/>
          <w:iCs w:val="0"/>
          <w:color w:val="auto"/>
          <w:sz w:val="22"/>
          <w:szCs w:val="22"/>
        </w:rPr>
        <w:commentReference w:id="35"/>
      </w:r>
      <w:r w:rsidRPr="00CC2F84">
        <w:rPr>
          <w:rFonts w:ascii="Helvetica" w:hAnsi="Helvetica"/>
          <w:i w:val="0"/>
          <w:iCs w:val="0"/>
          <w:color w:val="auto"/>
          <w:sz w:val="22"/>
          <w:szCs w:val="22"/>
        </w:rPr>
        <w:t xml:space="preserve"> and the effective reproduction number during many COVID-19 surges when behavioral mitigations were in place.</w:t>
      </w:r>
      <w:r w:rsidR="001932E2">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{"citationID":"IijRgPhJ","properties":{"formattedCitation":"\\super 54,55\\nosupersub{}","plainCitation":"54,55","noteIndex":0},"citationItems":[{"id":3193,"uris":["http://zotero.org/users/10934876/items/VVRVUM4P"],"itemData":{"id":3193,"type":"article-journal","container-title":"Epidemiology","DOI":"10.1097/EDE.0b013e3181f20977","ISSN":"1044-3983","issue":"6","language":"en","page":"842-846","source":"DOI.org (Crossref)","title":"The Effective Reproduction Number of Pandemic Influenza: Prospective Estimation","title-short":"The Effective Reproduction Number of Pandemic Influenza","volume":"21","author":[{"family":"Cowling","given":"Benjamin J."},{"family":"Lau","given":"Max S. Y."},{"family":"Ho","given":"Lai-Ming"},{"family":"Chuang","given":"Shuk-Kwan"},{"family":"Tsang","given":"Thomas"},{"family":"Liu","given":"Shao-Haei"},{"family":"Leung","given":"Pak-Yin"},{"family":"Lo","given":"Su-Vui"},{"family":"Lau","given":"Eric H. Y."}],"issued":{"date-parts":[["2010",11]]}}},{"id":3194,"uris":["http://zotero.org/users/10934876/items/G4I9VMFI"],"itemData":{"id":3194,"type":"article-journal","abstract":"Reported COVID-19 cases and deaths provide a delayed and incomplete picture of SARS-CoV-2 infections in the United States (US). Accurate estimates of both the timing and magnitude of infections are needed to characterize viral transmission dynamics and better understand COVID-19 disease burden. We estimated time trends in SARS-CoV-2 transmission and other COVID-19 outcomes for every county in the US, from the first reported COVID-19 case in January 13, 2020 through January 1, 2021. To do so we employed a Bayesian modeling approach that explicitly accounts for reporting delays and variation in case ascertainment, and generates daily estimates of incident SARS-CoV-2 infections on the basis of reported COVID-19 cases and deaths. The model is freely available as the\n              covidestim\n              R package. Nationally, we estimated there had been 49 million symptomatic COVID-19 cases and 404,214 COVID-19 deaths by the end of 2020, and that 28% of the US population had been infected. There was county-level variability in the timing and magnitude of incidence, with local epidemiological trends differing substantially from state or regional averages, leading to large differences in the estimated proportion of the population infected by the end of 2020. Our estimates of true COVID-19 related deaths are consistent with independent estimates of excess mortality, and our estimated trends in cumulative incidence of SARS-CoV-2 infection are consistent with trends in seroprevalence estimates from available antibody testing studies. Reconstructing the underlying incidence of SARS-CoV-2 infections across US counties allows for a more granular understanding of disease trends and the potential impact of epidemiological drivers.","container-title":"PLOS Computational Biology","DOI":"10.1371/journal.pcbi.1010465","ISSN":"1553-7358","issue":"8","journalAbbreviation":"PLoS Comput Biol","language":"en","page":"e1010465","source":"DOI.org (Crossref)","title":"Reconstructing the course of the COVID-19 epidemic over 2020 for US states and counties: Results of a Bayesian evidence synthesis model","title-short":"Reconstructing the course of the COVID-19 epidemic over 2020 for US states and counties","volume":"18","author":[{"family":"Chitwood","given":"Melanie H."},{"family":"Russi","given":"Marcus"},{"family":"Gunasekera","given":"Kenneth"},{"family":"Havumaki","given":"Joshua"},{"family":"Klaassen","given":"Fayette"},{"family":"Pitzer","given":"Virginia E."},{"family":"Salomon","given":"Joshua A."},{"family":"Swartwood","given":"Nicole A."},{"family":"Warren","given":"Joshua L."},{"family":"Weinberger","given":"Daniel M."},{"family":"Cohen","given":"Ted"},{"family":"Menzies","given":"Nicolas A."}],"editor":[{"family":"Althouse","given":"Benjamin"}],"issued":{"date-parts":[["2022",8,30]]}}}],"schema":"https://github.com/citation-style-language/schema/raw/master/csl-citation.json"} </w:instrText>
      </w:r>
      <w:r w:rsidR="001932E2">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54,55</w:t>
      </w:r>
      <w:r w:rsidR="001932E2">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In sensitivity analyses, we considered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values of 1.2, 2.0, and 3.0. Baseline and sensitivity parameter values are listed in </w:t>
      </w:r>
      <w:r w:rsidRPr="00CC2F84">
        <w:rPr>
          <w:rFonts w:ascii="Helvetica" w:hAnsi="Helvetica"/>
          <w:b/>
          <w:bCs/>
          <w:i w:val="0"/>
          <w:iCs w:val="0"/>
          <w:color w:val="auto"/>
          <w:sz w:val="22"/>
          <w:szCs w:val="22"/>
        </w:rPr>
        <w:t>Supplementary Table S2</w:t>
      </w:r>
      <w:r w:rsidRPr="00CC2F84">
        <w:rPr>
          <w:rFonts w:ascii="Helvetica" w:hAnsi="Helvetica"/>
          <w:i w:val="0"/>
          <w:iCs w:val="0"/>
          <w:color w:val="auto"/>
          <w:sz w:val="22"/>
          <w:szCs w:val="22"/>
        </w:rPr>
        <w:t>.</w:t>
      </w:r>
    </w:p>
    <w:p w14:paraId="5164A905" w14:textId="7CE6B1FC" w:rsidR="00AB7EBC" w:rsidRPr="00CC2F84" w:rsidRDefault="008446C3" w:rsidP="000C35A9">
      <w:pPr>
        <w:pStyle w:val="BodyText"/>
        <w:jc w:val="both"/>
        <w:rPr>
          <w:rFonts w:ascii="Helvetica" w:hAnsi="Helvetica"/>
          <w:sz w:val="22"/>
          <w:szCs w:val="22"/>
        </w:rPr>
      </w:pPr>
      <w:r w:rsidRPr="008446C3">
        <w:rPr>
          <w:rFonts w:ascii="Helvetica" w:hAnsi="Helvetica"/>
          <w:sz w:val="22"/>
          <w:szCs w:val="22"/>
        </w:rPr>
        <w:t>We set the baseline assortativity parameter at η = 2/3, reflecting moderate preferential mixing within population groups. Empirical estimates of occupational assortative mixing are not available for agricultural workers, so we chose a baseline value reflecting the assumption that the majority of contacts occur within-group while allowing for substantial between-group mixing. Because this parameter is poorly constrained, we explored values of η ranging from 0 (proportionate mixing) to 3/4 (strong assortativity) in sensitivity analyses.</w:t>
      </w:r>
      <w:r>
        <w:rPr>
          <w:rFonts w:ascii="Helvetica" w:hAnsi="Helvetica"/>
          <w:sz w:val="22"/>
          <w:szCs w:val="22"/>
        </w:rPr>
        <w:t xml:space="preserve"> </w:t>
      </w:r>
      <w:r w:rsidR="006B4661" w:rsidRPr="00CC2F84">
        <w:rPr>
          <w:rFonts w:ascii="Helvetica" w:hAnsi="Helvetica"/>
          <w:sz w:val="22"/>
          <w:szCs w:val="22"/>
        </w:rPr>
        <w:t>Because agricultural workers constitute a small fraction of the total population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ranges from 0.7% to 2.2% across regions), the proportion of within-group contacts for agricultural workers is approximately equal to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r>
          <m:rPr>
            <m:sty m:val="p"/>
          </m:rPr>
          <w:rPr>
            <w:rFonts w:ascii="Cambria Math" w:hAnsi="Cambria Math"/>
            <w:sz w:val="22"/>
            <w:szCs w:val="22"/>
          </w:rPr>
          <m:t>≈</m:t>
        </m:r>
        <m:r>
          <w:rPr>
            <w:rFonts w:ascii="Cambria Math" w:hAnsi="Cambria Math"/>
            <w:sz w:val="22"/>
            <w:szCs w:val="22"/>
          </w:rPr>
          <m:t>η</m:t>
        </m:r>
      </m:oMath>
      <w:r w:rsidR="006B4661" w:rsidRPr="00CC2F84">
        <w:rPr>
          <w:rFonts w:ascii="Helvetica" w:hAnsi="Helvetica"/>
          <w:sz w:val="22"/>
          <w:szCs w:val="22"/>
        </w:rPr>
        <w:t xml:space="preserve">, since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is small). At the baseline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3</m:t>
        </m:r>
      </m:oMath>
      <w:r w:rsidR="006B4661" w:rsidRPr="00CC2F84">
        <w:rPr>
          <w:rFonts w:ascii="Helvetica" w:hAnsi="Helvetica"/>
          <w:sz w:val="22"/>
          <w:szCs w:val="22"/>
        </w:rPr>
        <w:t xml:space="preserve">, agricultural workers have between 66.9% and 67.4% </w:t>
      </w:r>
      <w:r w:rsidR="006B4661" w:rsidRPr="00CC2F84">
        <w:rPr>
          <w:rFonts w:ascii="Helvetica" w:hAnsi="Helvetica"/>
          <w:sz w:val="22"/>
          <w:szCs w:val="22"/>
        </w:rPr>
        <w:lastRenderedPageBreak/>
        <w:t xml:space="preserve">of their contacts within their own group, depending on the region. The general community, being much larger, has nearly all contacts within their own group regardless of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oMath>
      <w:r w:rsidR="006B4661" w:rsidRPr="00CC2F84">
        <w:rPr>
          <w:rFonts w:ascii="Helvetica" w:hAnsi="Helvetica"/>
          <w:sz w:val="22"/>
          <w:szCs w:val="22"/>
        </w:rPr>
        <w:t xml:space="preserve"> ranges from 97.8% to 99.8% across all regions and values of </w:t>
      </w:r>
      <m:oMath>
        <m:r>
          <w:rPr>
            <w:rFonts w:ascii="Cambria Math" w:hAnsi="Cambria Math"/>
            <w:sz w:val="22"/>
            <w:szCs w:val="22"/>
          </w:rPr>
          <m:t>η</m:t>
        </m:r>
      </m:oMath>
      <w:r w:rsidR="006B4661" w:rsidRPr="00CC2F84">
        <w:rPr>
          <w:rFonts w:ascii="Helvetica" w:hAnsi="Helvetica"/>
          <w:sz w:val="22"/>
          <w:szCs w:val="22"/>
        </w:rPr>
        <w:t xml:space="preserve">).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6B4661" w:rsidRPr="00CC2F84">
        <w:rPr>
          <w:rFonts w:ascii="Helvetica" w:hAnsi="Helvetica"/>
          <w:sz w:val="22"/>
          <w:szCs w:val="22"/>
        </w:rPr>
        <w:t xml:space="preserve"> (proportional mixing</w:t>
      </w:r>
      <w:r w:rsidR="00766710">
        <w:rPr>
          <w:rFonts w:ascii="Helvetica" w:hAnsi="Helvetica"/>
          <w:sz w:val="22"/>
          <w:szCs w:val="22"/>
        </w:rPr>
        <w:t>, and the first extreme of the sensitivity analysis</w:t>
      </w:r>
      <w:r w:rsidR="006B4661" w:rsidRPr="00CC2F84">
        <w:rPr>
          <w:rFonts w:ascii="Helvetica" w:hAnsi="Helvetica"/>
          <w:sz w:val="22"/>
          <w:szCs w:val="22"/>
        </w:rPr>
        <w:t xml:space="preserve">), agricultural workers have between 0.7% - 2.2% of their contacts within their own group, depending on the region;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4</m:t>
        </m:r>
      </m:oMath>
      <w:r w:rsidR="00766710">
        <w:rPr>
          <w:rFonts w:ascii="Helvetica" w:hAnsi="Helvetica"/>
          <w:sz w:val="22"/>
          <w:szCs w:val="22"/>
        </w:rPr>
        <w:t xml:space="preserve"> (the second extreme of the sensitivity analysis)</w:t>
      </w:r>
      <w:r w:rsidR="006B4661" w:rsidRPr="00CC2F84">
        <w:rPr>
          <w:rFonts w:ascii="Helvetica" w:hAnsi="Helvetica"/>
          <w:sz w:val="22"/>
          <w:szCs w:val="22"/>
        </w:rPr>
        <w:t>, this rises to between 75.2% and 75.5%.</w:t>
      </w:r>
    </w:p>
    <w:p w14:paraId="1DB4FC69" w14:textId="663B626B" w:rsidR="00AB7EBC" w:rsidRPr="0094789D" w:rsidRDefault="006B4661" w:rsidP="000C35A9">
      <w:pPr>
        <w:pStyle w:val="BodyText"/>
        <w:jc w:val="both"/>
        <w:rPr>
          <w:rFonts w:ascii="Helvetica" w:hAnsi="Helvetica"/>
          <w:sz w:val="22"/>
          <w:szCs w:val="22"/>
        </w:rPr>
      </w:pPr>
      <w:commentRangeStart w:id="36"/>
      <w:commentRangeStart w:id="37"/>
      <w:r w:rsidRPr="00CC2F84">
        <w:rPr>
          <w:rFonts w:ascii="Helvetica" w:hAnsi="Helvetica"/>
          <w:sz w:val="22"/>
          <w:szCs w:val="22"/>
        </w:rPr>
        <w:t>We assumed symptoms began one day after infection and lasted for three days</w:t>
      </w:r>
      <w:commentRangeEnd w:id="36"/>
      <w:r w:rsidR="00956CEE">
        <w:rPr>
          <w:rStyle w:val="CommentReference"/>
          <w:rFonts w:ascii="Helvetica" w:hAnsi="Helvetica"/>
          <w:sz w:val="22"/>
          <w:szCs w:val="22"/>
        </w:rPr>
        <w:commentReference w:id="36"/>
      </w:r>
      <w:commentRangeEnd w:id="37"/>
      <w:r>
        <w:rPr>
          <w:rStyle w:val="CommentReference"/>
          <w:rFonts w:ascii="Helvetica" w:hAnsi="Helvetica"/>
          <w:sz w:val="22"/>
          <w:szCs w:val="22"/>
        </w:rPr>
        <w:commentReference w:id="37"/>
      </w:r>
      <w:r w:rsidR="00CE7A7E">
        <w:rPr>
          <w:rFonts w:ascii="Helvetica" w:hAnsi="Helvetica"/>
          <w:sz w:val="22"/>
          <w:szCs w:val="22"/>
        </w:rPr>
        <w:t>, consistent with (and on the conservative side of) findings that symptomatic influenza infections can cause 3-5 days of absenteeism from work.</w:t>
      </w:r>
      <w:r w:rsidR="00434FED">
        <w:rPr>
          <w:rFonts w:ascii="Helvetica" w:hAnsi="Helvetica"/>
          <w:sz w:val="22"/>
          <w:szCs w:val="22"/>
        </w:rPr>
        <w:fldChar w:fldCharType="begin"/>
      </w:r>
      <w:r w:rsidR="00BE3D78">
        <w:rPr>
          <w:rFonts w:ascii="Helvetica" w:hAnsi="Helvetica"/>
          <w:sz w:val="22"/>
          <w:szCs w:val="22"/>
        </w:rPr>
        <w:instrText xml:space="preserve"> ADDIN ZOTERO_ITEM CSL_CITATION {"citationID":"3kP1MAP7","properties":{"formattedCitation":"\\super 56,57\\nosupersub{}","plainCitation":"56,57","noteIndex":0},"citationItems":[{"id":3196,"uris":["http://zotero.org/users/10934876/items/LHR2W4ZN"],"itemData":{"id":3196,"type":"article-journal","container-title":"Journal of Occupational &amp; Environmental Medicine","DOI":"10.1097/JOM.0000000000001120","ISSN":"1076-2752","issue":"12","language":"en","page":"1135-1139","source":"DOI.org (Crossref)","title":"Influenza and Workplace Productivity Loss in Working Adults","volume":"59","author":[{"family":"Van Wormer","given":"Jeffrey J."},{"family":"King","given":"Jennifer P."},{"family":"Gajewski","given":"Anna"},{"family":"McLean","given":"Huong Q."},{"family":"Belongia","given":"Edward A."}],"issued":{"date-parts":[["2017",12]]}}},{"id":3197,"uris":["http://zotero.org/users/10934876/items/WYYLKNGE"],"itemData":{"id":3197,"type":"article-journal","container-title":"Occupational Medicine","DOI":"10.1093/occmed/kqu022","ISSN":"0962-7480, 1471-8405","issue":"5","journalAbbreviation":"Occupational Medicine","language":"en","page":"341-347","source":"DOI.org (Crossref)","title":"The burden of influenza-like illness in the US workforce","volume":"64","author":[{"family":"Tsai","given":"Y."},{"family":"Zhou","given":"F."},{"family":"Kim","given":"I. K."}],"issued":{"date-parts":[["2014",7,1]]}}}],"schema":"https://github.com/citation-style-language/schema/raw/master/csl-citation.json"} </w:instrText>
      </w:r>
      <w:r w:rsidR="00434FED">
        <w:rPr>
          <w:rFonts w:ascii="Helvetica" w:hAnsi="Helvetica"/>
          <w:sz w:val="22"/>
          <w:szCs w:val="22"/>
        </w:rPr>
        <w:fldChar w:fldCharType="separate"/>
      </w:r>
      <w:r w:rsidR="00BE3D78" w:rsidRPr="00BE3D78">
        <w:rPr>
          <w:rFonts w:ascii="Helvetica" w:hAnsi="Helvetica" w:cs="Times New Roman"/>
          <w:sz w:val="22"/>
          <w:vertAlign w:val="superscript"/>
        </w:rPr>
        <w:t>56,57</w:t>
      </w:r>
      <w:r w:rsidR="00434FED">
        <w:rPr>
          <w:rFonts w:ascii="Helvetica" w:hAnsi="Helvetica"/>
          <w:sz w:val="22"/>
          <w:szCs w:val="22"/>
        </w:rPr>
        <w:fldChar w:fldCharType="end"/>
      </w:r>
      <w:r w:rsidR="00CE7A7E">
        <w:rPr>
          <w:rFonts w:ascii="Helvetica" w:hAnsi="Helvetica"/>
          <w:sz w:val="22"/>
          <w:szCs w:val="22"/>
        </w:rPr>
        <w:t xml:space="preserve"> </w:t>
      </w:r>
      <w:r w:rsidR="002C445B" w:rsidRPr="002C445B">
        <w:rPr>
          <w:rFonts w:ascii="Helvetica" w:hAnsi="Helvetica"/>
          <w:sz w:val="22"/>
          <w:szCs w:val="22"/>
        </w:rPr>
        <w:t>We assumed half of all infections were symptomatic enough to cause a laborer to miss work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xml:space="preserve">= 0.5), consistent with </w:t>
      </w:r>
      <w:r w:rsidR="00FF3431">
        <w:rPr>
          <w:rFonts w:ascii="Helvetica" w:hAnsi="Helvetica"/>
          <w:sz w:val="22"/>
          <w:szCs w:val="22"/>
        </w:rPr>
        <w:t xml:space="preserve">(and on the conservative side of) </w:t>
      </w:r>
      <w:r w:rsidR="002C445B" w:rsidRPr="002C445B">
        <w:rPr>
          <w:rFonts w:ascii="Helvetica" w:hAnsi="Helvetica"/>
          <w:sz w:val="22"/>
          <w:szCs w:val="22"/>
        </w:rPr>
        <w:t xml:space="preserve">estimates </w:t>
      </w:r>
      <w:r w:rsidR="00FF3431">
        <w:rPr>
          <w:rFonts w:ascii="Helvetica" w:hAnsi="Helvetica"/>
          <w:sz w:val="22"/>
          <w:szCs w:val="22"/>
        </w:rPr>
        <w:t>for the symptomatic rate of influenza</w:t>
      </w:r>
      <w:r w:rsidR="002C445B" w:rsidRPr="002C445B">
        <w:rPr>
          <w:rFonts w:ascii="Helvetica" w:hAnsi="Helvetica"/>
          <w:sz w:val="22"/>
          <w:szCs w:val="22"/>
        </w:rPr>
        <w:t>.</w:t>
      </w:r>
      <w:r w:rsidR="00F16256">
        <w:rPr>
          <w:rFonts w:ascii="Helvetica" w:hAnsi="Helvetica"/>
          <w:sz w:val="22"/>
          <w:szCs w:val="22"/>
        </w:rPr>
        <w:fldChar w:fldCharType="begin"/>
      </w:r>
      <w:r w:rsidR="00BE3D78">
        <w:rPr>
          <w:rFonts w:ascii="Helvetica" w:hAnsi="Helvetica"/>
          <w:sz w:val="22"/>
          <w:szCs w:val="22"/>
        </w:rPr>
        <w:instrText xml:space="preserve"> ADDIN ZOTERO_ITEM CSL_CITATION {"citationID":"bnyg9LDL","properties":{"formattedCitation":"\\super 58,59\\nosupersub{}","plainCitation":"58,59","noteIndex":0},"citationItems":[{"id":3203,"uris":["http://zotero.org/users/10934876/items/8BAPBRBY"],"itemData":{"id":3203,"type":"article-journal","container-title":"Epidemiology","DOI":"10.1097/EDE.0000000000000340","ISSN":"1044-3983","issue":"6","journalAbbreviation":"Epidemiology","language":"en","page":"862-872","source":"DOI.org (Crossref)","title":"Review Article: The Fraction of Influenza Virus Infections That Are Asymptomatic","title-short":"Review Article","volume":"26","author":[{"family":"Leung","given":"Nancy H. L."},{"family":"Xu","given":"Cuiling"},{"family":"Ip","given":"Dennis K. M."},{"family":"Cowling","given":"Benjamin J."}],"issued":{"date-parts":[["2015",11]]}}},{"id":3198,"uris":["http://zotero.org/users/10934876/items/YXI2QYEB"],"itemData":{"id":3198,"type":"article-journal","abstract":"Abstract\n            Asymptomatic influenza virus infection occurs but may vary by factors such as age, vaccination status, or season. We examined the frequency of influenza virus infection and symptoms using data from 2 case-ascertained household transmission studies (2017–2023) with prospective, systematic collection of respiratory specimens and symptoms. From the 426 influenza virus infected household contacts that met our inclusion criteria, 8% were asymptomatic, 6% had nonrespiratory symptoms, 23% had acute respiratory symptoms, and 62% had influenza-like illness symptoms. Understanding the prevalence of asymptomatic and mildly symptomatic influenza cases is important for implementing effective influenza prevention strategies and enhancing symptom-based surveillance systems.","container-title":"The Journal of Infectious Diseases","DOI":"10.1093/infdis/jiae591","ISSN":"0022-1899, 1537-6613","issue":"4","language":"en","page":"e637-e641","source":"DOI.org (Crossref)","title":"Asymptomatic and Mildly Symptomatic Influenza Virus Infections by Season: Case-Ascertained Household Transmission Studies, United States, 2017–2023","title-short":"Asymptomatic and Mildly Symptomatic Influenza Virus Infections by Season","volume":"232","author":[{"family":"Biddle","given":"Jessica E"},{"family":"Nguyen","given":"Huong Q"},{"family":"Talbot","given":"H Keipp"},{"family":"Rolfes","given":"Melissa A"},{"family":"Biggerstaff","given":"Matthew"},{"family":"Johnson","given":"Sheroi"},{"family":"Reed","given":"Carrie"},{"family":"Belongia","given":"Edward A"},{"family":"Grijalva","given":"Carlos G"},{"family":"Mellis","given":"Alexandra M"}],"issued":{"date-parts":[["2025",10,15]]}}}],"schema":"https://github.com/citation-style-language/schema/raw/master/csl-citation.json"} </w:instrText>
      </w:r>
      <w:r w:rsidR="00F16256">
        <w:rPr>
          <w:rFonts w:ascii="Helvetica" w:hAnsi="Helvetica"/>
          <w:sz w:val="22"/>
          <w:szCs w:val="22"/>
        </w:rPr>
        <w:fldChar w:fldCharType="separate"/>
      </w:r>
      <w:r w:rsidR="00BE3D78" w:rsidRPr="00BE3D78">
        <w:rPr>
          <w:rFonts w:ascii="Helvetica" w:hAnsi="Helvetica" w:cs="Times New Roman"/>
          <w:sz w:val="22"/>
          <w:vertAlign w:val="superscript"/>
        </w:rPr>
        <w:t>58,59</w:t>
      </w:r>
      <w:r w:rsidR="00F16256">
        <w:rPr>
          <w:rFonts w:ascii="Helvetica" w:hAnsi="Helvetica"/>
          <w:sz w:val="22"/>
          <w:szCs w:val="22"/>
        </w:rPr>
        <w:fldChar w:fldCharType="end"/>
      </w:r>
      <w:r w:rsidR="002C445B" w:rsidRPr="002C445B">
        <w:rPr>
          <w:rFonts w:ascii="Helvetica" w:hAnsi="Helvetica"/>
          <w:sz w:val="22"/>
          <w:szCs w:val="22"/>
        </w:rPr>
        <w:t xml:space="preserve"> Since production losses scale linearly with</w:t>
      </w:r>
      <w:r w:rsidR="0094789D">
        <w:rPr>
          <w:rFonts w:ascii="Helvetica" w:hAnsi="Helvetica"/>
          <w:sz w:val="22"/>
          <w:szCs w:val="22"/>
        </w:rPr>
        <w:t xml:space="preserve">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xml:space="preserve">, results for any symptomatic proportion can be obtained by rescaling our findings for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1 (</w:t>
      </w:r>
      <w:r w:rsidR="002C445B" w:rsidRPr="002C445B">
        <w:rPr>
          <w:rFonts w:ascii="Helvetica" w:hAnsi="Helvetica"/>
          <w:b/>
          <w:bCs/>
          <w:sz w:val="22"/>
          <w:szCs w:val="22"/>
        </w:rPr>
        <w:t>Supplementary Figure S1</w:t>
      </w:r>
      <w:r w:rsidR="00EF399A">
        <w:rPr>
          <w:rFonts w:ascii="Helvetica" w:hAnsi="Helvetica"/>
          <w:b/>
          <w:bCs/>
          <w:sz w:val="22"/>
          <w:szCs w:val="22"/>
        </w:rPr>
        <w:t>4</w:t>
      </w:r>
      <w:r w:rsidR="002C445B" w:rsidRPr="002C445B">
        <w:rPr>
          <w:rFonts w:ascii="Helvetica" w:hAnsi="Helvetica"/>
          <w:sz w:val="22"/>
          <w:szCs w:val="22"/>
        </w:rPr>
        <w:t>).</w:t>
      </w:r>
    </w:p>
    <w:p w14:paraId="43440895"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The transmission model requires knowing the fraction of households of each size are crowded, but the ACS and NAWS data report household size distribution and crowding proportion separately. To assign crowding levels by household size, we assumed that the crowding probability increased linearly from households of size 2 to households of size 7+ (since households of size 1 by definition cannot be crowded). We obeyed the constraints that (1) the overall proportion of crowded households must match the ACS- or NAWS-reported proportion, and (2) households of size 7+ are </w:t>
      </w:r>
      <m:oMath>
        <m:r>
          <w:rPr>
            <w:rFonts w:ascii="Cambria Math" w:hAnsi="Cambria Math"/>
            <w:sz w:val="22"/>
            <w:szCs w:val="22"/>
          </w:rPr>
          <m:t>d</m:t>
        </m:r>
      </m:oMath>
      <w:r w:rsidRPr="00CC2F84">
        <w:rPr>
          <w:rFonts w:ascii="Helvetica" w:hAnsi="Helvetica"/>
          <w:sz w:val="22"/>
          <w:szCs w:val="22"/>
        </w:rPr>
        <w:t xml:space="preserve"> times as likely to be crowded as households of size 2 (</w:t>
      </w:r>
      <w:r w:rsidRPr="00CC2F84">
        <w:rPr>
          <w:rFonts w:ascii="Helvetica" w:hAnsi="Helvetica"/>
          <w:b/>
          <w:bCs/>
          <w:sz w:val="22"/>
          <w:szCs w:val="22"/>
        </w:rPr>
        <w:t>Supplementary Methods</w:t>
      </w:r>
      <w:r w:rsidRPr="00CC2F84">
        <w:rPr>
          <w:rFonts w:ascii="Helvetica" w:hAnsi="Helvetica"/>
          <w:sz w:val="22"/>
          <w:szCs w:val="22"/>
        </w:rPr>
        <w:t xml:space="preserve">). We used a baseline of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(i.e. households of size 7+ are twice as likely to be crowded as households of size 2). In sensitivity analyses, we considered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and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w:t>
      </w:r>
    </w:p>
    <w:p w14:paraId="33300ECD" w14:textId="53D4FE4B" w:rsidR="00AB7EBC" w:rsidRPr="00CC2F84" w:rsidRDefault="006B4661" w:rsidP="007B1CFB">
      <w:pPr>
        <w:pStyle w:val="Heading4"/>
        <w:jc w:val="both"/>
        <w:rPr>
          <w:rFonts w:ascii="Helvetica" w:hAnsi="Helvetica"/>
          <w:i w:val="0"/>
          <w:iCs w:val="0"/>
          <w:color w:val="auto"/>
          <w:sz w:val="22"/>
          <w:szCs w:val="22"/>
        </w:rPr>
      </w:pPr>
      <w:bookmarkStart w:id="38" w:name="model-implementation"/>
      <w:bookmarkEnd w:id="31"/>
      <w:r w:rsidRPr="00CC2F84">
        <w:rPr>
          <w:rFonts w:ascii="Helvetica" w:hAnsi="Helvetica"/>
          <w:color w:val="auto"/>
          <w:sz w:val="22"/>
          <w:szCs w:val="22"/>
        </w:rPr>
        <w:t>Model implementation</w:t>
      </w:r>
      <w:r w:rsidR="007B1CFB"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implemented the transmission model in </w:t>
      </w:r>
      <w:r w:rsidRPr="00A11FDC">
        <w:rPr>
          <w:rStyle w:val="VerbatimChar"/>
          <w:rFonts w:ascii="Courier New" w:hAnsi="Courier New" w:cs="Courier New"/>
          <w:b/>
          <w:bCs/>
          <w:i w:val="0"/>
          <w:iCs w:val="0"/>
          <w:color w:val="auto"/>
          <w:szCs w:val="22"/>
        </w:rPr>
        <w:t>R</w:t>
      </w:r>
      <w:r w:rsidRPr="00CC2F84">
        <w:rPr>
          <w:rFonts w:ascii="Helvetica" w:hAnsi="Helvetica"/>
          <w:i w:val="0"/>
          <w:iCs w:val="0"/>
          <w:color w:val="auto"/>
          <w:sz w:val="22"/>
          <w:szCs w:val="22"/>
        </w:rPr>
        <w:t xml:space="preserve"> (version 4.5.0) using </w:t>
      </w:r>
      <w:r w:rsidRPr="00A11FDC">
        <w:rPr>
          <w:rStyle w:val="VerbatimChar"/>
          <w:rFonts w:ascii="Courier New" w:hAnsi="Courier New" w:cs="Courier New"/>
          <w:b/>
          <w:bCs/>
          <w:i w:val="0"/>
          <w:iCs w:val="0"/>
          <w:color w:val="auto"/>
          <w:szCs w:val="22"/>
        </w:rPr>
        <w:t>odin</w:t>
      </w:r>
      <w:r w:rsidRPr="00CC2F84">
        <w:rPr>
          <w:rFonts w:ascii="Helvetica" w:hAnsi="Helvetica" w:cs="Courier New"/>
          <w:i w:val="0"/>
          <w:iCs w:val="0"/>
          <w:color w:val="auto"/>
          <w:sz w:val="22"/>
          <w:szCs w:val="22"/>
        </w:rPr>
        <w:t xml:space="preserve"> </w:t>
      </w:r>
      <w:r w:rsidRPr="00CC2F84">
        <w:rPr>
          <w:rFonts w:ascii="Helvetica" w:hAnsi="Helvetica"/>
          <w:i w:val="0"/>
          <w:iCs w:val="0"/>
          <w:color w:val="auto"/>
          <w:sz w:val="22"/>
          <w:szCs w:val="22"/>
        </w:rPr>
        <w:t xml:space="preserve">(version 1.2.7). </w:t>
      </w:r>
      <w:commentRangeStart w:id="39"/>
      <w:commentRangeStart w:id="40"/>
      <w:r w:rsidRPr="00CC2F84">
        <w:rPr>
          <w:rFonts w:ascii="Helvetica" w:hAnsi="Helvetica"/>
          <w:i w:val="0"/>
          <w:iCs w:val="0"/>
          <w:color w:val="auto"/>
          <w:sz w:val="22"/>
          <w:szCs w:val="22"/>
        </w:rPr>
        <w:t>We initialized outbreaks by setting 0.1% of individuals in each sub-population as infectious</w:t>
      </w:r>
      <w:r w:rsidR="00BE3D78">
        <w:rPr>
          <w:rFonts w:ascii="Helvetica" w:hAnsi="Helvetica"/>
          <w:i w:val="0"/>
          <w:iCs w:val="0"/>
          <w:color w:val="auto"/>
          <w:sz w:val="22"/>
          <w:szCs w:val="22"/>
        </w:rPr>
        <w:t xml:space="preserve"> (results were virtually unchanged when seeding the epidemic in just one </w:t>
      </w:r>
      <w:r w:rsidR="00AC004C">
        <w:rPr>
          <w:rFonts w:ascii="Helvetica" w:hAnsi="Helvetica"/>
          <w:i w:val="0"/>
          <w:iCs w:val="0"/>
          <w:color w:val="auto"/>
          <w:sz w:val="22"/>
          <w:szCs w:val="22"/>
        </w:rPr>
        <w:t>of the two sub-</w:t>
      </w:r>
      <w:r w:rsidR="00BE3D78">
        <w:rPr>
          <w:rFonts w:ascii="Helvetica" w:hAnsi="Helvetica"/>
          <w:i w:val="0"/>
          <w:iCs w:val="0"/>
          <w:color w:val="auto"/>
          <w:sz w:val="22"/>
          <w:szCs w:val="22"/>
        </w:rPr>
        <w:t>population</w:t>
      </w:r>
      <w:r w:rsidR="00AC004C">
        <w:rPr>
          <w:rFonts w:ascii="Helvetica" w:hAnsi="Helvetica"/>
          <w:i w:val="0"/>
          <w:iCs w:val="0"/>
          <w:color w:val="auto"/>
          <w:sz w:val="22"/>
          <w:szCs w:val="22"/>
        </w:rPr>
        <w:t>s</w:t>
      </w:r>
      <w:r w:rsidR="00BE3D78">
        <w:rPr>
          <w:rFonts w:ascii="Helvetica" w:hAnsi="Helvetica"/>
          <w:i w:val="0"/>
          <w:iCs w:val="0"/>
          <w:color w:val="auto"/>
          <w:sz w:val="22"/>
          <w:szCs w:val="22"/>
        </w:rPr>
        <w:t>)</w:t>
      </w:r>
      <w:r w:rsidRPr="00CC2F84">
        <w:rPr>
          <w:rFonts w:ascii="Helvetica" w:hAnsi="Helvetica"/>
          <w:i w:val="0"/>
          <w:iCs w:val="0"/>
          <w:color w:val="auto"/>
          <w:sz w:val="22"/>
          <w:szCs w:val="22"/>
        </w:rPr>
        <w:t xml:space="preserve">. </w:t>
      </w:r>
      <w:commentRangeEnd w:id="39"/>
      <w:r w:rsidR="00956CEE" w:rsidRPr="00CC2F84">
        <w:rPr>
          <w:rStyle w:val="CommentReference"/>
          <w:rFonts w:ascii="Helvetica" w:hAnsi="Helvetica"/>
          <w:i w:val="0"/>
          <w:iCs w:val="0"/>
          <w:color w:val="auto"/>
          <w:sz w:val="22"/>
          <w:szCs w:val="22"/>
        </w:rPr>
        <w:commentReference w:id="39"/>
      </w:r>
      <w:commentRangeEnd w:id="40"/>
      <w:r w:rsidRPr="00CC2F84">
        <w:rPr>
          <w:rStyle w:val="CommentReference"/>
          <w:rFonts w:ascii="Helvetica" w:hAnsi="Helvetica"/>
          <w:i w:val="0"/>
          <w:iCs w:val="0"/>
          <w:color w:val="auto"/>
          <w:sz w:val="22"/>
          <w:szCs w:val="22"/>
        </w:rPr>
        <w:commentReference w:id="40"/>
      </w:r>
      <w:r w:rsidRPr="00CC2F84">
        <w:rPr>
          <w:rFonts w:ascii="Helvetica" w:hAnsi="Helvetica"/>
          <w:i w:val="0"/>
          <w:iCs w:val="0"/>
          <w:color w:val="auto"/>
          <w:sz w:val="22"/>
          <w:szCs w:val="22"/>
        </w:rPr>
        <w:t>We distributed the initial infectious individuals proportionally across household types, approximating uniform random seeding of infections across each sub-population. We simulated outbreaks over 365 days.</w:t>
      </w:r>
    </w:p>
    <w:p w14:paraId="55B490C8" w14:textId="15298702" w:rsidR="00AB7EBC" w:rsidRPr="00CC2F84" w:rsidRDefault="0034347F" w:rsidP="007B1CFB">
      <w:pPr>
        <w:pStyle w:val="BodyText"/>
        <w:jc w:val="both"/>
        <w:rPr>
          <w:rFonts w:ascii="Helvetica" w:hAnsi="Helvetica"/>
          <w:sz w:val="22"/>
          <w:szCs w:val="22"/>
        </w:rPr>
      </w:pPr>
      <w:r w:rsidRPr="00CC2F84">
        <w:rPr>
          <w:rFonts w:ascii="Helvetica" w:hAnsi="Helvetica"/>
          <w:sz w:val="22"/>
          <w:szCs w:val="22"/>
        </w:rPr>
        <w:t xml:space="preserve">In addition to the main regional simulations, we also generated county-level simulations to explore differences in transmission between agricultural workers and the general population at a finer geographic scale. </w:t>
      </w:r>
      <w:commentRangeStart w:id="41"/>
      <w:commentRangeStart w:id="42"/>
      <w:r w:rsidRPr="00CC2F84">
        <w:rPr>
          <w:rFonts w:ascii="Helvetica" w:hAnsi="Helvetica"/>
          <w:sz w:val="22"/>
          <w:szCs w:val="22"/>
        </w:rPr>
        <w:t xml:space="preserve">Since the NAWS dataset does not report at the county level, we imputed county-level household size distributions and crowding proportions for agricultural workers using three different methods: an “additive” method, where county-level NAWS values were imputed by adding the difference between the county-level and regional ACS </w:t>
      </w:r>
      <w:r w:rsidR="508EC78B" w:rsidRPr="00CC2F84">
        <w:rPr>
          <w:rFonts w:ascii="Helvetica" w:hAnsi="Helvetica"/>
          <w:sz w:val="22"/>
          <w:szCs w:val="22"/>
        </w:rPr>
        <w:t xml:space="preserve">(general community) </w:t>
      </w:r>
      <w:r w:rsidRPr="00CC2F84">
        <w:rPr>
          <w:rFonts w:ascii="Helvetica" w:hAnsi="Helvetica"/>
          <w:sz w:val="22"/>
          <w:szCs w:val="22"/>
        </w:rPr>
        <w:t>values to the regional NAWS value; a “multiplicative” method, where regional NAWS values were scaled by the ratio of county-level to regional ACS values; and a “null” method, where regional NAWS values were used without adjustment (</w:t>
      </w:r>
      <w:r w:rsidRPr="00CC2F84">
        <w:rPr>
          <w:rFonts w:ascii="Helvetica" w:hAnsi="Helvetica"/>
          <w:b/>
          <w:bCs/>
          <w:sz w:val="22"/>
          <w:szCs w:val="22"/>
        </w:rPr>
        <w:t>Supplementary Methods</w:t>
      </w:r>
      <w:r w:rsidRPr="00CC2F84">
        <w:rPr>
          <w:rFonts w:ascii="Helvetica" w:hAnsi="Helvetica"/>
          <w:sz w:val="22"/>
          <w:szCs w:val="22"/>
        </w:rPr>
        <w:t>).</w:t>
      </w:r>
      <w:commentRangeEnd w:id="41"/>
      <w:r w:rsidR="00956CEE" w:rsidRPr="00CC2F84">
        <w:rPr>
          <w:rStyle w:val="CommentReference"/>
          <w:rFonts w:ascii="Helvetica" w:hAnsi="Helvetica"/>
          <w:sz w:val="22"/>
          <w:szCs w:val="22"/>
        </w:rPr>
        <w:commentReference w:id="41"/>
      </w:r>
      <w:commentRangeEnd w:id="42"/>
      <w:r w:rsidRPr="00CC2F84">
        <w:rPr>
          <w:rStyle w:val="CommentReference"/>
          <w:rFonts w:ascii="Helvetica" w:hAnsi="Helvetica"/>
          <w:sz w:val="22"/>
          <w:szCs w:val="22"/>
        </w:rPr>
        <w:commentReference w:id="42"/>
      </w:r>
      <w:r w:rsidRPr="00CC2F84">
        <w:rPr>
          <w:rFonts w:ascii="Helvetica" w:hAnsi="Helvetica"/>
          <w:sz w:val="22"/>
          <w:szCs w:val="22"/>
        </w:rPr>
        <w:t xml:space="preserve"> The “null” method yielded no variation in county-level agricultural household characteristics within a region; the “additive” method yielded an intermediate amount of variation; and the “multiplicative” method yielded a high amount of variation (</w:t>
      </w:r>
      <w:r w:rsidRPr="00CC2F84">
        <w:rPr>
          <w:rFonts w:ascii="Helvetica" w:hAnsi="Helvetica"/>
          <w:b/>
          <w:bCs/>
          <w:sz w:val="22"/>
          <w:szCs w:val="22"/>
        </w:rPr>
        <w:t>Supplementary Figures S2–S3</w:t>
      </w:r>
      <w:r w:rsidRPr="00CC2F84">
        <w:rPr>
          <w:rFonts w:ascii="Helvetica" w:hAnsi="Helvetica"/>
          <w:sz w:val="22"/>
          <w:szCs w:val="22"/>
        </w:rPr>
        <w:t>). We treated the “additive” method as a baseline and considered the “null” and “multiplicative” methods in sensitivity analyses. Due to the high uncertainty in these imputation methods, we emphasize that these county-level results have a low level of confidence and are intended to provide a rough estimate of within-region variation around the regional mean.</w:t>
      </w:r>
    </w:p>
    <w:p w14:paraId="0B233F59" w14:textId="77777777" w:rsidR="00AB7EBC" w:rsidRPr="00CC2F84" w:rsidRDefault="006B4661">
      <w:pPr>
        <w:pStyle w:val="Heading3"/>
        <w:rPr>
          <w:rFonts w:ascii="Helvetica" w:hAnsi="Helvetica"/>
          <w:color w:val="auto"/>
          <w:sz w:val="22"/>
          <w:szCs w:val="22"/>
          <w:u w:val="single"/>
        </w:rPr>
      </w:pPr>
      <w:bookmarkStart w:id="43" w:name="outcomes-and-measurements"/>
      <w:bookmarkEnd w:id="21"/>
      <w:bookmarkEnd w:id="38"/>
      <w:r w:rsidRPr="00CC2F84">
        <w:rPr>
          <w:rFonts w:ascii="Helvetica" w:hAnsi="Helvetica"/>
          <w:color w:val="auto"/>
          <w:sz w:val="22"/>
          <w:szCs w:val="22"/>
          <w:u w:val="single"/>
        </w:rPr>
        <w:lastRenderedPageBreak/>
        <w:t>Outcomes and measurements</w:t>
      </w:r>
    </w:p>
    <w:p w14:paraId="6241E204" w14:textId="77777777"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We compared the difference in household size distribution (mean household size, proportion of households with 4 or more people) and the difference in household crowding rates between agricultural workers and the general community at the region level. For the outbreak simulations, we measured differences in peak prevalence, time to peak, final size, and maximum incidence deviation between agricultural workers and the general community.</w:t>
      </w:r>
    </w:p>
    <w:p w14:paraId="1488A57F"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 xml:space="preserve">To translate disease dynamics into agricultural productivity impacts, we estimated the number of workers unable to perform harvest labor each day due to symptomatic illness. We assumed that symptomatic individuals could not perform agricultural labor. This allowed us to calculate a daily “workforce strength”, consisting of the fraction of agricultural workers still healthy. </w:t>
      </w:r>
      <w:commentRangeStart w:id="44"/>
      <w:commentRangeStart w:id="45"/>
      <w:r w:rsidRPr="00CC2F84">
        <w:rPr>
          <w:rFonts w:ascii="Helvetica" w:hAnsi="Helvetica"/>
          <w:sz w:val="22"/>
          <w:szCs w:val="22"/>
        </w:rPr>
        <w:t xml:space="preserve">We multiplied this workforce strength by the daily harvest fraction </w:t>
      </w:r>
      <w:commentRangeEnd w:id="44"/>
      <w:r w:rsidR="00956CEE" w:rsidRPr="00CC2F84">
        <w:rPr>
          <w:rStyle w:val="CommentReference"/>
          <w:rFonts w:ascii="Helvetica" w:hAnsi="Helvetica"/>
          <w:sz w:val="22"/>
          <w:szCs w:val="22"/>
        </w:rPr>
        <w:commentReference w:id="44"/>
      </w:r>
      <w:commentRangeEnd w:id="45"/>
      <w:r w:rsidRPr="00CC2F84">
        <w:rPr>
          <w:rStyle w:val="CommentReference"/>
          <w:rFonts w:ascii="Helvetica" w:hAnsi="Helvetica"/>
          <w:sz w:val="22"/>
          <w:szCs w:val="22"/>
        </w:rPr>
        <w:commentReference w:id="45"/>
      </w:r>
      <w:r w:rsidRPr="00CC2F84">
        <w:rPr>
          <w:rFonts w:ascii="Helvetica" w:hAnsi="Helvetica"/>
          <w:sz w:val="22"/>
          <w:szCs w:val="22"/>
        </w:rPr>
        <w:t>for each crop to obtain an outbreak-adjusted harvest volume and summed this adjusted volume over the full year to measure the agricultural impact of the outbreak. We did this for outbreaks peaking on each day of the year to assess the impact of outbreak timing on agricultural productivity for each crop.</w:t>
      </w:r>
    </w:p>
    <w:p w14:paraId="5941BE25" w14:textId="77777777" w:rsidR="00AB7EBC" w:rsidRPr="00CC2F84" w:rsidRDefault="006B4661">
      <w:pPr>
        <w:pStyle w:val="Heading2"/>
        <w:rPr>
          <w:rFonts w:ascii="Helvetica" w:hAnsi="Helvetica"/>
          <w:b/>
          <w:bCs/>
          <w:color w:val="auto"/>
          <w:sz w:val="22"/>
          <w:szCs w:val="22"/>
        </w:rPr>
      </w:pPr>
      <w:bookmarkStart w:id="46" w:name="results"/>
      <w:bookmarkEnd w:id="8"/>
      <w:bookmarkEnd w:id="43"/>
      <w:r w:rsidRPr="00CC2F84">
        <w:rPr>
          <w:rFonts w:ascii="Helvetica" w:hAnsi="Helvetica"/>
          <w:b/>
          <w:bCs/>
          <w:color w:val="auto"/>
          <w:sz w:val="22"/>
          <w:szCs w:val="22"/>
        </w:rPr>
        <w:t>Results</w:t>
      </w:r>
    </w:p>
    <w:p w14:paraId="4A287672" w14:textId="77777777" w:rsidR="00AB7EBC" w:rsidRPr="00CC2F84" w:rsidRDefault="006B4661">
      <w:pPr>
        <w:pStyle w:val="Heading3"/>
        <w:rPr>
          <w:rFonts w:ascii="Helvetica" w:hAnsi="Helvetica"/>
          <w:color w:val="auto"/>
          <w:sz w:val="22"/>
          <w:szCs w:val="22"/>
          <w:u w:val="single"/>
        </w:rPr>
      </w:pPr>
      <w:bookmarkStart w:id="47" w:name="X37b0b664aa263b343ba0ae65727d7eec825df59"/>
      <w:r w:rsidRPr="00CC2F84">
        <w:rPr>
          <w:rFonts w:ascii="Helvetica" w:hAnsi="Helvetica"/>
          <w:color w:val="auto"/>
          <w:sz w:val="22"/>
          <w:szCs w:val="22"/>
          <w:u w:val="single"/>
        </w:rPr>
        <w:t>Household size and crowding lead to higher modeled disease prevalence among agricultural workers.</w:t>
      </w:r>
    </w:p>
    <w:p w14:paraId="0D54C790" w14:textId="30C5C135"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Agricultural worker households are substantially larger and more crowded on average than the general U.S. population (</w:t>
      </w:r>
      <w:r w:rsidRPr="00CC2F84">
        <w:rPr>
          <w:rFonts w:ascii="Helvetica" w:hAnsi="Helvetica"/>
          <w:b/>
          <w:bCs/>
          <w:sz w:val="22"/>
          <w:szCs w:val="22"/>
        </w:rPr>
        <w:t>Figure 1, Supplementary Table S1</w:t>
      </w:r>
      <w:r w:rsidRPr="00CC2F84">
        <w:rPr>
          <w:rFonts w:ascii="Helvetica" w:hAnsi="Helvetica"/>
          <w:sz w:val="22"/>
          <w:szCs w:val="22"/>
        </w:rPr>
        <w:t>). The mean household size among agricultural workers ranged from 3.3 to 4.1 people across regions, compared to 2.4 to 2.8 people for the general population. The proportion of households of size 4 or greater ranged from 41% to 62% among agricultural workers vs. 20% to 30% for the general population. The proportion of crowded households ranged from 11.2%-32.8% for agricultural workers compared to 1.9%-8.3% in the general population. This translated into crowding rates that were 3.3 to 8.6 times higher among agricultural workers than the general population across the six regions.</w:t>
      </w:r>
      <w:r w:rsidR="00626495">
        <w:rPr>
          <w:rFonts w:ascii="Helvetica" w:hAnsi="Helvetica"/>
          <w:sz w:val="22"/>
          <w:szCs w:val="22"/>
        </w:rPr>
        <w:t xml:space="preserve"> The California region had the highest household crowding rates both for agricultural workers (32.8%) and the general population (8.3%, population-weighted mean across counties). </w:t>
      </w:r>
    </w:p>
    <w:p w14:paraId="0878921E"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Simulations of respiratory disease outbreaks at the regional level revealed consistently higher disease burden among agricultural workers than in the general population (</w:t>
      </w:r>
      <w:r w:rsidRPr="00CC2F84">
        <w:rPr>
          <w:rFonts w:ascii="Helvetica" w:hAnsi="Helvetica"/>
          <w:b/>
          <w:bCs/>
          <w:sz w:val="22"/>
          <w:szCs w:val="22"/>
        </w:rPr>
        <w:t>Figure 2, Supplementary Tables S3-S4</w:t>
      </w:r>
      <w:r w:rsidRPr="00CC2F84">
        <w:rPr>
          <w:rFonts w:ascii="Helvetica" w:hAnsi="Helvetica"/>
          <w:sz w:val="22"/>
          <w:szCs w:val="22"/>
        </w:rPr>
        <w:t>). Under baseline assumptions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SAR = 20%/40% for uncrowded/crowded households, </w:t>
      </w:r>
      <m:oMath>
        <m:r>
          <w:rPr>
            <w:rFonts w:ascii="Cambria Math" w:hAnsi="Cambria Math"/>
            <w:sz w:val="22"/>
            <w:szCs w:val="22"/>
          </w:rPr>
          <m:t>η</m:t>
        </m:r>
      </m:oMath>
      <w:r w:rsidRPr="00CC2F84">
        <w:rPr>
          <w:rFonts w:ascii="Helvetica" w:hAnsi="Helvetica"/>
          <w:sz w:val="22"/>
          <w:szCs w:val="22"/>
        </w:rPr>
        <w:t xml:space="preserve"> = 2/3), peak prevalence among agricultural workers was 1.23 to 1.45 times that of the general population across regions. Final sizes were 1.15 to 1.28 times higher among agricultural workers, with final sizes of 66–77% among agricultural workers compared to 56–64% in the general population. Outbreaks peaked between 5 and 12 days earlier in agricultural workers across regions. At the point of maximum prevalence difference, the prevalence in agricultural workers was 1.74 to 2.78 times higher in agricultural workers vs. the general community.</w:t>
      </w:r>
    </w:p>
    <w:p w14:paraId="148A423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These differences were sensitive to the basic reproduction number (</w:t>
      </w:r>
      <w:r w:rsidRPr="00CC2F84">
        <w:rPr>
          <w:rFonts w:ascii="Helvetica" w:hAnsi="Helvetica"/>
          <w:b/>
          <w:bCs/>
          <w:sz w:val="22"/>
          <w:szCs w:val="22"/>
        </w:rPr>
        <w:t>Supplementary Figures S4-S5, Supplementary Tables S3-S4</w:t>
      </w:r>
      <w:r w:rsidRPr="00CC2F84">
        <w:rPr>
          <w:rFonts w:ascii="Helvetica" w:hAnsi="Helvetica"/>
          <w:sz w:val="22"/>
          <w:szCs w:val="22"/>
        </w:rPr>
        <w:t xml:space="preserv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1.2, final size ratios were largest (1.36–1.76 times) despite the overall lower disease burden, and peak prevalence ratios ranged from 1.46 to 2.18 times. The final size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1.2</m:t>
        </m:r>
      </m:oMath>
      <w:r w:rsidRPr="00CC2F84">
        <w:rPr>
          <w:rFonts w:ascii="Helvetica" w:hAnsi="Helvetica"/>
          <w:sz w:val="22"/>
          <w:szCs w:val="22"/>
        </w:rPr>
        <w:t xml:space="preserve"> was 40–59% for agricultural workers and 28–40% for the general community. At higher transmissibility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2.0), peak prevalence ratios narrowed to 1.12–1.21 times, and final size ratios to 1.06–1.10 times as both populations approached high overall infection levels.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3.0, with near-complete infection of both populations, final size ratios were </w:t>
      </w:r>
      <w:r w:rsidRPr="00CC2F84">
        <w:rPr>
          <w:rFonts w:ascii="Helvetica" w:hAnsi="Helvetica"/>
          <w:sz w:val="22"/>
          <w:szCs w:val="22"/>
        </w:rPr>
        <w:lastRenderedPageBreak/>
        <w:t>1.01–1.02 times higher in agricultural workers, while peak prevalence ratios were 1.05–1.09 times higher.</w:t>
      </w:r>
    </w:p>
    <w:p w14:paraId="171B3676" w14:textId="4DBC9DE1" w:rsidR="00AB7EBC" w:rsidRPr="003A5FC8" w:rsidRDefault="006B4661" w:rsidP="007B1CFB">
      <w:pPr>
        <w:pStyle w:val="BodyText"/>
        <w:jc w:val="both"/>
        <w:rPr>
          <w:rFonts w:ascii="Helvetica" w:hAnsi="Helvetica"/>
          <w:sz w:val="22"/>
          <w:szCs w:val="22"/>
        </w:rPr>
      </w:pPr>
      <w:r w:rsidRPr="00CC2F84">
        <w:rPr>
          <w:rFonts w:ascii="Helvetica" w:hAnsi="Helvetica"/>
          <w:sz w:val="22"/>
          <w:szCs w:val="22"/>
        </w:rPr>
        <w:t xml:space="preserve">Increasing SAR in crowded households generally led to greater differences in final size, peak prevalence, and peak timing. Increasing assortativity (more within-group mixing;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had a similar effect. </w:t>
      </w:r>
      <w:r w:rsidR="003A5FC8">
        <w:rPr>
          <w:rFonts w:ascii="Helvetica" w:hAnsi="Helvetica"/>
          <w:sz w:val="22"/>
          <w:szCs w:val="22"/>
        </w:rPr>
        <w:t>A l</w:t>
      </w:r>
      <w:r w:rsidR="00267447">
        <w:rPr>
          <w:rFonts w:ascii="Helvetica" w:hAnsi="Helvetica"/>
          <w:sz w:val="22"/>
          <w:szCs w:val="22"/>
        </w:rPr>
        <w:t>ong infectious period (</w:t>
      </w:r>
      <w:r w:rsidR="003A5FC8">
        <w:rPr>
          <w:rFonts w:ascii="Helvetica" w:hAnsi="Helvetica"/>
          <w:sz w:val="22"/>
          <w:szCs w:val="22"/>
        </w:rPr>
        <w:t>1/</w:t>
      </w:r>
      <m:oMath>
        <m:r>
          <m:rPr>
            <m:sty m:val="p"/>
          </m:rPr>
          <w:rPr>
            <w:rFonts w:ascii="Cambria Math" w:hAnsi="Cambria Math"/>
            <w:sz w:val="22"/>
            <w:szCs w:val="22"/>
          </w:rPr>
          <m:t>γ</m:t>
        </m:r>
        <m:r>
          <w:rPr>
            <w:rFonts w:ascii="Cambria Math" w:hAnsi="Cambria Math"/>
            <w:sz w:val="22"/>
            <w:szCs w:val="22"/>
          </w:rPr>
          <m:t>= 10</m:t>
        </m:r>
      </m:oMath>
      <w:r w:rsidR="00267447">
        <w:rPr>
          <w:rFonts w:ascii="Helvetica" w:hAnsi="Helvetica"/>
          <w:sz w:val="22"/>
          <w:szCs w:val="22"/>
        </w:rPr>
        <w:t xml:space="preserve"> days) </w:t>
      </w:r>
      <w:r w:rsidR="003A5FC8">
        <w:rPr>
          <w:rFonts w:ascii="Helvetica" w:hAnsi="Helvetica"/>
          <w:sz w:val="22"/>
          <w:szCs w:val="22"/>
        </w:rPr>
        <w:t xml:space="preserve">extended the difference </w:t>
      </w:r>
      <w:r w:rsidR="00267447">
        <w:rPr>
          <w:rFonts w:ascii="Helvetica" w:hAnsi="Helvetica"/>
          <w:sz w:val="22"/>
          <w:szCs w:val="22"/>
        </w:rPr>
        <w:t>in peak timing between agricultural workers and the general community</w:t>
      </w:r>
      <w:r w:rsidR="003A5FC8">
        <w:rPr>
          <w:rFonts w:ascii="Helvetica" w:hAnsi="Helvetica"/>
          <w:sz w:val="22"/>
          <w:szCs w:val="22"/>
        </w:rPr>
        <w:t>, and a short infectious period (</w:t>
      </w:r>
      <m:oMath>
        <m:r>
          <w:rPr>
            <w:rFonts w:ascii="Cambria Math" w:hAnsi="Cambria Math"/>
            <w:sz w:val="22"/>
            <w:szCs w:val="22"/>
          </w:rPr>
          <m:t>1/</m:t>
        </m:r>
        <m:r>
          <m:rPr>
            <m:sty m:val="p"/>
          </m:rPr>
          <w:rPr>
            <w:rFonts w:ascii="Cambria Math" w:hAnsi="Cambria Math"/>
            <w:sz w:val="22"/>
            <w:szCs w:val="22"/>
          </w:rPr>
          <m:t>γ</m:t>
        </m:r>
      </m:oMath>
      <w:r w:rsidR="003A5FC8">
        <w:rPr>
          <w:rFonts w:ascii="Helvetica" w:hAnsi="Helvetica"/>
          <w:sz w:val="22"/>
          <w:szCs w:val="22"/>
        </w:rPr>
        <w:t xml:space="preserve"> = 3 days) compressed it, </w:t>
      </w:r>
      <w:r w:rsidR="00267447">
        <w:rPr>
          <w:rFonts w:ascii="Helvetica" w:hAnsi="Helvetica"/>
          <w:sz w:val="22"/>
          <w:szCs w:val="22"/>
        </w:rPr>
        <w:t xml:space="preserve">but </w:t>
      </w:r>
      <w:r w:rsidR="00FD7181">
        <w:rPr>
          <w:rFonts w:ascii="Helvetica" w:hAnsi="Helvetica"/>
          <w:sz w:val="22"/>
          <w:szCs w:val="22"/>
        </w:rPr>
        <w:t>the epidemic size</w:t>
      </w:r>
      <w:r w:rsidR="00D92026">
        <w:rPr>
          <w:rFonts w:ascii="Helvetica" w:hAnsi="Helvetica"/>
          <w:sz w:val="22"/>
          <w:szCs w:val="22"/>
        </w:rPr>
        <w:t>s</w:t>
      </w:r>
      <w:r w:rsidR="00FD7181">
        <w:rPr>
          <w:rFonts w:ascii="Helvetica" w:hAnsi="Helvetica"/>
          <w:sz w:val="22"/>
          <w:szCs w:val="22"/>
        </w:rPr>
        <w:t xml:space="preserve"> </w:t>
      </w:r>
      <w:r w:rsidR="00D92026">
        <w:rPr>
          <w:rFonts w:ascii="Helvetica" w:hAnsi="Helvetica"/>
          <w:sz w:val="22"/>
          <w:szCs w:val="22"/>
        </w:rPr>
        <w:t>were</w:t>
      </w:r>
      <w:r w:rsidR="00FD7181">
        <w:rPr>
          <w:rFonts w:ascii="Helvetica" w:hAnsi="Helvetica"/>
          <w:sz w:val="22"/>
          <w:szCs w:val="22"/>
        </w:rPr>
        <w:t xml:space="preserve"> insensitive to the infectious period. </w:t>
      </w:r>
      <w:commentRangeStart w:id="48"/>
      <w:commentRangeStart w:id="49"/>
      <w:r w:rsidRPr="00CC2F84">
        <w:rPr>
          <w:rFonts w:ascii="Helvetica" w:hAnsi="Helvetica"/>
          <w:sz w:val="22"/>
          <w:szCs w:val="22"/>
        </w:rPr>
        <w:t xml:space="preserve">The simulated epidemics were </w:t>
      </w:r>
      <w:r w:rsidR="00A65DDB">
        <w:rPr>
          <w:rFonts w:ascii="Helvetica" w:hAnsi="Helvetica"/>
          <w:sz w:val="22"/>
          <w:szCs w:val="22"/>
        </w:rPr>
        <w:t xml:space="preserve">also </w:t>
      </w:r>
      <w:r w:rsidRPr="00CC2F84">
        <w:rPr>
          <w:rFonts w:ascii="Helvetica" w:hAnsi="Helvetica"/>
          <w:sz w:val="22"/>
          <w:szCs w:val="22"/>
        </w:rPr>
        <w:t>largely insensitive to the fold-difference in crowding between the largest and smallest households (</w:t>
      </w:r>
      <m:oMath>
        <m:r>
          <w:rPr>
            <w:rFonts w:ascii="Cambria Math" w:hAnsi="Cambria Math"/>
            <w:sz w:val="22"/>
            <w:szCs w:val="22"/>
          </w:rPr>
          <m:t>d</m:t>
        </m:r>
      </m:oMath>
      <w:r w:rsidRPr="00CC2F84">
        <w:rPr>
          <w:rFonts w:ascii="Helvetica" w:hAnsi="Helvetica"/>
          <w:sz w:val="22"/>
          <w:szCs w:val="22"/>
        </w:rPr>
        <w:t>)</w:t>
      </w:r>
      <w:commentRangeEnd w:id="48"/>
      <w:r w:rsidR="00956CEE" w:rsidRPr="00CC2F84">
        <w:rPr>
          <w:rStyle w:val="CommentReference"/>
          <w:rFonts w:ascii="Helvetica" w:hAnsi="Helvetica"/>
          <w:sz w:val="22"/>
          <w:szCs w:val="22"/>
        </w:rPr>
        <w:commentReference w:id="48"/>
      </w:r>
      <w:commentRangeEnd w:id="49"/>
      <w:r w:rsidRPr="00CC2F84">
        <w:rPr>
          <w:rStyle w:val="CommentReference"/>
          <w:rFonts w:ascii="Helvetica" w:hAnsi="Helvetica"/>
          <w:sz w:val="22"/>
          <w:szCs w:val="22"/>
        </w:rPr>
        <w:commentReference w:id="49"/>
      </w:r>
      <w:r w:rsidRPr="00CC2F84">
        <w:rPr>
          <w:rFonts w:ascii="Helvetica" w:hAnsi="Helvetica"/>
          <w:sz w:val="22"/>
          <w:szCs w:val="22"/>
        </w:rPr>
        <w:t xml:space="preserve"> (</w:t>
      </w:r>
      <w:r w:rsidRPr="00CC2F84">
        <w:rPr>
          <w:rFonts w:ascii="Helvetica" w:hAnsi="Helvetica"/>
          <w:b/>
          <w:bCs/>
          <w:sz w:val="22"/>
          <w:szCs w:val="22"/>
        </w:rPr>
        <w:t>Supplementary Figures S4–S</w:t>
      </w:r>
      <w:r w:rsidR="00FE544B">
        <w:rPr>
          <w:rFonts w:ascii="Helvetica" w:hAnsi="Helvetica"/>
          <w:b/>
          <w:bCs/>
          <w:sz w:val="22"/>
          <w:szCs w:val="22"/>
        </w:rPr>
        <w:t>9</w:t>
      </w:r>
      <w:r w:rsidRPr="00CC2F84">
        <w:rPr>
          <w:rFonts w:ascii="Helvetica" w:hAnsi="Helvetica"/>
          <w:b/>
          <w:bCs/>
          <w:sz w:val="22"/>
          <w:szCs w:val="22"/>
        </w:rPr>
        <w:t>, Supplementary Tables S3-S4</w:t>
      </w:r>
      <w:r w:rsidRPr="00CC2F84">
        <w:rPr>
          <w:rFonts w:ascii="Helvetica" w:hAnsi="Helvetica"/>
          <w:sz w:val="22"/>
          <w:szCs w:val="22"/>
        </w:rPr>
        <w:t>)</w:t>
      </w:r>
    </w:p>
    <w:p w14:paraId="0A0517B9" w14:textId="3A77E464"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County-level simulations demonstrated geographic heterogeneity in these infection disparities. Under the baseline parameter values, the median [20th, 80th percentile] county-level peak prevalence ratio ranged from 1.25 [1.22, 1.28] in the Midwest to 1.46 [1.37, 1.56] in the Northwest. Similarly, the median [20th, 80th percentile] county-level final size ratio ranged from 1.17 [1.14, 1.20] in the Southwest to 1.29 [1.25, 1.33] in the East. These results were sensitive to how household sizes and crowding rates were assigned to the agricultural worker population at the county level, with the “multiplicative” method generally yielding more variation in county-level simulations and the “null” method yielding less (</w:t>
      </w:r>
      <w:r w:rsidRPr="00CC2F84">
        <w:rPr>
          <w:rFonts w:ascii="Helvetica" w:hAnsi="Helvetica"/>
          <w:b/>
          <w:bCs/>
          <w:sz w:val="22"/>
          <w:szCs w:val="22"/>
        </w:rPr>
        <w:t>Supplementary Figures S</w:t>
      </w:r>
      <w:r w:rsidR="00EF399A">
        <w:rPr>
          <w:rFonts w:ascii="Helvetica" w:hAnsi="Helvetica"/>
          <w:b/>
          <w:bCs/>
          <w:sz w:val="22"/>
          <w:szCs w:val="22"/>
        </w:rPr>
        <w:t>10</w:t>
      </w:r>
      <w:r w:rsidRPr="00CC2F84">
        <w:rPr>
          <w:rFonts w:ascii="Helvetica" w:hAnsi="Helvetica"/>
          <w:b/>
          <w:bCs/>
          <w:sz w:val="22"/>
          <w:szCs w:val="22"/>
        </w:rPr>
        <w:t>–S1</w:t>
      </w:r>
      <w:r w:rsidR="00EF399A">
        <w:rPr>
          <w:rFonts w:ascii="Helvetica" w:hAnsi="Helvetica"/>
          <w:b/>
          <w:bCs/>
          <w:sz w:val="22"/>
          <w:szCs w:val="22"/>
        </w:rPr>
        <w:t>1</w:t>
      </w:r>
      <w:r w:rsidRPr="00CC2F84">
        <w:rPr>
          <w:rFonts w:ascii="Helvetica" w:hAnsi="Helvetica"/>
          <w:sz w:val="22"/>
          <w:szCs w:val="22"/>
        </w:rPr>
        <w:t>).</w:t>
      </w:r>
    </w:p>
    <w:p w14:paraId="006BD94C" w14:textId="77777777" w:rsidR="00AB7EBC" w:rsidRPr="00CC2F84" w:rsidRDefault="006B4661">
      <w:pPr>
        <w:pStyle w:val="Heading3"/>
        <w:rPr>
          <w:rFonts w:ascii="Helvetica" w:hAnsi="Helvetica"/>
          <w:color w:val="auto"/>
          <w:sz w:val="22"/>
          <w:szCs w:val="22"/>
          <w:u w:val="single"/>
        </w:rPr>
      </w:pPr>
      <w:bookmarkStart w:id="50" w:name="X23a3eb5a3d6f04b1767af9d2e472f8f81c5bd38"/>
      <w:bookmarkEnd w:id="47"/>
      <w:r w:rsidRPr="00CC2F84">
        <w:rPr>
          <w:rFonts w:ascii="Helvetica" w:hAnsi="Helvetica"/>
          <w:color w:val="auto"/>
          <w:sz w:val="22"/>
          <w:szCs w:val="22"/>
          <w:u w:val="single"/>
        </w:rPr>
        <w:t>Respiratory disease outbreaks among agricultural workers can lead to substantial productivity losses.</w:t>
      </w:r>
    </w:p>
    <w:p w14:paraId="447BD7DB" w14:textId="1EF6B373" w:rsidR="00AB7EBC" w:rsidRPr="00CC2F84" w:rsidRDefault="75860415" w:rsidP="007B1CFB">
      <w:pPr>
        <w:pStyle w:val="FirstParagraph"/>
        <w:jc w:val="both"/>
        <w:rPr>
          <w:rFonts w:ascii="Helvetica" w:hAnsi="Helvetica"/>
          <w:sz w:val="22"/>
          <w:szCs w:val="22"/>
        </w:rPr>
      </w:pPr>
      <w:r w:rsidRPr="00CC2F84">
        <w:rPr>
          <w:rFonts w:ascii="Helvetica" w:hAnsi="Helvetica"/>
          <w:sz w:val="22"/>
          <w:szCs w:val="22"/>
        </w:rPr>
        <w:t>The simulated outbreaks yielded substantial productivity losses for all three crops we considered, with the impact varying by outbreak timing relative to peak harvest periods (</w:t>
      </w:r>
      <w:r w:rsidRPr="00CC2F84">
        <w:rPr>
          <w:rFonts w:ascii="Helvetica" w:hAnsi="Helvetica"/>
          <w:b/>
          <w:bCs/>
          <w:sz w:val="22"/>
          <w:szCs w:val="22"/>
        </w:rPr>
        <w:t>Figure 3, Supplementary Figure S1</w:t>
      </w:r>
      <w:r w:rsidR="00EF399A">
        <w:rPr>
          <w:rFonts w:ascii="Helvetica" w:hAnsi="Helvetica"/>
          <w:b/>
          <w:bCs/>
          <w:sz w:val="22"/>
          <w:szCs w:val="22"/>
        </w:rPr>
        <w:t>4</w:t>
      </w:r>
      <w:r w:rsidRPr="00CC2F84">
        <w:rPr>
          <w:rFonts w:ascii="Helvetica" w:hAnsi="Helvetica"/>
          <w:b/>
          <w:bCs/>
          <w:sz w:val="22"/>
          <w:szCs w:val="22"/>
        </w:rPr>
        <w:t>, Supplementary Table S5</w:t>
      </w:r>
      <w:r w:rsidRPr="00CC2F84">
        <w:rPr>
          <w:rFonts w:ascii="Helvetica" w:hAnsi="Helvetica"/>
          <w:sz w:val="22"/>
          <w:szCs w:val="22"/>
        </w:rPr>
        <w:t xml:space="preserve">). For strawberries, peak productivity losses were 0.62% with the worst outbreak timing being an epidemic peak on day 147 (approximately late May). For iceberg lettuce, maximum losses were 0.50% for outbreaks that peaked in late May (day 148). For oranges, peak losses </w:t>
      </w:r>
      <w:r w:rsidR="00506189">
        <w:rPr>
          <w:rFonts w:ascii="Helvetica" w:hAnsi="Helvetica"/>
          <w:sz w:val="22"/>
          <w:szCs w:val="22"/>
        </w:rPr>
        <w:t>(</w:t>
      </w:r>
      <w:r w:rsidR="00506189" w:rsidRPr="00506189">
        <w:rPr>
          <w:rFonts w:ascii="Helvetica" w:hAnsi="Helvetica"/>
          <w:i/>
          <w:iCs/>
          <w:sz w:val="22"/>
          <w:szCs w:val="22"/>
        </w:rPr>
        <w:t>i.e.</w:t>
      </w:r>
      <w:r w:rsidR="00506189">
        <w:rPr>
          <w:rFonts w:ascii="Helvetica" w:hAnsi="Helvetica"/>
          <w:sz w:val="22"/>
          <w:szCs w:val="22"/>
        </w:rPr>
        <w:t xml:space="preserve">, assuming the worst possible outbreak timing and summing losses over that entire outbreak) </w:t>
      </w:r>
      <w:r w:rsidRPr="00CC2F84">
        <w:rPr>
          <w:rFonts w:ascii="Helvetica" w:hAnsi="Helvetica"/>
          <w:sz w:val="22"/>
          <w:szCs w:val="22"/>
        </w:rPr>
        <w:t xml:space="preserve">were 0.50% for outbreaks peaking in late January (day 29). These translate into </w:t>
      </w:r>
      <w:commentRangeStart w:id="51"/>
      <w:commentRangeStart w:id="52"/>
      <w:r w:rsidRPr="00CC2F84">
        <w:rPr>
          <w:rFonts w:ascii="Helvetica" w:hAnsi="Helvetica"/>
          <w:sz w:val="22"/>
          <w:szCs w:val="22"/>
        </w:rPr>
        <w:t>peak losses</w:t>
      </w:r>
      <w:commentRangeEnd w:id="51"/>
      <w:r w:rsidR="00956CEE" w:rsidRPr="00CC2F84">
        <w:rPr>
          <w:rStyle w:val="CommentReference"/>
          <w:rFonts w:ascii="Helvetica" w:hAnsi="Helvetica"/>
          <w:sz w:val="22"/>
          <w:szCs w:val="22"/>
        </w:rPr>
        <w:commentReference w:id="51"/>
      </w:r>
      <w:commentRangeEnd w:id="52"/>
      <w:r w:rsidR="00506189" w:rsidRPr="00CC2F84">
        <w:rPr>
          <w:rStyle w:val="CommentReference"/>
          <w:rFonts w:ascii="Helvetica" w:hAnsi="Helvetica"/>
          <w:sz w:val="22"/>
          <w:szCs w:val="22"/>
        </w:rPr>
        <w:commentReference w:id="52"/>
      </w:r>
      <w:r w:rsidRPr="00CC2F84">
        <w:rPr>
          <w:rFonts w:ascii="Helvetica" w:hAnsi="Helvetica"/>
          <w:sz w:val="22"/>
          <w:szCs w:val="22"/>
        </w:rPr>
        <w:t xml:space="preserve"> of roughly $21,511,907, $6,257,962, and $4,275,115 USD for strawberries, </w:t>
      </w:r>
      <w:r w:rsidR="005459A3">
        <w:rPr>
          <w:rFonts w:ascii="Helvetica" w:hAnsi="Helvetica"/>
          <w:sz w:val="22"/>
          <w:szCs w:val="22"/>
        </w:rPr>
        <w:t>iceberg</w:t>
      </w:r>
      <w:commentRangeStart w:id="53"/>
      <w:commentRangeStart w:id="54"/>
      <w:r w:rsidRPr="00CC2F84">
        <w:rPr>
          <w:rFonts w:ascii="Helvetica" w:hAnsi="Helvetica"/>
          <w:sz w:val="22"/>
          <w:szCs w:val="22"/>
        </w:rPr>
        <w:t xml:space="preserve"> lettuce</w:t>
      </w:r>
      <w:commentRangeEnd w:id="53"/>
      <w:r w:rsidR="00956CEE" w:rsidRPr="00CC2F84">
        <w:rPr>
          <w:rStyle w:val="CommentReference"/>
          <w:rFonts w:ascii="Helvetica" w:hAnsi="Helvetica"/>
          <w:sz w:val="22"/>
          <w:szCs w:val="22"/>
        </w:rPr>
        <w:commentReference w:id="53"/>
      </w:r>
      <w:commentRangeEnd w:id="54"/>
      <w:r w:rsidR="006B4661" w:rsidRPr="00CC2F84">
        <w:rPr>
          <w:rStyle w:val="CommentReference"/>
          <w:rFonts w:ascii="Helvetica" w:hAnsi="Helvetica"/>
          <w:sz w:val="22"/>
          <w:szCs w:val="22"/>
        </w:rPr>
        <w:commentReference w:id="54"/>
      </w:r>
      <w:r w:rsidRPr="00CC2F84">
        <w:rPr>
          <w:rFonts w:ascii="Helvetica" w:hAnsi="Helvetica"/>
          <w:sz w:val="22"/>
          <w:szCs w:val="22"/>
        </w:rPr>
        <w:t>, and oranges, respectively.</w:t>
      </w:r>
    </w:p>
    <w:p w14:paraId="38D782D1" w14:textId="77777777" w:rsidR="007B1CFB" w:rsidRPr="00CC2F84" w:rsidRDefault="007B1CFB" w:rsidP="007B1CFB">
      <w:pPr>
        <w:pStyle w:val="Heading2"/>
        <w:rPr>
          <w:rFonts w:ascii="Helvetica" w:hAnsi="Helvetica"/>
          <w:b/>
          <w:bCs/>
          <w:color w:val="auto"/>
          <w:sz w:val="22"/>
          <w:szCs w:val="22"/>
        </w:rPr>
      </w:pPr>
      <w:bookmarkStart w:id="55" w:name="discussion"/>
      <w:r w:rsidRPr="00CC2F84">
        <w:rPr>
          <w:rFonts w:ascii="Helvetica" w:hAnsi="Helvetica"/>
          <w:b/>
          <w:bCs/>
          <w:color w:val="auto"/>
          <w:sz w:val="22"/>
          <w:szCs w:val="22"/>
        </w:rPr>
        <w:t>Discussion</w:t>
      </w:r>
    </w:p>
    <w:p w14:paraId="3EC265D7" w14:textId="77777777" w:rsidR="007B1CFB" w:rsidRPr="00CC2F84" w:rsidRDefault="007B1CFB" w:rsidP="007B1CFB">
      <w:pPr>
        <w:pStyle w:val="FirstParagraph"/>
        <w:jc w:val="both"/>
        <w:rPr>
          <w:rFonts w:ascii="Helvetica" w:hAnsi="Helvetica"/>
          <w:sz w:val="22"/>
          <w:szCs w:val="22"/>
        </w:rPr>
      </w:pPr>
      <w:r w:rsidRPr="00CC2F84">
        <w:rPr>
          <w:rFonts w:ascii="Helvetica" w:hAnsi="Helvetica"/>
          <w:sz w:val="22"/>
          <w:szCs w:val="22"/>
        </w:rPr>
        <w:t>Differences in household size and household crowding are sufficient to produce substantial disparities in the timing and severity of respiratory disease outbreaks between agricultural workers and the general population. In our baseline scenario, representing a pandemic influenza-like virus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peak disease prevalence among agricultural workers occurred 5-12 days earlier and was 23%-45% higher than in the general community, with cumulative infections 15%-28% higher, depending on the region. At the point of maximum divergence, prevalence among agricultural workers was 74% - 178% higher than in the general community. Our findings indicate that community-wide disease indicators may substantially underestimate the burden of disease among agricultural workers, particularly during the early stages of an epidemic.</w:t>
      </w:r>
    </w:p>
    <w:p w14:paraId="42C9C1BF" w14:textId="77777777" w:rsidR="007B1CFB" w:rsidRPr="00CC2F84" w:rsidRDefault="007B1CFB" w:rsidP="007B1CFB">
      <w:pPr>
        <w:pStyle w:val="BodyText"/>
        <w:jc w:val="both"/>
        <w:rPr>
          <w:rFonts w:ascii="Helvetica" w:hAnsi="Helvetica"/>
          <w:sz w:val="22"/>
          <w:szCs w:val="22"/>
        </w:rPr>
      </w:pPr>
      <w:r w:rsidRPr="00CC2F84">
        <w:rPr>
          <w:rFonts w:ascii="Helvetica" w:hAnsi="Helvetica"/>
          <w:sz w:val="22"/>
          <w:szCs w:val="22"/>
        </w:rPr>
        <w:t xml:space="preserve">Disease among agricultural workers translates into lost labor and, consequently, reduced food production. For three labor-intensive California crops – strawberries, iceberg lettuce, and oranges – we estimated that a respiratory disease outbreak could reduce harvest volumes by 0.50% - 0.62% if its peak coincided with peak harvest periods, assuming half of infections caused symptoms severe enough to prevent work. While these are modest reductions, they translate into </w:t>
      </w:r>
      <w:r w:rsidRPr="00CC2F84">
        <w:rPr>
          <w:rFonts w:ascii="Helvetica" w:hAnsi="Helvetica"/>
          <w:sz w:val="22"/>
          <w:szCs w:val="22"/>
        </w:rPr>
        <w:lastRenderedPageBreak/>
        <w:t>estimated revenue losses of approximately $4 - $21 million USD per crop, depending on the commodity. For a more transmissible or clinically severe pathogen, losses could be much higher.</w:t>
      </w:r>
    </w:p>
    <w:p w14:paraId="511A91A8" w14:textId="7DA64DB5" w:rsidR="007B1CFB" w:rsidRPr="00CC2F84" w:rsidRDefault="20463923" w:rsidP="007B1CFB">
      <w:pPr>
        <w:pStyle w:val="BodyText"/>
        <w:jc w:val="both"/>
        <w:rPr>
          <w:rFonts w:ascii="Helvetica" w:hAnsi="Helvetica"/>
          <w:sz w:val="22"/>
          <w:szCs w:val="22"/>
        </w:rPr>
      </w:pPr>
      <w:commentRangeStart w:id="56"/>
      <w:commentRangeStart w:id="57"/>
      <w:r w:rsidRPr="00CC2F84">
        <w:rPr>
          <w:rFonts w:ascii="Helvetica" w:hAnsi="Helvetica"/>
          <w:sz w:val="22"/>
          <w:szCs w:val="22"/>
        </w:rPr>
        <w:t xml:space="preserve">These findings are consistent </w:t>
      </w:r>
      <w:commentRangeEnd w:id="56"/>
      <w:r w:rsidR="00956CEE" w:rsidRPr="00CC2F84">
        <w:rPr>
          <w:rStyle w:val="CommentReference"/>
          <w:rFonts w:ascii="Helvetica" w:hAnsi="Helvetica"/>
          <w:sz w:val="22"/>
          <w:szCs w:val="22"/>
        </w:rPr>
        <w:commentReference w:id="56"/>
      </w:r>
      <w:commentRangeEnd w:id="57"/>
      <w:r w:rsidR="32A57765" w:rsidRPr="00CC2F84">
        <w:rPr>
          <w:rStyle w:val="CommentReference"/>
          <w:rFonts w:ascii="Helvetica" w:hAnsi="Helvetica"/>
          <w:sz w:val="22"/>
          <w:szCs w:val="22"/>
        </w:rPr>
        <w:commentReference w:id="57"/>
      </w:r>
      <w:r w:rsidRPr="00CC2F84">
        <w:rPr>
          <w:rFonts w:ascii="Helvetica" w:hAnsi="Helvetica"/>
          <w:sz w:val="22"/>
          <w:szCs w:val="22"/>
        </w:rPr>
        <w:t>with a growing body of evidence revealing the disproportionate impacts of respiratory disease on agricultural and food system workers. During the COVID-19 pandemic, prospective surveillance in California’s Salinas Valley found a SARS-CoV-2 test positivity rate of 22% among farmworkers, compared to 17% among other adults, with household crowding identified as a key risk factor.</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{"citationID":"DLbBWuMS","properties":{"formattedCitation":"\\super 15,24\\nosupersub{}","plainCitation":"15,24","noteIndex":0},"citationItems":[{"id":3157,"uris":["http://zotero.org/users/10934876/items/4DPZHVS6"],"itemData":{"id":3157,"type":"article-journal","container-title":"Emerging Infectious Diseases","DOI":"10.3201/eid2705.204949","ISSN":"1080-6040, 1080-6059","issue":"5","journalAbbreviation":"Emerg. Infect. Dis.","page":"1330-1342","source":"DOI.org (Crossref)","title":"Prevalence and Clinical Profile of Severe Acute Respiratory Syndrome Coronavirus 2 Infection among Farmworkers, California, USA, June–November 2020","volume":"27","author":[{"family":"Lewnard","given":"Joseph A."},{"family":"Mora","given":"Ana M."},{"family":"Nkwocha","given":"Oguchi"},{"family":"Kogut","given":"Katherine"},{"family":"Rauch","given":"Stephen A."},{"family":"Morga","given":"Norma"},{"family":"Hernandez","given":"Samantha"},{"family":"Wong","given":"Marcus P."},{"family":"Huen","given":"Karen"},{"family":"Andrejko","given":"Kristin"},{"family":"Jewell","given":"Nicholas P."},{"family":"Parra","given":"Kimberly L."},{"family":"Holland","given":"Nina"},{"family":"Harris","given":"Eva"},{"family":"Cuevas","given":"Maximiliano"},{"family":"Eskenazi","given":"Brenda"},{"literal":"on behalf of the CHAMACOS-Project-19 Study Team2"}],"issued":{"date-parts":[["2021",5]]}}},{"id":3141,"uris":["http://zotero.org/users/10934876/items/EZ95JNJD"],"itemData":{"id":3141,"type":"article-journal","container-title":"JAMA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15,24</w:t>
      </w:r>
      <w:r w:rsidR="00901969">
        <w:rPr>
          <w:rFonts w:ascii="Helvetica" w:hAnsi="Helvetica"/>
          <w:sz w:val="22"/>
          <w:szCs w:val="22"/>
        </w:rPr>
        <w:fldChar w:fldCharType="end"/>
      </w:r>
      <w:r w:rsidRPr="00CC2F84">
        <w:rPr>
          <w:rFonts w:ascii="Helvetica" w:hAnsi="Helvetica"/>
          <w:sz w:val="22"/>
          <w:szCs w:val="22"/>
        </w:rPr>
        <w:t xml:space="preserve"> At a broader scale, COVID-19 led to an estimated 0.069% reduction in farm labor input across the United States, resulting in approximately $309 million in lost agricultural output.</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{"citationID":"vlAShjA1","properties":{"formattedCitation":"\\super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3</w:t>
      </w:r>
      <w:r w:rsidR="00901969">
        <w:rPr>
          <w:rFonts w:ascii="Helvetica" w:hAnsi="Helvetica"/>
          <w:sz w:val="22"/>
          <w:szCs w:val="22"/>
        </w:rPr>
        <w:fldChar w:fldCharType="end"/>
      </w:r>
      <w:r w:rsidRPr="00CC2F84">
        <w:rPr>
          <w:rFonts w:ascii="Helvetica" w:hAnsi="Helvetica"/>
          <w:sz w:val="22"/>
          <w:szCs w:val="22"/>
        </w:rPr>
        <w:t xml:space="preserve"> Our peak estimates of 0.50%–0.62% production loss for individual crops are an order of magnitude higher, but </w:t>
      </w:r>
      <w:r w:rsidR="009A187C">
        <w:rPr>
          <w:rFonts w:ascii="Helvetica" w:hAnsi="Helvetica"/>
          <w:sz w:val="22"/>
          <w:szCs w:val="22"/>
        </w:rPr>
        <w:t xml:space="preserve">the 0.069% figure </w:t>
      </w:r>
      <w:r w:rsidRPr="00CC2F84">
        <w:rPr>
          <w:rFonts w:ascii="Helvetica" w:hAnsi="Helvetica"/>
          <w:sz w:val="22"/>
          <w:szCs w:val="22"/>
        </w:rPr>
        <w:t>encompasses all farm production (including less labor-intensive commodities) and reflects a pandemic whose surges were not optimally aligned with peak harvest periods.</w:t>
      </w:r>
      <w:r w:rsidR="006F1377">
        <w:rPr>
          <w:rFonts w:ascii="Helvetica" w:hAnsi="Helvetica"/>
          <w:sz w:val="22"/>
          <w:szCs w:val="22"/>
        </w:rPr>
        <w:t xml:space="preserve"> </w:t>
      </w:r>
      <w:r w:rsidR="00DA6738">
        <w:rPr>
          <w:rFonts w:ascii="Helvetica" w:hAnsi="Helvetica"/>
          <w:sz w:val="22"/>
          <w:szCs w:val="22"/>
        </w:rPr>
        <w:t xml:space="preserve">We have focused on the impact of illness on agricultural workers, but elevated disease in agricultural workers may translate into higher disease rates for the general population: in U.S. counties with high concentrations of workers in fruit, vegetable, and horticultural production, COVID-19 rates were substantially </w:t>
      </w:r>
      <w:r w:rsidR="00A5218B">
        <w:rPr>
          <w:rFonts w:ascii="Helvetica" w:hAnsi="Helvetica"/>
          <w:sz w:val="22"/>
          <w:szCs w:val="22"/>
        </w:rPr>
        <w:t>elevated</w:t>
      </w:r>
      <w:r w:rsidR="00DA6738">
        <w:rPr>
          <w:rFonts w:ascii="Helvetica" w:hAnsi="Helvetica"/>
          <w:sz w:val="22"/>
          <w:szCs w:val="22"/>
        </w:rPr>
        <w:t>.</w:t>
      </w:r>
      <w:r w:rsidR="00E30146">
        <w:rPr>
          <w:rFonts w:ascii="Helvetica" w:hAnsi="Helvetica"/>
          <w:sz w:val="22"/>
          <w:szCs w:val="22"/>
        </w:rPr>
        <w:fldChar w:fldCharType="begin"/>
      </w:r>
      <w:r w:rsidR="00BE3D78">
        <w:rPr>
          <w:rFonts w:ascii="Helvetica" w:hAnsi="Helvetica"/>
          <w:sz w:val="22"/>
          <w:szCs w:val="22"/>
        </w:rPr>
        <w:instrText xml:space="preserve"> ADDIN ZOTERO_ITEM CSL_CITATION {"citationID":"gtm3oEP0","properties":{"formattedCitation":"\\super 60\\nosupersub{}","plainCitation":"60","noteIndex":0},"citationItems":[{"id":3212,"uris":["http://zotero.org/users/10934876/items/WMBBK795"],"itemData":{"id":3212,"type":"article-journal","abstract":"Abstract\n            The COVID‐19 pandemic in 2020 caused unprecedented shocks to agricultural food systems, including increased risk to worker health, labor‐related input costs, and production uncertainty. Despite employer precautions, there were numerous worksite outbreaks of COVID‐19. This paper examines the relationship between month‐to‐month variation in historical agricultural employment and changes in the incidence of confirmed COVID‐19 cases and deaths within U.S. counties from April to August 2020. The results show that employment of 100 additional workers in fruit, vegetable, and horticultural production was associated with 4.5% more COVID‐19 cases within counties or an additional 18.65 COVID‐19 cases and 0.34 additional COVID‐19 deaths per 100,000 individuals in the county workforce.","container-title":"Applied Economic Perspectives and Policy","DOI":"10.1002/aepp.13190","ISSN":"2040-5790, 2040-5804","issue":"3","journalAbbreviation":"Applied Eco Perspectives Pol","language":"en","page":"1591-1609","source":"DOI.org (Crossref)","title":"Seasonal farm labor and COVID‐19 spread","title-short":"Seasonal farm labor and &lt;span style=\"font-variant","volume":"44","author":[{"family":"Charlton","given":"Diane"}],"issued":{"date-parts":[["2022",9]]}}}],"schema":"https://github.com/citation-style-language/schema/raw/master/csl-citation.json"} </w:instrText>
      </w:r>
      <w:r w:rsidR="00E30146">
        <w:rPr>
          <w:rFonts w:ascii="Helvetica" w:hAnsi="Helvetica"/>
          <w:sz w:val="22"/>
          <w:szCs w:val="22"/>
        </w:rPr>
        <w:fldChar w:fldCharType="separate"/>
      </w:r>
      <w:r w:rsidR="00BE3D78" w:rsidRPr="00BE3D78">
        <w:rPr>
          <w:rFonts w:ascii="Helvetica" w:hAnsi="Helvetica" w:cs="Times New Roman"/>
          <w:sz w:val="22"/>
          <w:vertAlign w:val="superscript"/>
        </w:rPr>
        <w:t>60</w:t>
      </w:r>
      <w:r w:rsidR="00E30146">
        <w:rPr>
          <w:rFonts w:ascii="Helvetica" w:hAnsi="Helvetica"/>
          <w:sz w:val="22"/>
          <w:szCs w:val="22"/>
        </w:rPr>
        <w:fldChar w:fldCharType="end"/>
      </w:r>
      <w:r w:rsidR="00DA6738">
        <w:rPr>
          <w:rFonts w:ascii="Helvetica" w:hAnsi="Helvetica"/>
          <w:sz w:val="22"/>
          <w:szCs w:val="22"/>
        </w:rPr>
        <w:t xml:space="preserve"> </w:t>
      </w:r>
      <w:r w:rsidR="00AC52D1">
        <w:rPr>
          <w:rFonts w:ascii="Helvetica" w:hAnsi="Helvetica"/>
          <w:sz w:val="22"/>
          <w:szCs w:val="22"/>
        </w:rPr>
        <w:t>Together</w:t>
      </w:r>
      <w:r w:rsidR="00AD4B45" w:rsidRPr="00AD4B45">
        <w:rPr>
          <w:rFonts w:ascii="Helvetica" w:hAnsi="Helvetica"/>
          <w:sz w:val="22"/>
          <w:szCs w:val="22"/>
        </w:rPr>
        <w:t>, our results underscore the need for targeted interventions to protect the health of agricultural workers</w:t>
      </w:r>
      <w:r w:rsidR="00AD4B45">
        <w:rPr>
          <w:rFonts w:ascii="Helvetica" w:hAnsi="Helvetica"/>
          <w:sz w:val="22"/>
          <w:szCs w:val="22"/>
        </w:rPr>
        <w:t xml:space="preserve">, </w:t>
      </w:r>
      <w:r w:rsidR="00AD4B45" w:rsidRPr="00AD4B45">
        <w:rPr>
          <w:rFonts w:ascii="Helvetica" w:hAnsi="Helvetica"/>
          <w:sz w:val="22"/>
          <w:szCs w:val="22"/>
        </w:rPr>
        <w:t>both as a matter of equity and because of the downstream consequences for food production</w:t>
      </w:r>
      <w:r w:rsidR="00085491">
        <w:rPr>
          <w:rFonts w:ascii="Helvetica" w:hAnsi="Helvetica"/>
          <w:sz w:val="22"/>
          <w:szCs w:val="22"/>
        </w:rPr>
        <w:t xml:space="preserve"> and </w:t>
      </w:r>
      <w:r w:rsidR="006F1252">
        <w:rPr>
          <w:rFonts w:ascii="Helvetica" w:hAnsi="Helvetica"/>
          <w:sz w:val="22"/>
          <w:szCs w:val="22"/>
        </w:rPr>
        <w:t xml:space="preserve">overall </w:t>
      </w:r>
      <w:r w:rsidR="00085491">
        <w:rPr>
          <w:rFonts w:ascii="Helvetica" w:hAnsi="Helvetica"/>
          <w:sz w:val="22"/>
          <w:szCs w:val="22"/>
        </w:rPr>
        <w:t>population health</w:t>
      </w:r>
      <w:r w:rsidR="00AD4B45" w:rsidRPr="00AD4B45">
        <w:rPr>
          <w:rFonts w:ascii="Helvetica" w:hAnsi="Helvetica"/>
          <w:sz w:val="22"/>
          <w:szCs w:val="22"/>
        </w:rPr>
        <w:t>.</w:t>
      </w:r>
      <w:commentRangeStart w:id="58"/>
      <w:commentRangeEnd w:id="58"/>
      <w:r w:rsidR="00956CEE" w:rsidRPr="00CC2F84">
        <w:rPr>
          <w:rStyle w:val="CommentReference"/>
          <w:rFonts w:ascii="Helvetica" w:hAnsi="Helvetica"/>
          <w:sz w:val="22"/>
          <w:szCs w:val="22"/>
        </w:rPr>
        <w:commentReference w:id="58"/>
      </w:r>
    </w:p>
    <w:p w14:paraId="0352A8A3" w14:textId="18C92E87" w:rsidR="007B1CFB" w:rsidRPr="00CC2F84" w:rsidRDefault="00AD4B45" w:rsidP="007B1CFB">
      <w:pPr>
        <w:pStyle w:val="BodyText"/>
        <w:jc w:val="both"/>
        <w:rPr>
          <w:rFonts w:ascii="Helvetica" w:hAnsi="Helvetica"/>
          <w:sz w:val="22"/>
          <w:szCs w:val="22"/>
        </w:rPr>
      </w:pPr>
      <w:r w:rsidRPr="00AD4B45">
        <w:rPr>
          <w:rFonts w:ascii="Helvetica" w:hAnsi="Helvetica"/>
          <w:sz w:val="22"/>
          <w:szCs w:val="22"/>
        </w:rPr>
        <w:t>Various modeling frameworks have been developed to simulate the spread of COVID-19 among farmworkers</w:t>
      </w:r>
      <w:r w:rsidR="00901969">
        <w:rPr>
          <w:rFonts w:ascii="Helvetica" w:hAnsi="Helvetica"/>
          <w:sz w:val="22"/>
          <w:szCs w:val="22"/>
        </w:rPr>
        <w:fldChar w:fldCharType="begin"/>
      </w:r>
      <w:r w:rsidR="00BE3D78">
        <w:rPr>
          <w:rFonts w:ascii="Helvetica" w:hAnsi="Helvetica"/>
          <w:sz w:val="22"/>
          <w:szCs w:val="22"/>
        </w:rPr>
        <w:instrText xml:space="preserve"> ADDIN ZOTERO_ITEM CSL_CITATION {"citationID":"uHVXS7g3","properties":{"formattedCitation":"\\super 61,62\\nosupersub{}","plainCitation":"61,62","noteIndex":0},"citationItems":[{"id":3204,"uris":["http://zotero.org/users/10934876/items/EXLGC62X"],"itemData":{"id":3204,"type":"article-journal","container-title":"La Matematica","DOI":"10.1007/s44007-023-00043-4","ISSN":"2730-9657","issue":"1","journalAbbreviation":"La Matematica","language":"en","page":"223-241","source":"DOI.org (Crossref)","title":"A Case Study on the Practical Use of Low-Fidelity Modeling to Mitigate the Spread of COVID-19 Amongst the Underserved Farmworker Community","volume":"2","author":[{"family":"McCue-Weil","given":"Leigh"},{"family":"Knight","given":"Margaret"},{"family":"Driscoll","given":"Maryellen"},{"family":"Jenkins","given":"Paul"},{"family":"Sorensen","given":"Julie"}],"issued":{"date-parts":[["2023",2,22]]}}},{"id":3206,"uris":["http://zotero.org/users/10934876/items/GPBDMKEX"],"itemData":{"id":3206,"type":"article-journal","abstract":"This is the first study to estimate the daily risk of severe acute respiratory syndrome coronavirus 2 (SARS-CoV-2) infection across a variety of indoor and outdoor environmental settings relevant to food workers (e.g., shared transportation [car or bus], enclosed produce processing facility and accompanying breakroom, outdoor produce harvesting field, shared housing facility) through a linked quantitative microbial risk assessment framework. Our model has demonstrated that the elevated daily SARS-CoV-2 infection risk experienced by indoor and outdoor produce workers can be reduced below 1% when vaccinations (optimal vaccine efficacy, 86 to 99%) are implemented with recommended infection control strategies (e.g., handwashing, surface disinfection, universal masking, physical distancing, and increased ventilation).\n          , \n            ABSTRACT\n            Essential food workers experience elevated risks of severe acute respiratory syndrome coronavirus 2 (SARS-CoV-2) infection due to prolonged occupational exposures in food production and processing areas, shared transportation (car or bus), and employer-provided shared housing. Our goal was to quantify the daily cumulative risk of SARS-CoV-2 infection for healthy susceptible produce workers and to evaluate the relative reduction in risk attributable to food industry interventions and vaccination. We simulated daily SARS-CoV-2 exposures of indoor and outdoor produce workers through six linked quantitative microbial risk assessment (QMRA) model scenarios. For each scenario, the infectious viral dose emitted by a symptomatic worker was calculated across aerosol, droplet, and fomite-mediated transmission pathways. Standard industry interventions (2-m physical distancing, handwashing, surface disinfection, universal masking, ventilation) were simulated to assess relative risk reductions from baseline risk (no interventions, 1-m distance). Implementation of industry interventions reduced an indoor worker’s relative infection risk by 98.0% (0.020; 95% uncertainty interval [UI], 0.005 to 0.104) from baseline risk (1.00; 95% UI, 0.995 to 1.00) and an outdoor worker’s relative infection risk by 94.5% (0.027; 95% UI, 0.013 to 0.055) from baseline risk (0.487; 95% UI, 0.257 to 0.825). Integrating these interventions with two-dose mRNA vaccinations (86 to 99% efficacy), representing a worker’s protective immunity to infection, reduced the relative infection risk from baseline for indoor workers by 99.9% (0.001; 95% UI, 0.0002 to 0.005) and outdoor workers by 99.6% (0.002; 95% UI, 0.0003 to 0.005). Consistent implementation of combined industry interventions, paired with vaccination, effectively mitigates the elevated risks from occupationally acquired SARS-CoV-2 infection faced by produce workers.\n            \n              IMPORTANCE\n              This is the first study to estimate the daily risk of severe acute respiratory syndrome coronavirus 2 (SARS-CoV-2) infection across a variety of indoor and outdoor environmental settings relevant to food workers (e.g., shared transportation [car or bus], enclosed produce processing facility and accompanying breakroom, outdoor produce harvesting field, shared housing facility) through a linked quantitative microbial risk assessment framework. Our model has demonstrated that the elevated daily SARS-CoV-2 infection risk experienced by indoor and outdoor produce workers can be reduced below 1% when vaccinations (optimal vaccine efficacy, 86 to 99%) are implemented with recommended infection control strategies (e.g., handwashing, surface disinfection, universal masking, physical distancing, and increased ventilation). Our novel findings provide scenario-specific infection risk estimates that can be utilized by food industry managers to target high-risk scenarios with effective infection mitigation strategies, which was informed through more realistic and context-driven modeling estimates of the infection risk faced by essential food workers daily. Bundled interventions, particularly if they include vaccination, yield significant reductions (&gt;99%) in daily SARS-CoV-2 infection risk for essential food workers in enclosed and open-air environments.","container-title":"Applied and Environmental Microbiology","DOI":"10.1128/aem.00128-23","ISSN":"0099-2240, 1098-5336","issue":"7","journalAbbreviation":"Appl Environ Microbiol","language":"en","page":"e00128-23","source":"DOI.org (Crossref)","title":"Combined Infection Control Interventions Protect Essential Food Workers from Occupational Exposures to SARS-CoV-2 in the Agricultural Environment","volume":"89","author":[{"family":"Cooper","given":"D. Kane"},{"family":"Sobolik","given":"Julia S."},{"family":"Kovacevic","given":"Jovana"},{"family":"Rock","given":"Channah M."},{"family":"Sajewski","given":"Elizabeth T."},{"family":"Guest","given":"Jodie L."},{"family":"Lopman","given":"Ben A."},{"family":"Jaykus","given":"Lee-Ann"},{"family":"Leon","given":"Juan S."}],"editor":[{"family":"Buan","given":"Nicole R."}],"issued":{"date-parts":[["2023",7,26]]}}}],"schema":"https://github.com/citation-style-language/schema/raw/master/csl-citation.json"} </w:instrText>
      </w:r>
      <w:r w:rsidR="00901969">
        <w:rPr>
          <w:rFonts w:ascii="Helvetica" w:hAnsi="Helvetica"/>
          <w:sz w:val="22"/>
          <w:szCs w:val="22"/>
        </w:rPr>
        <w:fldChar w:fldCharType="separate"/>
      </w:r>
      <w:r w:rsidR="00BE3D78" w:rsidRPr="00BE3D78">
        <w:rPr>
          <w:rFonts w:ascii="Helvetica" w:hAnsi="Helvetica" w:cs="Times New Roman"/>
          <w:sz w:val="22"/>
          <w:vertAlign w:val="superscript"/>
        </w:rPr>
        <w:t>61,62</w:t>
      </w:r>
      <w:r w:rsidR="00901969">
        <w:rPr>
          <w:rFonts w:ascii="Helvetica" w:hAnsi="Helvetica"/>
          <w:sz w:val="22"/>
          <w:szCs w:val="22"/>
        </w:rPr>
        <w:fldChar w:fldCharType="end"/>
      </w:r>
      <w:r>
        <w:rPr>
          <w:rFonts w:ascii="Helvetica" w:hAnsi="Helvetica"/>
          <w:sz w:val="22"/>
          <w:szCs w:val="22"/>
        </w:rPr>
        <w:t xml:space="preserve"> </w:t>
      </w:r>
      <w:r w:rsidRPr="00AD4B45">
        <w:rPr>
          <w:rFonts w:ascii="Helvetica" w:hAnsi="Helvetica"/>
          <w:sz w:val="22"/>
          <w:szCs w:val="22"/>
        </w:rPr>
        <w:t>and meat processing plant workers</w:t>
      </w:r>
      <w:r w:rsidRPr="00CC2F84">
        <w:rPr>
          <w:rFonts w:ascii="Helvetica" w:hAnsi="Helvetica"/>
          <w:sz w:val="22"/>
          <w:szCs w:val="22"/>
        </w:rPr>
        <w:t>,</w:t>
      </w:r>
      <w:r w:rsidR="00901969">
        <w:rPr>
          <w:rFonts w:ascii="Helvetica" w:hAnsi="Helvetica"/>
          <w:sz w:val="22"/>
          <w:szCs w:val="22"/>
        </w:rPr>
        <w:fldChar w:fldCharType="begin"/>
      </w:r>
      <w:r w:rsidR="00BE3D78">
        <w:rPr>
          <w:rFonts w:ascii="Helvetica" w:hAnsi="Helvetica"/>
          <w:sz w:val="22"/>
          <w:szCs w:val="22"/>
        </w:rPr>
        <w:instrText xml:space="preserve"> ADDIN ZOTERO_ITEM CSL_CITATION {"citationID":"ZIoz7DIP","properties":{"formattedCitation":"\\super 63,64\\nosupersub{}","plainCitation":"63,64","noteIndex":0},"citationItems":[{"id":3207,"uris":["http://zotero.org/users/10934876/items/USZRTELP"],"itemData":{"id":3207,"type":"article-journal","abstract":"Pork processing plants were apparent hotspots for SARS-CoV2 in the spring of 2020. As a result, the swine industry was confronted with a major occupational health, financial, and animal welfare crisis. The objective of this work was to describe the epidemiological situation within processing plants, develop mathematical models to simulate transmission in these plants, and test the effectiveness of routine PCR screening at minimizing SARS-CoV2 circulation. Cumulative incidence of clinical (PCR-confirmed) disease plateaued at ~2.5% to 25% across the three plants studied here. For larger outbreaks, antibody prevalence was approximately 30% to 40%. Secondly, we developed a mathematical model that accounts for asymptomatic, pre-symptomatic, and background “community” transmission. By calibrating this model to observed epidemiological data, we estimated the initial reproduction number (\n              R\n              ) of the virus. Across plants,\n              R\n              generally ranged between 2 and 4 during the initial phase, but subsequently declined to ~1 after two to three weeks, most likely as a result of implementation/compliance with biosecurity measures in combination with population immunity. Using the calibrated model to simulate a range of possible scenarios, we show that the effectiveness of routine PCR-screening at minimizing disease spread was far more influenced by testing frequency than by delays in results,\n              R\n              , or background community transmission rates. Testing every three days generally averted about 25% to 40% of clinical cases across a range of assumptions, while testing every 14 days typically averted 7 to 13% of clinical cases. However, the absolute number of additional clinical cases expected and averted was influenced by whether there was residual immunity from a previous peak (i.e., routine testing is implemented after the workforce had experienced an initial outbreak). In contrast, when using PCR-screening to prevent outbreaks or in the early stages of an outbreak, even frequent testing may not prevent a large outbreak within the workforce. This research helps to identify protocols that minimize risk to occupational safety and health and support continuity of business for U.S. processing plants. While the model was calibrated to meat processing plants, the structure of the model and insights about testing are generalizable to other settings where large number of people work in close proximity.","container-title":"PLOS ONE","DOI":"10.1371/journal.pone.0249143","ISSN":"1932-6203","issue":"9","journalAbbreviation":"PLoS ONE","language":"en","page":"e0249143","source":"DOI.org (Crossref)","title":"Modeling transmission dynamics and effectiveness of worker screening programs for SARS-CoV-2 in pork processing plants","volume":"16","author":[{"family":"VanderWaal","given":"Kimberly"},{"family":"Black","given":"Lora"},{"family":"Hodge","given":"Judy"},{"family":"Bedada","given":"Addisalem"},{"family":"Dee","given":"Scott"}],"editor":[{"family":"Okell","given":"Lucy C."}],"issued":{"date-parts":[["2021",9,2]]}}},{"id":3209,"uris":["http://zotero.org/users/10934876/items/63JRQ52J"],"itemData":{"id":3209,"type":"article-journal","abstract":"Abstract\n            \n              Background\n              Meatpacking plants were major sources of COVID‐19 outbreaks, posing unprecedented risks to employees, family members, and local communities. The effect on food availability during outbreaks was immediate and staggering: within 2 months, the price of beef increased by almost 7% with documented evidence of significant meat shortages. Meatpacking plant designs, in general, optimize on production; this design approach constrains the ability to enhance worker respiratory protection without reducing output.\n            \n            \n              Methods\n              Using agent‐based modeling, we simulate the spread of COVID‐19 within a typical meatpacking plant design under varying levels of mitigation measures, including combinations of social distancing and masking interventions.\n            \n            \n              Results\n              Simulations show an average infection rate of close to 99% with no mitigation, 99% with the policies that US companies ultimately adopted, 81% infected with the combination of surgical masks and distancing policies, and 71% infected with N95 masks and distancing. Estimated infection rates were high, reflecting the duration and exertion of the processing activities and lack of fresh airflow in an enclosed space.\n            \n            \n              Conclusion\n              Our results are consistent with anecdotal findings in a recent congressional report, and are much higher than US industry has reported. Our results suggest current processing plant designs made rapid transmission of the virus during the pandemic's early days almost inevitable, and implemented worker protections during COVID‐19 did not significantly affect the spread of the virus. We argue current federal policies and regulations are insufficient to ensure the health and safety of workers, creating a justice issue, and jeopardizing food availability in a future pandemic.","container-title":"American Journal of Industrial Medicine","DOI":"10.1002/ajim.23510","ISSN":"0271-3586, 1097-0274","issue":"9","journalAbbreviation":"American J Industrial Med","language":"en","page":"713-727","source":"DOI.org (Crossref)","title":"Facility design and worker justice: COVID‐19 transmission in meatpacking plants","title-short":"Facility design and worker justice","volume":"66","author":[{"family":"Lou","given":"Jiehong"},{"family":"Borjigin","given":"Sachraa"},{"family":"Tang","given":"Connie"},{"family":"Saadat","given":"Yalda"},{"family":"Hu","given":"Ming"},{"family":"Niemeier","given":"Deb A."}],"issued":{"date-parts":[["2023",9]]}}}],"schema":"https://github.com/citation-style-language/schema/raw/master/csl-citation.json"} </w:instrText>
      </w:r>
      <w:r w:rsidR="00901969">
        <w:rPr>
          <w:rFonts w:ascii="Helvetica" w:hAnsi="Helvetica"/>
          <w:sz w:val="22"/>
          <w:szCs w:val="22"/>
        </w:rPr>
        <w:fldChar w:fldCharType="separate"/>
      </w:r>
      <w:r w:rsidR="00BE3D78" w:rsidRPr="00BE3D78">
        <w:rPr>
          <w:rFonts w:ascii="Helvetica" w:hAnsi="Helvetica" w:cs="Times New Roman"/>
          <w:sz w:val="22"/>
          <w:vertAlign w:val="superscript"/>
        </w:rPr>
        <w:t>63,64</w:t>
      </w:r>
      <w:r w:rsidR="00901969">
        <w:rPr>
          <w:rFonts w:ascii="Helvetica" w:hAnsi="Helvetica"/>
          <w:sz w:val="22"/>
          <w:szCs w:val="22"/>
        </w:rPr>
        <w:fldChar w:fldCharType="end"/>
      </w:r>
      <w:r w:rsidRPr="00AD4B45">
        <w:rPr>
          <w:rFonts w:ascii="Helvetica" w:hAnsi="Helvetica"/>
          <w:sz w:val="22"/>
          <w:szCs w:val="22"/>
        </w:rPr>
        <w:t xml:space="preserve"> but these have largely been retrospective, leaving a gap in prospective tools for anticipating how future respiratory disease outbreaks may unfold in agricultural communities. This study provides such a framework, explicitly linking household-level predictors of disease transmission to population-level epidemic dynamics and agricultural impacts.</w:t>
      </w:r>
      <w:r w:rsidR="00184E8E">
        <w:rPr>
          <w:rFonts w:ascii="Helvetica" w:hAnsi="Helvetica"/>
          <w:sz w:val="22"/>
          <w:szCs w:val="22"/>
        </w:rPr>
        <w:t xml:space="preserve"> </w:t>
      </w:r>
      <w:commentRangeStart w:id="59"/>
      <w:r w:rsidR="01B0427E" w:rsidRPr="00CC2F84">
        <w:rPr>
          <w:rFonts w:ascii="Helvetica" w:hAnsi="Helvetica"/>
          <w:sz w:val="22"/>
          <w:szCs w:val="22"/>
        </w:rPr>
        <w:t xml:space="preserve">To accompany this study, </w:t>
      </w:r>
      <w:commentRangeStart w:id="60"/>
      <w:commentRangeStart w:id="61"/>
      <w:r w:rsidR="01B0427E" w:rsidRPr="00CC2F84">
        <w:rPr>
          <w:rFonts w:ascii="Helvetica" w:hAnsi="Helvetica"/>
          <w:sz w:val="22"/>
          <w:szCs w:val="22"/>
        </w:rPr>
        <w:t>we have developed an interactive simulation tool to allow planners and researchers to simulate how outbreaks with different epidemiological characteristics and timing might affect various crops, supporting scenario-based preparedness efforts</w:t>
      </w:r>
      <w:commentRangeEnd w:id="59"/>
      <w:r w:rsidR="00956CEE" w:rsidRPr="00CC2F84">
        <w:rPr>
          <w:rStyle w:val="CommentReference"/>
          <w:rFonts w:ascii="Helvetica" w:hAnsi="Helvetica"/>
          <w:sz w:val="22"/>
          <w:szCs w:val="22"/>
        </w:rPr>
        <w:commentReference w:id="59"/>
      </w:r>
      <w:r w:rsidR="01B0427E" w:rsidRPr="00CC2F84">
        <w:rPr>
          <w:rFonts w:ascii="Helvetica" w:hAnsi="Helvetica"/>
          <w:sz w:val="22"/>
          <w:szCs w:val="22"/>
        </w:rPr>
        <w:t>.</w:t>
      </w:r>
      <w:commentRangeEnd w:id="60"/>
      <w:r w:rsidR="00956CEE" w:rsidRPr="00CC2F84">
        <w:rPr>
          <w:rStyle w:val="CommentReference"/>
          <w:rFonts w:ascii="Helvetica" w:hAnsi="Helvetica"/>
          <w:sz w:val="22"/>
          <w:szCs w:val="22"/>
        </w:rPr>
        <w:commentReference w:id="60"/>
      </w:r>
      <w:commentRangeEnd w:id="61"/>
      <w:r w:rsidR="007B1CFB" w:rsidRPr="00CC2F84">
        <w:rPr>
          <w:rStyle w:val="CommentReference"/>
          <w:rFonts w:ascii="Helvetica" w:hAnsi="Helvetica"/>
          <w:sz w:val="22"/>
          <w:szCs w:val="22"/>
        </w:rPr>
        <w:commentReference w:id="61"/>
      </w:r>
    </w:p>
    <w:p w14:paraId="151C1716" w14:textId="03EF0592" w:rsidR="007B1CFB" w:rsidRPr="00CC2F84" w:rsidRDefault="20463923">
      <w:pPr>
        <w:pStyle w:val="BodyText"/>
        <w:spacing w:line="259" w:lineRule="auto"/>
        <w:jc w:val="both"/>
        <w:rPr>
          <w:rFonts w:ascii="Helvetica" w:hAnsi="Helvetica"/>
          <w:sz w:val="22"/>
          <w:szCs w:val="22"/>
        </w:rPr>
        <w:pPrChange w:id="62" w:author="Stephen Kissler" w:date="2026-02-28T23:32:00Z">
          <w:pPr>
            <w:pStyle w:val="BodyText"/>
            <w:jc w:val="both"/>
          </w:pPr>
        </w:pPrChange>
      </w:pPr>
      <w:commentRangeStart w:id="63"/>
      <w:commentRangeStart w:id="64"/>
      <w:commentRangeStart w:id="65"/>
      <w:r w:rsidRPr="00CC2F84">
        <w:rPr>
          <w:rFonts w:ascii="Helvetica" w:hAnsi="Helvetica"/>
          <w:sz w:val="22"/>
          <w:szCs w:val="22"/>
        </w:rPr>
        <w:t xml:space="preserve">Our approach has several limitations. </w:t>
      </w:r>
      <w:commentRangeEnd w:id="64"/>
      <w:r w:rsidR="00956CEE" w:rsidRPr="00CC2F84">
        <w:rPr>
          <w:rStyle w:val="CommentReference"/>
          <w:rFonts w:ascii="Helvetica" w:hAnsi="Helvetica"/>
          <w:sz w:val="22"/>
          <w:szCs w:val="22"/>
        </w:rPr>
        <w:commentReference w:id="64"/>
      </w:r>
      <w:commentRangeEnd w:id="65"/>
      <w:r w:rsidR="32A57765" w:rsidRPr="00CC2F84">
        <w:rPr>
          <w:rStyle w:val="CommentReference"/>
          <w:rFonts w:ascii="Helvetica" w:hAnsi="Helvetica"/>
          <w:sz w:val="22"/>
          <w:szCs w:val="22"/>
        </w:rPr>
        <w:commentReference w:id="65"/>
      </w:r>
      <w:r w:rsidRPr="00CC2F84">
        <w:rPr>
          <w:rFonts w:ascii="Helvetica" w:hAnsi="Helvetica"/>
          <w:sz w:val="22"/>
          <w:szCs w:val="22"/>
        </w:rPr>
        <w:t xml:space="preserve">First, we did not incorporate seasonal variation in pathogen transmissibility (e.g., higher transmission during winter months). Incorporating seasonality would likely increase the expected impact on oranges, which are primarily harvested from November through June, and decrease the expected impact on strawberries and </w:t>
      </w:r>
      <w:r w:rsidR="00507BE8">
        <w:rPr>
          <w:rFonts w:ascii="Helvetica" w:hAnsi="Helvetica"/>
          <w:sz w:val="22"/>
          <w:szCs w:val="22"/>
        </w:rPr>
        <w:t xml:space="preserve">iceberg </w:t>
      </w:r>
      <w:r w:rsidR="00086A35">
        <w:rPr>
          <w:rFonts w:ascii="Helvetica" w:hAnsi="Helvetica"/>
          <w:sz w:val="22"/>
          <w:szCs w:val="22"/>
        </w:rPr>
        <w:t xml:space="preserve"> lettuce</w:t>
      </w:r>
      <w:r w:rsidRPr="00CC2F84">
        <w:rPr>
          <w:rFonts w:ascii="Helvetica" w:hAnsi="Helvetica"/>
          <w:sz w:val="22"/>
          <w:szCs w:val="22"/>
        </w:rPr>
        <w:t>, which are harvested mainly in the summer. Second, our crop impact analysis considered only harvest-phase labor. Outbreaks could also disrupt planting, tending, and post-harvest processing, leading to additional production losses. More broadly, the impact of respiratory disease on the food system extends well beyond farm-level labor: the COVID-19 pandemic caused severe disruptions in meat and poultry processing facilities</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{"citationID":"SMHupQQO","properties":{"formattedCitation":"\\super 1,4\\nosupersub{}","plainCitation":"1,4","noteIndex":0},"citationItems":[{"id":3127,"uris":["http://zotero.org/users/10934876/items/JZTG4A9E"],"itemData":{"id":3127,"type":"article-journal","container-title":"Food Policy","DOI":"10.1016/j.foodpol.2021.102072","ISSN":"03069192","journalAbbreviation":"Food Policy","language":"en","page":"102072","source":"DOI.org (Crossref)","title":"COVID-19 morbidity and mortality in U.S. meatpacking counties","volume":"101","author":[{"family":"Saitone","given":"Tina L."},{"family":"Aleks Schaefer","given":"K."},{"family":"Scheitrum","given":"Daniel P."}],"issued":{"date-parts":[["2021",5]]}}},{"id":3123,"uris":["http://zotero.org/users/10934876/items/H8KS74X3"],"itemData":{"id":3123,"type":"article-journal","container-title":"MMWR.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1,4</w:t>
      </w:r>
      <w:r w:rsidR="00BD7EE7">
        <w:rPr>
          <w:rFonts w:ascii="Helvetica" w:hAnsi="Helvetica"/>
          <w:sz w:val="22"/>
          <w:szCs w:val="22"/>
        </w:rPr>
        <w:fldChar w:fldCharType="end"/>
      </w:r>
      <w:r w:rsidRPr="00CC2F84">
        <w:rPr>
          <w:rFonts w:ascii="Helvetica" w:hAnsi="Helvetica"/>
          <w:sz w:val="22"/>
          <w:szCs w:val="22"/>
        </w:rPr>
        <w:t xml:space="preserve"> and demand-side effects such as panic buying and shifts from food service to at-home food consumption.</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{"citationID":"7UDkYlTl","properties":{"formattedCitation":"\\super 5\\nosupersub{}","plainCitation":"5","noteIndex":0},"citationItems":[{"id":3128,"uris":["http://zotero.org/users/10934876/items/S9JKCYZE"],"itemData":{"id":3128,"type":"article-journal","container-title":"Agricultural Systems","DOI":"10.1016/j.agsy.2021.103101","ISSN":"0308521X","journalAbbreviation":"Agricultural Systems","language":"en","page":"103101","source":"DOI.org (Crossref)","title":"Resilient regional food supply chains and rethinking the way forward: Key takeaways from the COVID-19 pandemic","title-short":"Resilient regional food supply chains and rethinking the way forward","volume":"190","author":[{"family":"Marusak","given":"Amy"},{"family":"Sadeghiamirshahidi","given":"Narjes"},{"family":"Krejci","given":"Caroline C."},{"family":"Mittal","given":"Anuj"},{"family":"Beckwith","given":"Sue"},{"family":"Cantu","given":"Jaime"},{"family":"Morris","given":"Mike"},{"family":"Grimm","given":"Jason"}],"issued":{"date-parts":[["2021",5]]}}}],"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5</w:t>
      </w:r>
      <w:r w:rsidR="00BD7EE7">
        <w:rPr>
          <w:rFonts w:ascii="Helvetica" w:hAnsi="Helvetica"/>
          <w:sz w:val="22"/>
          <w:szCs w:val="22"/>
        </w:rPr>
        <w:fldChar w:fldCharType="end"/>
      </w:r>
      <w:r w:rsidRPr="00CC2F84">
        <w:rPr>
          <w:rFonts w:ascii="Helvetica" w:hAnsi="Helvetica"/>
          <w:sz w:val="22"/>
          <w:szCs w:val="22"/>
        </w:rPr>
        <w:t xml:space="preserve"> Third, we modeled the effect of household size and crowding on transmission but did not account for other factors that differ between agricultural workers and the general population, including occupational exposures that elevate baseline rates of respiratory disease</w:t>
      </w:r>
      <w:r w:rsidR="00D870D0">
        <w:rPr>
          <w:rFonts w:ascii="Helvetica" w:hAnsi="Helvetica"/>
          <w:sz w:val="22"/>
          <w:szCs w:val="22"/>
        </w:rPr>
        <w:t xml:space="preserve"> (</w:t>
      </w:r>
      <w:r w:rsidR="00C96A7F">
        <w:rPr>
          <w:rFonts w:ascii="Helvetica" w:hAnsi="Helvetica"/>
          <w:sz w:val="22"/>
          <w:szCs w:val="22"/>
        </w:rPr>
        <w:t>such as</w:t>
      </w:r>
      <w:r w:rsidR="00D870D0" w:rsidRPr="00D870D0">
        <w:rPr>
          <w:rFonts w:ascii="Helvetica" w:hAnsi="Helvetica"/>
          <w:sz w:val="22"/>
          <w:szCs w:val="22"/>
        </w:rPr>
        <w:t xml:space="preserve"> shared transport, close-quarters fieldwork, and communal facilities</w:t>
      </w:r>
      <w:r w:rsidR="00D870D0">
        <w:rPr>
          <w:rFonts w:ascii="Helvetica" w:hAnsi="Helvetica"/>
          <w:sz w:val="22"/>
          <w:szCs w:val="22"/>
        </w:rPr>
        <w:t>)</w:t>
      </w:r>
      <w:r w:rsidRPr="00CC2F84">
        <w:rPr>
          <w:rFonts w:ascii="Helvetica" w:hAnsi="Helvetica"/>
          <w:sz w:val="22"/>
          <w:szCs w:val="22"/>
        </w:rPr>
        <w:t>, higher rates of comorbidities such as diabetes, and limited access to healthcare. On the other hand, respiratory pathogens may spread less well outdoors,</w:t>
      </w:r>
      <w:r w:rsidR="00BD7EE7">
        <w:rPr>
          <w:rFonts w:ascii="Helvetica" w:hAnsi="Helvetica"/>
          <w:sz w:val="22"/>
          <w:szCs w:val="22"/>
        </w:rPr>
        <w:fldChar w:fldCharType="begin"/>
      </w:r>
      <w:r w:rsidR="00BE3D78">
        <w:rPr>
          <w:rFonts w:ascii="Helvetica" w:hAnsi="Helvetica"/>
          <w:sz w:val="22"/>
          <w:szCs w:val="22"/>
        </w:rPr>
        <w:instrText xml:space="preserve"> ADDIN ZOTERO_ITEM CSL_CITATION {"citationID":"dEFxQXGG","properties":{"formattedCitation":"\\super 65\\nosupersub{}","plainCitation":"65","noteIndex":0},"citationItems":[{"id":3211,"uris":["http://zotero.org/users/10934876/items/H98UKBP6"],"itemData":{"id":3211,"type":"article-journal","abstract":"Abstract\n            \n              Background\n              While risk of outdoor transmission of respiratory viral infections is hypothesized to be low, there are limited data on SARS-CoV-2 transmission in outdoor compared to indoor settings.\n            \n            \n              Methods\n              We conducted a systematic review of peer-reviewed papers indexed in PubMed, EMBASE, and Web of Science and preprints in Europe PMC through 12 August 2020 that described cases of human transmission of SARS-CoV-2. Reports of other respiratory virus transmission were included for reference.\n            \n            \n              Results\n              Five identified studies found a low proportion of reported global SARS-CoV-2 infections occurred outdoors (&amp;lt;10%) and the odds of indoor transmission was very high compared to outdoors (18.7 times; 95% confidence interval, 6.0–57.9). Five studies described influenza transmission outdoors and 2 adenovirus transmission outdoors. There was high heterogeneity in study quality and individual definitions of outdoor settings, which limited our ability to draw conclusions about outdoor transmission risks. In general, factors such as duration and frequency of personal contact, lack of personal protective equipment, and occasional indoor gathering during a largely outdoor experience were associated with outdoor reports of infection.\n            \n            \n              Conclusions\n              Existing evidence supports the wide-held belief that risk of SARS-CoV-2 transmission is lower outdoors but there are significant gaps in our understanding of specific pathways.","container-title":"The Journal of Infectious Diseases","DOI":"10.1093/infdis/jiaa742","ISSN":"0022-1899, 1537-6613","issue":"4","language":"en","license":"https://academic.oup.com/journals/pages/open_access/funder_policies/chorus/standard_publication_model","page":"550-561","source":"DOI.org (Crossref)","title":"Outdoor Transmission of SARS-CoV-2 and Other Respiratory Viruses: A Systematic Review","title-short":"Outdoor Transmission of SARS-CoV-2 and Other Respiratory Viruses","volume":"223","author":[{"family":"Bulfone","given":"Tommaso Celeste"},{"family":"Malekinejad","given":"Mohsen"},{"family":"Rutherford","given":"George W"},{"family":"Razani","given":"Nooshin"}],"issued":{"date-parts":[["2021",2,24]]}}}],"schema":"https://github.com/citation-style-language/schema/raw/master/csl-citation.json"} </w:instrText>
      </w:r>
      <w:r w:rsidR="00BD7EE7">
        <w:rPr>
          <w:rFonts w:ascii="Helvetica" w:hAnsi="Helvetica"/>
          <w:sz w:val="22"/>
          <w:szCs w:val="22"/>
        </w:rPr>
        <w:fldChar w:fldCharType="separate"/>
      </w:r>
      <w:r w:rsidR="00BE3D78" w:rsidRPr="00BE3D78">
        <w:rPr>
          <w:rFonts w:ascii="Helvetica" w:hAnsi="Helvetica" w:cs="Times New Roman"/>
          <w:sz w:val="22"/>
          <w:vertAlign w:val="superscript"/>
        </w:rPr>
        <w:t>65</w:t>
      </w:r>
      <w:r w:rsidR="00BD7EE7">
        <w:rPr>
          <w:rFonts w:ascii="Helvetica" w:hAnsi="Helvetica"/>
          <w:sz w:val="22"/>
          <w:szCs w:val="22"/>
        </w:rPr>
        <w:fldChar w:fldCharType="end"/>
      </w:r>
      <w:r w:rsidRPr="00CC2F84">
        <w:rPr>
          <w:rFonts w:ascii="Helvetica" w:hAnsi="Helvetica"/>
          <w:sz w:val="22"/>
          <w:szCs w:val="22"/>
        </w:rPr>
        <w:t xml:space="preserve"> suggesting that agricultural workers may face lower workplace exposures to infection, which we also did not model. </w:t>
      </w:r>
      <w:r w:rsidR="00995ADD" w:rsidRPr="00995ADD">
        <w:rPr>
          <w:rFonts w:ascii="Helvetica" w:hAnsi="Helvetica"/>
          <w:sz w:val="22"/>
          <w:szCs w:val="22"/>
        </w:rPr>
        <w:t xml:space="preserve">Fourth, we assumed that labor losses during harvest translate directly into proportional production losses. In practice, this relationship is likely nonlinear in both directions. On one hand, many harvest operations require minimum crew sizes to function — for example, to staff a packing line or </w:t>
      </w:r>
      <w:r w:rsidR="00995ADD" w:rsidRPr="00995ADD">
        <w:rPr>
          <w:rFonts w:ascii="Helvetica" w:hAnsi="Helvetica"/>
          <w:sz w:val="22"/>
          <w:szCs w:val="22"/>
        </w:rPr>
        <w:lastRenderedPageBreak/>
        <w:t>coordinate a picking crew — so production could drop more steeply than linearly if absences fall below a critical threshold. On the other hand, farms may compensate for absences by hiring replacement workers, extending shifts, or redistributing labor across tasks, partially buffering the impact. The linear impact assumption is also more defensible for crops with narrow harvest windows, like strawberries and iceberg lettuce which must be picked within days of maturity, than for oranges, which can remain on the tree for weeks, allowing workers to recover and make up for lost harvest time</w:t>
      </w:r>
      <w:r w:rsidRPr="00CC2F84">
        <w:rPr>
          <w:rFonts w:ascii="Helvetica" w:hAnsi="Helvetica"/>
          <w:sz w:val="22"/>
          <w:szCs w:val="22"/>
        </w:rPr>
        <w:t xml:space="preserve">. Fifth, data limitations constrained several aspects of the analysis. County-level household characteristics for agricultural workers are not available in the NAWS dataset, limiting the resolution of our geographic analysis. </w:t>
      </w:r>
      <w:r w:rsidR="00145FF8" w:rsidRPr="00145FF8">
        <w:rPr>
          <w:rFonts w:ascii="Helvetica" w:hAnsi="Helvetica"/>
          <w:sz w:val="22"/>
          <w:szCs w:val="22"/>
        </w:rPr>
        <w:t>We assumed a linear relationship between crowding probability and household size, since these values are reported separately in available data; reassuringly, our results were largely insensitive to this choice.</w:t>
      </w:r>
      <w:r w:rsidR="00145FF8">
        <w:rPr>
          <w:rFonts w:ascii="Helvetica" w:hAnsi="Helvetica"/>
          <w:sz w:val="22"/>
          <w:szCs w:val="22"/>
        </w:rPr>
        <w:t xml:space="preserve"> </w:t>
      </w:r>
      <w:commentRangeStart w:id="66"/>
      <w:r w:rsidRPr="00CC2F84">
        <w:rPr>
          <w:rFonts w:ascii="Helvetica" w:hAnsi="Helvetica"/>
          <w:sz w:val="22"/>
          <w:szCs w:val="22"/>
        </w:rPr>
        <w:t xml:space="preserve">The assortativity of contacts between agricultural workers and the general community is poorly understood. </w:t>
      </w:r>
      <w:commentRangeEnd w:id="66"/>
      <w:r w:rsidR="00956CEE" w:rsidRPr="00CC2F84">
        <w:rPr>
          <w:rStyle w:val="CommentReference"/>
          <w:rFonts w:ascii="Helvetica" w:hAnsi="Helvetica"/>
          <w:sz w:val="22"/>
          <w:szCs w:val="22"/>
        </w:rPr>
        <w:commentReference w:id="66"/>
      </w:r>
      <w:r w:rsidRPr="00CC2F84">
        <w:rPr>
          <w:rFonts w:ascii="Helvetica" w:hAnsi="Helvetica"/>
          <w:sz w:val="22"/>
          <w:szCs w:val="22"/>
        </w:rPr>
        <w:t>Our use of point-to-point crop shipments as a proxy for harvest volumes may introduce a timing bias, particularly for crops like oranges that can be stored before shipment. Finally, our analysis assessed state- and region-level impacts, but farm-level impacts may differ considerably. Individual farms often harvest during concentrated windows, and an epidemic coinciding with such a window could devastate that farm’s production, while an epidemic at another time might have minimal effect. The smaller the geographic or operational scale, the more likely it is to see such “all or nothing” dynamics.</w:t>
      </w:r>
      <w:r w:rsidR="7FB4D1E9" w:rsidRPr="00CC2F84">
        <w:rPr>
          <w:rFonts w:ascii="Helvetica" w:hAnsi="Helvetica"/>
          <w:sz w:val="22"/>
          <w:szCs w:val="22"/>
        </w:rPr>
        <w:t xml:space="preserve"> Likewise, at smaller geographic scales, stochastic effects would play a larger role in shaping epidemic patterns, especially among the agricultural worker population that makes up a relatively small fraction of the overall population. </w:t>
      </w:r>
      <w:commentRangeEnd w:id="63"/>
      <w:r w:rsidR="00956CEE" w:rsidRPr="00CC2F84">
        <w:rPr>
          <w:rStyle w:val="CommentReference"/>
          <w:rFonts w:ascii="Helvetica" w:hAnsi="Helvetica"/>
          <w:sz w:val="22"/>
          <w:szCs w:val="22"/>
        </w:rPr>
        <w:commentReference w:id="63"/>
      </w:r>
    </w:p>
    <w:p w14:paraId="71AE5E5D" w14:textId="77777777" w:rsidR="007B1CFB" w:rsidRPr="00CC2F84" w:rsidRDefault="007B1CFB" w:rsidP="00446483">
      <w:pPr>
        <w:pStyle w:val="BodyText"/>
        <w:spacing w:line="259" w:lineRule="auto"/>
        <w:jc w:val="both"/>
        <w:rPr>
          <w:rFonts w:ascii="Helvetica" w:hAnsi="Helvetica"/>
          <w:sz w:val="22"/>
          <w:szCs w:val="22"/>
        </w:rPr>
      </w:pPr>
      <w:r w:rsidRPr="00CC2F84">
        <w:rPr>
          <w:rFonts w:ascii="Helvetica" w:hAnsi="Helvetica"/>
          <w:sz w:val="22"/>
          <w:szCs w:val="22"/>
        </w:rPr>
        <w:t>Effective disease surveillance among agricultural workers is essential both for protecting this population and for safeguarding the food supply, yet it presents major unresolved challenges. Ultimately, reducing the vulnerability of agricultural workers to respiratory disease outbreaks will require structural interventions, including improvements in housing conditions, access to healthcare, provision of personal protective equipment, and paid sick leave policies, alongside the epidemiological tools for anticipating and responding to outbreaks that this study aims to provide.</w:t>
      </w:r>
    </w:p>
    <w:bookmarkEnd w:id="55"/>
    <w:p w14:paraId="24930FF2" w14:textId="77777777" w:rsidR="007B1CFB" w:rsidRPr="00CC2F84" w:rsidRDefault="007B1CFB" w:rsidP="007B1CFB">
      <w:pPr>
        <w:pStyle w:val="BodyText"/>
        <w:rPr>
          <w:rFonts w:ascii="Helvetica" w:hAnsi="Helvetica"/>
        </w:rPr>
      </w:pPr>
    </w:p>
    <w:p w14:paraId="71607B7F" w14:textId="77777777" w:rsidR="007B1CFB" w:rsidRPr="00CC2F84" w:rsidRDefault="007B1CFB">
      <w:pPr>
        <w:rPr>
          <w:rFonts w:ascii="Helvetica" w:hAnsi="Helvetica"/>
          <w:b/>
          <w:bCs/>
        </w:rPr>
      </w:pPr>
      <w:bookmarkStart w:id="67" w:name="main-figures"/>
      <w:bookmarkEnd w:id="50"/>
      <w:r w:rsidRPr="00CC2F84">
        <w:rPr>
          <w:rFonts w:ascii="Helvetica" w:hAnsi="Helvetica"/>
          <w:b/>
          <w:bCs/>
        </w:rPr>
        <w:br w:type="page"/>
      </w:r>
    </w:p>
    <w:p w14:paraId="22673D80" w14:textId="77777777" w:rsidR="00AB7EBC" w:rsidRPr="00CC2F84" w:rsidRDefault="0034347F" w:rsidP="00287EBA">
      <w:pPr>
        <w:pStyle w:val="CaptionedFigure"/>
        <w:jc w:val="center"/>
        <w:rPr>
          <w:rFonts w:ascii="Helvetica" w:hAnsi="Helvetica"/>
        </w:rPr>
      </w:pPr>
      <w:commentRangeStart w:id="68"/>
      <w:r w:rsidRPr="00CC2F84">
        <w:rPr>
          <w:rFonts w:ascii="Helvetica" w:hAnsi="Helvetica"/>
          <w:noProof/>
        </w:rPr>
        <w:lastRenderedPageBreak/>
        <w:drawing>
          <wp:inline distT="0" distB="0" distL="0" distR="0" wp14:anchorId="50E91F97" wp14:editId="24AB27A2">
            <wp:extent cx="5334000" cy="4298910"/>
            <wp:effectExtent l="0" t="0" r="0" b="0"/>
            <wp:docPr id="74" name="Picture" descr="Household characteristics"/>
            <wp:cNvGraphicFramePr/>
            <a:graphic xmlns:a="http://schemas.openxmlformats.org/drawingml/2006/main">
              <a:graphicData uri="http://schemas.openxmlformats.org/drawingml/2006/picture">
                <pic:pic xmlns:pic="http://schemas.openxmlformats.org/drawingml/2006/picture">
                  <pic:nvPicPr>
                    <pic:cNvPr id="75" name="Picture" descr="../../figures/hh_inkscape.png"/>
                    <pic:cNvPicPr>
                      <a:picLocks noChangeAspect="1" noChangeArrowheads="1"/>
                    </pic:cNvPicPr>
                  </pic:nvPicPr>
                  <pic:blipFill>
                    <a:blip r:embed="rId10"/>
                    <a:stretch>
                      <a:fillRect/>
                    </a:stretch>
                  </pic:blipFill>
                  <pic:spPr bwMode="auto">
                    <a:xfrm>
                      <a:off x="0" y="0"/>
                      <a:ext cx="5334000" cy="4298910"/>
                    </a:xfrm>
                    <a:prstGeom prst="rect">
                      <a:avLst/>
                    </a:prstGeom>
                    <a:noFill/>
                    <a:ln w="9525">
                      <a:noFill/>
                      <a:headEnd/>
                      <a:tailEnd/>
                    </a:ln>
                  </pic:spPr>
                </pic:pic>
              </a:graphicData>
            </a:graphic>
          </wp:inline>
        </w:drawing>
      </w:r>
      <w:commentRangeEnd w:id="68"/>
      <w:r w:rsidR="00956CEE" w:rsidRPr="00CC2F84">
        <w:rPr>
          <w:rStyle w:val="CommentReference"/>
          <w:rFonts w:ascii="Helvetica" w:hAnsi="Helvetica"/>
          <w:sz w:val="24"/>
          <w:szCs w:val="24"/>
        </w:rPr>
        <w:commentReference w:id="68"/>
      </w:r>
    </w:p>
    <w:p w14:paraId="151557A3" w14:textId="77777777" w:rsidR="007B1CFB" w:rsidRPr="00CC2F84" w:rsidRDefault="007B1CFB" w:rsidP="007B1CFB">
      <w:pPr>
        <w:pStyle w:val="FirstParagraph"/>
        <w:jc w:val="both"/>
        <w:rPr>
          <w:rFonts w:ascii="Helvetica" w:hAnsi="Helvetica"/>
          <w:sz w:val="20"/>
          <w:szCs w:val="20"/>
        </w:rPr>
      </w:pPr>
      <w:r w:rsidRPr="00CC2F84">
        <w:rPr>
          <w:rFonts w:ascii="Helvetica" w:hAnsi="Helvetica"/>
          <w:b/>
          <w:bCs/>
          <w:sz w:val="20"/>
          <w:szCs w:val="20"/>
        </w:rPr>
        <w:t>Figure 1. Household characteristics by region for agricultural workers and the general community.</w:t>
      </w:r>
      <w:r w:rsidRPr="00CC2F84">
        <w:rPr>
          <w:rFonts w:ascii="Helvetica" w:hAnsi="Helvetica"/>
          <w:sz w:val="20"/>
          <w:szCs w:val="20"/>
        </w:rPr>
        <w:t xml:space="preserve"> </w:t>
      </w:r>
      <w:commentRangeStart w:id="69"/>
      <w:commentRangeStart w:id="70"/>
      <w:commentRangeStart w:id="71"/>
      <w:r w:rsidRPr="00CC2F84">
        <w:rPr>
          <w:rFonts w:ascii="Helvetica" w:hAnsi="Helvetica"/>
          <w:sz w:val="20"/>
          <w:szCs w:val="20"/>
        </w:rPr>
        <w:t xml:space="preserve">(A) </w:t>
      </w:r>
      <w:commentRangeEnd w:id="69"/>
      <w:r w:rsidR="00956CEE" w:rsidRPr="00CC2F84">
        <w:rPr>
          <w:rStyle w:val="CommentReference"/>
          <w:rFonts w:ascii="Helvetica" w:hAnsi="Helvetica"/>
          <w:sz w:val="20"/>
          <w:szCs w:val="20"/>
        </w:rPr>
        <w:commentReference w:id="69"/>
      </w:r>
      <w:commentRangeEnd w:id="70"/>
      <w:r w:rsidRPr="00CC2F84">
        <w:rPr>
          <w:rStyle w:val="CommentReference"/>
          <w:rFonts w:ascii="Helvetica" w:hAnsi="Helvetica"/>
          <w:sz w:val="20"/>
          <w:szCs w:val="20"/>
        </w:rPr>
        <w:commentReference w:id="70"/>
      </w:r>
      <w:commentRangeEnd w:id="71"/>
      <w:r w:rsidRPr="00CC2F84">
        <w:rPr>
          <w:rStyle w:val="CommentReference"/>
          <w:rFonts w:ascii="Helvetica" w:hAnsi="Helvetica"/>
          <w:sz w:val="20"/>
          <w:szCs w:val="20"/>
        </w:rPr>
        <w:commentReference w:id="71"/>
      </w:r>
      <w:r w:rsidRPr="00CC2F84">
        <w:rPr>
          <w:rFonts w:ascii="Helvetica" w:hAnsi="Helvetica"/>
          <w:sz w:val="20"/>
          <w:szCs w:val="20"/>
        </w:rPr>
        <w:t>Proportion of households of size 1 – 7+ for agricultural workers (blue) and the general community (red). Mean household sizes for each region and sub-population are depicted as circles. (B) Proportion of households that are crowded for agricultural workers (blue) and the general community (red). Histograms for the general community represent county-level differences in household crowding within each region. For agricultural workers, household crowding is available only at the region level, so these are depicted as single bars. Mean household crowding proportions for each region and sub-population are depicted as circles. Data for agricultural workers are extracted from the National Agricultural Workers Survey (NAWS) and data for the general community are extracted from the American Community Survey (ACS).</w:t>
      </w:r>
    </w:p>
    <w:p w14:paraId="2C64FAA5" w14:textId="77FF3807" w:rsidR="007B1CFB" w:rsidRPr="00CC2F84" w:rsidRDefault="007B1CFB">
      <w:pPr>
        <w:pStyle w:val="CaptionedFigure"/>
        <w:rPr>
          <w:rFonts w:ascii="Helvetica" w:hAnsi="Helvetica"/>
        </w:rPr>
      </w:pPr>
    </w:p>
    <w:p w14:paraId="326046F9" w14:textId="77777777" w:rsidR="007B1CFB" w:rsidRPr="00CC2F84" w:rsidRDefault="007B1CFB">
      <w:pPr>
        <w:rPr>
          <w:rFonts w:ascii="Helvetica" w:hAnsi="Helvetica"/>
          <w:b/>
          <w:bCs/>
        </w:rPr>
      </w:pPr>
      <w:r w:rsidRPr="00CC2F84">
        <w:rPr>
          <w:rFonts w:ascii="Helvetica" w:hAnsi="Helvetica"/>
          <w:b/>
          <w:bCs/>
        </w:rPr>
        <w:br w:type="page"/>
      </w:r>
    </w:p>
    <w:p w14:paraId="616B0438" w14:textId="77777777" w:rsidR="00AB7EBC" w:rsidRPr="00CC2F84" w:rsidRDefault="006B4661" w:rsidP="00287EBA">
      <w:pPr>
        <w:pStyle w:val="CaptionedFigure"/>
        <w:jc w:val="center"/>
        <w:rPr>
          <w:rFonts w:ascii="Helvetica" w:hAnsi="Helvetica"/>
        </w:rPr>
      </w:pPr>
      <w:r w:rsidRPr="00CC2F84">
        <w:rPr>
          <w:rFonts w:ascii="Helvetica" w:hAnsi="Helvetica"/>
          <w:noProof/>
        </w:rPr>
        <w:lastRenderedPageBreak/>
        <w:drawing>
          <wp:inline distT="0" distB="0" distL="0" distR="0" wp14:anchorId="01606CD4" wp14:editId="6B3BB337">
            <wp:extent cx="5334000" cy="8001000"/>
            <wp:effectExtent l="0" t="0" r="0" b="0"/>
            <wp:docPr id="77" name="Picture" descr="Epidemic simulations"/>
            <wp:cNvGraphicFramePr/>
            <a:graphic xmlns:a="http://schemas.openxmlformats.org/drawingml/2006/main">
              <a:graphicData uri="http://schemas.openxmlformats.org/drawingml/2006/picture">
                <pic:pic xmlns:pic="http://schemas.openxmlformats.org/drawingml/2006/picture">
                  <pic:nvPicPr>
                    <pic:cNvPr id="78" name="Picture" descr="../../figures/main_epicurves_2.png"/>
                    <pic:cNvPicPr>
                      <a:picLocks noChangeAspect="1" noChangeArrowheads="1"/>
                    </pic:cNvPicPr>
                  </pic:nvPicPr>
                  <pic:blipFill>
                    <a:blip r:embed="rId11"/>
                    <a:stretch>
                      <a:fillRect/>
                    </a:stretch>
                  </pic:blipFill>
                  <pic:spPr bwMode="auto">
                    <a:xfrm>
                      <a:off x="0" y="0"/>
                      <a:ext cx="5334000" cy="8001000"/>
                    </a:xfrm>
                    <a:prstGeom prst="rect">
                      <a:avLst/>
                    </a:prstGeom>
                    <a:noFill/>
                    <a:ln w="9525">
                      <a:noFill/>
                      <a:headEnd/>
                      <a:tailEnd/>
                    </a:ln>
                  </pic:spPr>
                </pic:pic>
              </a:graphicData>
            </a:graphic>
          </wp:inline>
        </w:drawing>
      </w:r>
    </w:p>
    <w:p w14:paraId="04D0B3DF" w14:textId="15D1A51D" w:rsidR="007B1CFB" w:rsidRPr="00CC2F84" w:rsidRDefault="007B1CFB" w:rsidP="007B1CFB">
      <w:pPr>
        <w:pStyle w:val="BodyText"/>
        <w:jc w:val="both"/>
        <w:rPr>
          <w:rFonts w:ascii="Helvetica" w:hAnsi="Helvetica"/>
          <w:sz w:val="20"/>
          <w:szCs w:val="20"/>
        </w:rPr>
      </w:pPr>
      <w:r w:rsidRPr="00CC2F84">
        <w:rPr>
          <w:rFonts w:ascii="Helvetica" w:hAnsi="Helvetica"/>
          <w:b/>
          <w:bCs/>
          <w:sz w:val="20"/>
          <w:szCs w:val="20"/>
        </w:rPr>
        <w:lastRenderedPageBreak/>
        <w:t>Figure 2. Simulated epidemic trajectories by region for agricultural workers and the general community.</w:t>
      </w:r>
      <w:r w:rsidRPr="00CC2F84">
        <w:rPr>
          <w:rFonts w:ascii="Helvetica" w:hAnsi="Helvetica"/>
          <w:sz w:val="20"/>
          <w:szCs w:val="20"/>
        </w:rPr>
        <w:t xml:space="preserve"> Infection prevalence (A)</w:t>
      </w:r>
      <w:r w:rsidR="004E0EEA">
        <w:rPr>
          <w:rFonts w:ascii="Helvetica" w:hAnsi="Helvetica"/>
          <w:sz w:val="20"/>
          <w:szCs w:val="20"/>
        </w:rPr>
        <w:t xml:space="preserve"> and </w:t>
      </w:r>
      <w:r w:rsidRPr="00CC2F84">
        <w:rPr>
          <w:rFonts w:ascii="Helvetica" w:hAnsi="Helvetica"/>
          <w:sz w:val="20"/>
          <w:szCs w:val="20"/>
        </w:rPr>
        <w:t>cumulative infections (B)</w:t>
      </w:r>
      <w:r w:rsidR="004E0EEA">
        <w:rPr>
          <w:rFonts w:ascii="Helvetica" w:hAnsi="Helvetica"/>
          <w:sz w:val="20"/>
          <w:szCs w:val="20"/>
        </w:rPr>
        <w:t xml:space="preserve"> for agricultural workers (blue) and the general community (red), along with the </w:t>
      </w:r>
      <w:r w:rsidRPr="00CC2F84">
        <w:rPr>
          <w:rFonts w:ascii="Helvetica" w:hAnsi="Helvetica"/>
          <w:sz w:val="20"/>
          <w:szCs w:val="20"/>
        </w:rPr>
        <w:t>ratio of agricultural worker to general community infection prevalence (C)</w:t>
      </w:r>
      <w:r w:rsidR="004E0EEA">
        <w:rPr>
          <w:rFonts w:ascii="Helvetica" w:hAnsi="Helvetica"/>
          <w:sz w:val="20"/>
          <w:szCs w:val="20"/>
        </w:rPr>
        <w:t xml:space="preserve"> </w:t>
      </w:r>
      <w:r w:rsidRPr="00CC2F84">
        <w:rPr>
          <w:rFonts w:ascii="Helvetica" w:hAnsi="Helvetica"/>
          <w:sz w:val="20"/>
          <w:szCs w:val="20"/>
        </w:rPr>
        <w:t>in the six NAWS regions. Region-level simulations are depicted as thick lines with black outlines. County-level simulations are depicted as thin, partially transparent lines to illustrate within-region variation.</w:t>
      </w:r>
    </w:p>
    <w:p w14:paraId="1310C134" w14:textId="77777777" w:rsidR="007B1CFB" w:rsidRPr="00CC2F84" w:rsidRDefault="007B1CFB">
      <w:pPr>
        <w:pStyle w:val="CaptionedFigure"/>
        <w:rPr>
          <w:rFonts w:ascii="Helvetica" w:hAnsi="Helvetica"/>
        </w:rPr>
      </w:pPr>
    </w:p>
    <w:p w14:paraId="3D6631ED" w14:textId="77777777" w:rsidR="007B1CFB" w:rsidRPr="00CC2F84" w:rsidRDefault="007B1CFB">
      <w:pPr>
        <w:rPr>
          <w:rFonts w:ascii="Helvetica" w:hAnsi="Helvetica"/>
          <w:b/>
          <w:bCs/>
        </w:rPr>
      </w:pPr>
      <w:r w:rsidRPr="00CC2F84">
        <w:rPr>
          <w:rFonts w:ascii="Helvetica" w:hAnsi="Helvetica"/>
          <w:b/>
          <w:bCs/>
        </w:rPr>
        <w:br w:type="page"/>
      </w:r>
    </w:p>
    <w:p w14:paraId="4A5F1663" w14:textId="49636C1B" w:rsidR="00AB7EBC" w:rsidRPr="00CC2F84" w:rsidRDefault="00CA63B0" w:rsidP="007B1CFB">
      <w:pPr>
        <w:pStyle w:val="CaptionedFigure"/>
        <w:jc w:val="center"/>
        <w:rPr>
          <w:rFonts w:ascii="Helvetica" w:hAnsi="Helvetica"/>
        </w:rPr>
      </w:pPr>
      <w:r>
        <w:rPr>
          <w:rFonts w:ascii="Helvetica" w:hAnsi="Helvetica"/>
          <w:noProof/>
        </w:rPr>
        <w:lastRenderedPageBreak/>
        <w:drawing>
          <wp:inline distT="0" distB="0" distL="0" distR="0" wp14:anchorId="06371570" wp14:editId="71C582CA">
            <wp:extent cx="2603500" cy="3606800"/>
            <wp:effectExtent l="0" t="0" r="0" b="0"/>
            <wp:docPr id="86813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31507" name="Picture 8681315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03500" cy="3606800"/>
                    </a:xfrm>
                    <a:prstGeom prst="rect">
                      <a:avLst/>
                    </a:prstGeom>
                  </pic:spPr>
                </pic:pic>
              </a:graphicData>
            </a:graphic>
          </wp:inline>
        </w:drawing>
      </w:r>
    </w:p>
    <w:p w14:paraId="79C606EE" w14:textId="77777777" w:rsidR="007B1CFB" w:rsidRPr="00CC2F84" w:rsidRDefault="007B1CFB" w:rsidP="007B1CFB">
      <w:pPr>
        <w:pStyle w:val="BodyText"/>
        <w:jc w:val="both"/>
        <w:rPr>
          <w:rFonts w:ascii="Helvetica" w:hAnsi="Helvetica"/>
          <w:sz w:val="20"/>
          <w:szCs w:val="20"/>
        </w:rPr>
      </w:pPr>
      <w:commentRangeStart w:id="72"/>
      <w:commentRangeStart w:id="73"/>
      <w:r w:rsidRPr="00CC2F84">
        <w:rPr>
          <w:rFonts w:ascii="Helvetica" w:hAnsi="Helvetica"/>
          <w:b/>
          <w:bCs/>
          <w:sz w:val="20"/>
          <w:szCs w:val="20"/>
        </w:rPr>
        <w:t>Figure 3. Simulated impact of a respiratory virus outbreak on harvesting of strawberries, iceberg lettuce, and oranges in California.</w:t>
      </w:r>
      <w:r w:rsidRPr="00CC2F84">
        <w:rPr>
          <w:rFonts w:ascii="Helvetica" w:hAnsi="Helvetica"/>
          <w:sz w:val="20"/>
          <w:szCs w:val="20"/>
        </w:rPr>
        <w:t xml:space="preserve"> </w:t>
      </w:r>
      <w:commentRangeEnd w:id="72"/>
      <w:r w:rsidR="00956CEE" w:rsidRPr="00CC2F84">
        <w:rPr>
          <w:rStyle w:val="CommentReference"/>
          <w:rFonts w:ascii="Helvetica" w:hAnsi="Helvetica"/>
          <w:sz w:val="20"/>
          <w:szCs w:val="20"/>
        </w:rPr>
        <w:commentReference w:id="72"/>
      </w:r>
      <w:commentRangeEnd w:id="73"/>
      <w:r w:rsidRPr="00CC2F84">
        <w:rPr>
          <w:rStyle w:val="CommentReference"/>
          <w:rFonts w:ascii="Helvetica" w:hAnsi="Helvetica"/>
          <w:sz w:val="20"/>
          <w:szCs w:val="20"/>
        </w:rPr>
        <w:commentReference w:id="73"/>
      </w:r>
      <w:commentRangeStart w:id="74"/>
      <w:r w:rsidRPr="00CC2F84">
        <w:rPr>
          <w:rFonts w:ascii="Helvetica" w:hAnsi="Helvetica"/>
          <w:sz w:val="20"/>
          <w:szCs w:val="20"/>
        </w:rPr>
        <w:t>(A)</w:t>
      </w:r>
      <w:commentRangeEnd w:id="74"/>
      <w:r w:rsidR="00956CEE" w:rsidRPr="00CC2F84">
        <w:rPr>
          <w:rStyle w:val="CommentReference"/>
          <w:rFonts w:ascii="Helvetica" w:hAnsi="Helvetica"/>
          <w:sz w:val="20"/>
          <w:szCs w:val="20"/>
        </w:rPr>
        <w:commentReference w:id="74"/>
      </w:r>
      <w:r w:rsidRPr="00CC2F84">
        <w:rPr>
          <w:rFonts w:ascii="Helvetica" w:hAnsi="Helvetica"/>
          <w:sz w:val="20"/>
          <w:szCs w:val="20"/>
        </w:rPr>
        <w:t xml:space="preserve"> Illustration of the approach for calculating harvest impact. Here, an epidemic peaks in the general community on June 1st, leading to a </w:t>
      </w:r>
      <w:commentRangeStart w:id="75"/>
      <w:r w:rsidRPr="00CC2F84">
        <w:rPr>
          <w:rFonts w:ascii="Helvetica" w:hAnsi="Helvetica"/>
          <w:sz w:val="20"/>
          <w:szCs w:val="20"/>
        </w:rPr>
        <w:t xml:space="preserve">peak in symptomatic disease among agricultural workers a few days earlier. </w:t>
      </w:r>
      <w:commentRangeEnd w:id="75"/>
      <w:r w:rsidR="00956CEE" w:rsidRPr="00CC2F84">
        <w:rPr>
          <w:rStyle w:val="CommentReference"/>
          <w:rFonts w:ascii="Helvetica" w:hAnsi="Helvetica"/>
          <w:sz w:val="20"/>
          <w:szCs w:val="20"/>
        </w:rPr>
        <w:commentReference w:id="75"/>
      </w:r>
      <w:r w:rsidRPr="00CC2F84">
        <w:rPr>
          <w:rFonts w:ascii="Helvetica" w:hAnsi="Helvetica"/>
          <w:sz w:val="20"/>
          <w:szCs w:val="20"/>
        </w:rPr>
        <w:t>The mean daily production of strawberries (magenta), iceberg lettuce (blue), and oranges (orange), averaged across 2018-2024, are depicted as solid lines. Dashed lines with shading depict the simulated production impact caused by the loss of labor due to symptomatic disease. The total impact (i.e., the area of the shaded regions) is summed across the year, yielding a single point in plot (B) representing the overall impact of an epidemic peaking on June 1. (B) Simulated production impact on strawberries (magenta), iceberg lettuce (blue), and oranges (orange) for epidemics peaking in the general community on each day of the year. These impacts assume that 50% of infections cause symptoms severe enough to cause a worker to miss work.</w:t>
      </w:r>
    </w:p>
    <w:p w14:paraId="5ACADA59" w14:textId="77777777" w:rsidR="007B1CFB" w:rsidRPr="00CC2F84" w:rsidRDefault="007B1CFB">
      <w:pPr>
        <w:rPr>
          <w:rFonts w:ascii="Helvetica" w:eastAsiaTheme="majorEastAsia" w:hAnsi="Helvetica" w:cstheme="majorBidi"/>
          <w:color w:val="0F4761" w:themeColor="accent1" w:themeShade="BF"/>
          <w:sz w:val="32"/>
          <w:szCs w:val="32"/>
        </w:rPr>
      </w:pPr>
      <w:bookmarkStart w:id="76" w:name="acknowledgments"/>
      <w:bookmarkEnd w:id="46"/>
      <w:bookmarkEnd w:id="67"/>
      <w:r w:rsidRPr="00CC2F84">
        <w:rPr>
          <w:rFonts w:ascii="Helvetica" w:hAnsi="Helvetica"/>
        </w:rPr>
        <w:br w:type="page"/>
      </w:r>
    </w:p>
    <w:p w14:paraId="281E97F5" w14:textId="17094C8F" w:rsidR="00AB7EBC" w:rsidRPr="00CC2F84" w:rsidRDefault="006B4661">
      <w:pPr>
        <w:pStyle w:val="Heading2"/>
        <w:rPr>
          <w:rFonts w:ascii="Helvetica" w:hAnsi="Helvetica"/>
          <w:b/>
          <w:bCs/>
          <w:color w:val="auto"/>
          <w:sz w:val="22"/>
          <w:szCs w:val="22"/>
        </w:rPr>
      </w:pPr>
      <w:r w:rsidRPr="00CC2F84">
        <w:rPr>
          <w:rFonts w:ascii="Helvetica" w:hAnsi="Helvetica"/>
          <w:b/>
          <w:bCs/>
          <w:color w:val="auto"/>
          <w:sz w:val="22"/>
          <w:szCs w:val="22"/>
        </w:rPr>
        <w:lastRenderedPageBreak/>
        <w:t>Acknowledgments</w:t>
      </w:r>
    </w:p>
    <w:p w14:paraId="38B85404" w14:textId="77777777" w:rsidR="00AB7EBC" w:rsidRPr="00CC2F84" w:rsidRDefault="006B4661">
      <w:pPr>
        <w:pStyle w:val="Heading2"/>
        <w:rPr>
          <w:rFonts w:ascii="Helvetica" w:hAnsi="Helvetica"/>
          <w:b/>
          <w:bCs/>
          <w:color w:val="auto"/>
          <w:sz w:val="22"/>
          <w:szCs w:val="22"/>
        </w:rPr>
      </w:pPr>
      <w:bookmarkStart w:id="77" w:name="funding"/>
      <w:bookmarkEnd w:id="76"/>
      <w:r w:rsidRPr="00CC2F84">
        <w:rPr>
          <w:rFonts w:ascii="Helvetica" w:hAnsi="Helvetica"/>
          <w:b/>
          <w:bCs/>
          <w:color w:val="auto"/>
          <w:sz w:val="22"/>
          <w:szCs w:val="22"/>
        </w:rPr>
        <w:t>Funding</w:t>
      </w:r>
    </w:p>
    <w:p w14:paraId="1E6BEC36" w14:textId="20E0B5D7" w:rsidR="00F050D5" w:rsidRPr="00CC2F84" w:rsidRDefault="00F050D5" w:rsidP="00E75E71">
      <w:pPr>
        <w:pStyle w:val="Heading2"/>
        <w:jc w:val="both"/>
        <w:rPr>
          <w:rFonts w:ascii="Helvetica" w:eastAsiaTheme="minorEastAsia" w:hAnsi="Helvetica" w:cstheme="minorBidi"/>
          <w:color w:val="auto"/>
          <w:sz w:val="22"/>
          <w:szCs w:val="22"/>
        </w:rPr>
      </w:pPr>
      <w:r w:rsidRPr="00CC2F84">
        <w:rPr>
          <w:rFonts w:ascii="Helvetica" w:eastAsiaTheme="minorEastAsia" w:hAnsi="Helvetica" w:cstheme="minorBidi"/>
          <w:color w:val="auto"/>
          <w:sz w:val="22"/>
          <w:szCs w:val="22"/>
        </w:rPr>
        <w:t>This work was supported in part by the Interdisciplinary Quantitative Biology (IQ Biology) PhD program at the BioFrontiers Institute, University of Colorado Boulder, and the National Science Foundation NRT Integrated Data Science Fellowship (award 2022138).</w:t>
      </w:r>
    </w:p>
    <w:p w14:paraId="7C18EECE" w14:textId="638E5137" w:rsidR="00D74451" w:rsidRPr="00D74451" w:rsidRDefault="006B4661" w:rsidP="00D74451">
      <w:pPr>
        <w:pStyle w:val="Heading2"/>
        <w:rPr>
          <w:rFonts w:ascii="Helvetica" w:hAnsi="Helvetica"/>
          <w:b/>
          <w:bCs/>
          <w:color w:val="auto"/>
          <w:sz w:val="22"/>
          <w:szCs w:val="22"/>
        </w:rPr>
      </w:pPr>
      <w:bookmarkStart w:id="78" w:name="author-contributions"/>
      <w:bookmarkEnd w:id="77"/>
      <w:r w:rsidRPr="00CC2F84">
        <w:rPr>
          <w:rFonts w:ascii="Helvetica" w:hAnsi="Helvetica"/>
          <w:b/>
          <w:bCs/>
          <w:color w:val="auto"/>
          <w:sz w:val="22"/>
          <w:szCs w:val="22"/>
        </w:rPr>
        <w:t>Author contributions</w:t>
      </w:r>
    </w:p>
    <w:p w14:paraId="38F0283D" w14:textId="77777777" w:rsidR="00AB7EBC" w:rsidRPr="00CC2F84" w:rsidRDefault="006B4661">
      <w:pPr>
        <w:pStyle w:val="Heading2"/>
        <w:rPr>
          <w:rFonts w:ascii="Helvetica" w:hAnsi="Helvetica"/>
          <w:b/>
          <w:bCs/>
          <w:color w:val="auto"/>
          <w:sz w:val="22"/>
          <w:szCs w:val="22"/>
        </w:rPr>
      </w:pPr>
      <w:bookmarkStart w:id="79" w:name="competing-interests"/>
      <w:bookmarkEnd w:id="78"/>
      <w:r w:rsidRPr="00CC2F84">
        <w:rPr>
          <w:rFonts w:ascii="Helvetica" w:hAnsi="Helvetica"/>
          <w:b/>
          <w:bCs/>
          <w:color w:val="auto"/>
          <w:sz w:val="22"/>
          <w:szCs w:val="22"/>
        </w:rPr>
        <w:t>Competing interests</w:t>
      </w:r>
    </w:p>
    <w:p w14:paraId="70447656" w14:textId="77777777" w:rsidR="00AB7EBC" w:rsidRPr="00CC2F84" w:rsidRDefault="006B4661">
      <w:pPr>
        <w:pStyle w:val="Heading2"/>
        <w:rPr>
          <w:rFonts w:ascii="Helvetica" w:hAnsi="Helvetica"/>
          <w:b/>
          <w:bCs/>
          <w:color w:val="auto"/>
          <w:sz w:val="22"/>
          <w:szCs w:val="22"/>
        </w:rPr>
      </w:pPr>
      <w:bookmarkStart w:id="80" w:name="data-availability"/>
      <w:bookmarkEnd w:id="79"/>
      <w:r w:rsidRPr="00CC2F84">
        <w:rPr>
          <w:rFonts w:ascii="Helvetica" w:hAnsi="Helvetica"/>
          <w:b/>
          <w:bCs/>
          <w:color w:val="auto"/>
          <w:sz w:val="22"/>
          <w:szCs w:val="22"/>
        </w:rPr>
        <w:t>Data availability</w:t>
      </w:r>
    </w:p>
    <w:p w14:paraId="0D7CBAB4"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All data and code associated with this manuscript can be accessed at https://github.com/skissler/IQTeamProject</w:t>
      </w:r>
    </w:p>
    <w:p w14:paraId="6A98797E" w14:textId="77777777" w:rsidR="00BC40BD" w:rsidRDefault="00BC40BD">
      <w:pPr>
        <w:rPr>
          <w:rFonts w:ascii="Helvetica" w:eastAsiaTheme="majorEastAsia" w:hAnsi="Helvetica" w:cstheme="majorBidi"/>
          <w:b/>
          <w:bCs/>
          <w:sz w:val="22"/>
          <w:szCs w:val="22"/>
        </w:rPr>
      </w:pPr>
      <w:bookmarkStart w:id="81" w:name="references"/>
      <w:bookmarkEnd w:id="80"/>
      <w:r>
        <w:rPr>
          <w:rFonts w:ascii="Helvetica" w:hAnsi="Helvetica"/>
          <w:b/>
          <w:bCs/>
          <w:sz w:val="22"/>
          <w:szCs w:val="22"/>
        </w:rPr>
        <w:br w:type="page"/>
      </w:r>
    </w:p>
    <w:p w14:paraId="7AFF7CD0" w14:textId="775BE1EF" w:rsidR="00320FD3" w:rsidRPr="00320FD3" w:rsidRDefault="00320FD3" w:rsidP="00320FD3">
      <w:pPr>
        <w:pStyle w:val="Heading2"/>
        <w:rPr>
          <w:rFonts w:ascii="Helvetica" w:hAnsi="Helvetica"/>
          <w:b/>
          <w:bCs/>
          <w:color w:val="auto"/>
          <w:sz w:val="22"/>
          <w:szCs w:val="22"/>
        </w:rPr>
      </w:pPr>
      <w:bookmarkStart w:id="82" w:name="supplementary-information"/>
      <w:bookmarkEnd w:id="81"/>
      <w:r w:rsidRPr="00320FD3">
        <w:rPr>
          <w:rFonts w:ascii="Helvetica" w:hAnsi="Helvetica"/>
          <w:b/>
          <w:bCs/>
          <w:color w:val="auto"/>
          <w:sz w:val="22"/>
          <w:szCs w:val="22"/>
        </w:rPr>
        <w:lastRenderedPageBreak/>
        <w:t>References</w:t>
      </w:r>
    </w:p>
    <w:p w14:paraId="0212FABA" w14:textId="77777777" w:rsidR="00BE3D78" w:rsidRPr="00B9711F" w:rsidRDefault="00320FD3"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b/>
          <w:bCs/>
          <w:color w:val="0F4761" w:themeColor="accent1" w:themeShade="BF"/>
          <w:sz w:val="20"/>
          <w:szCs w:val="20"/>
        </w:rPr>
        <w:fldChar w:fldCharType="begin"/>
      </w:r>
      <w:r w:rsidR="00085491" w:rsidRPr="00B9711F">
        <w:rPr>
          <w:rFonts w:ascii="Helvetica" w:hAnsi="Helvetica"/>
          <w:b/>
          <w:bCs/>
          <w:sz w:val="20"/>
          <w:szCs w:val="20"/>
        </w:rPr>
        <w:instrText xml:space="preserve"> ADDIN ZOTERO_BIBL {"uncited":[],"omitted":[],"custom":[]} CSL_BIBLIOGRAPHY </w:instrText>
      </w:r>
      <w:r w:rsidRPr="00B9711F">
        <w:rPr>
          <w:rFonts w:ascii="Helvetica" w:hAnsi="Helvetica"/>
          <w:b/>
          <w:bCs/>
          <w:color w:val="0F4761" w:themeColor="accent1" w:themeShade="BF"/>
          <w:sz w:val="20"/>
          <w:szCs w:val="20"/>
        </w:rPr>
        <w:fldChar w:fldCharType="separate"/>
      </w:r>
      <w:r w:rsidR="00BE3D78" w:rsidRPr="00B9711F">
        <w:rPr>
          <w:rFonts w:ascii="Helvetica" w:hAnsi="Helvetica"/>
          <w:sz w:val="20"/>
          <w:szCs w:val="20"/>
        </w:rPr>
        <w:t>1.</w:t>
      </w:r>
      <w:r w:rsidR="00BE3D78" w:rsidRPr="00B9711F">
        <w:rPr>
          <w:rFonts w:ascii="Helvetica" w:hAnsi="Helvetica"/>
          <w:sz w:val="20"/>
          <w:szCs w:val="20"/>
        </w:rPr>
        <w:tab/>
        <w:t xml:space="preserve">Waltenburg, M. A. </w:t>
      </w:r>
      <w:r w:rsidR="00BE3D78" w:rsidRPr="00B9711F">
        <w:rPr>
          <w:rFonts w:ascii="Helvetica" w:hAnsi="Helvetica"/>
          <w:i/>
          <w:iCs/>
          <w:sz w:val="20"/>
          <w:szCs w:val="20"/>
        </w:rPr>
        <w:t>et al.</w:t>
      </w:r>
      <w:r w:rsidR="00BE3D78" w:rsidRPr="00B9711F">
        <w:rPr>
          <w:rFonts w:ascii="Helvetica" w:hAnsi="Helvetica"/>
          <w:sz w:val="20"/>
          <w:szCs w:val="20"/>
        </w:rPr>
        <w:t xml:space="preserve"> Update: COVID-19 Among Workers in Meat and Poultry Processing Facilities ― United States, April–May 2020. </w:t>
      </w:r>
      <w:r w:rsidR="00BE3D78" w:rsidRPr="00B9711F">
        <w:rPr>
          <w:rFonts w:ascii="Helvetica" w:hAnsi="Helvetica"/>
          <w:i/>
          <w:iCs/>
          <w:sz w:val="20"/>
          <w:szCs w:val="20"/>
        </w:rPr>
        <w:t>MMWR Morb. Mortal. Wkly. Rep.</w:t>
      </w:r>
      <w:r w:rsidR="00BE3D78" w:rsidRPr="00B9711F">
        <w:rPr>
          <w:rFonts w:ascii="Helvetica" w:hAnsi="Helvetica"/>
          <w:sz w:val="20"/>
          <w:szCs w:val="20"/>
        </w:rPr>
        <w:t xml:space="preserve"> </w:t>
      </w:r>
      <w:r w:rsidR="00BE3D78" w:rsidRPr="00B9711F">
        <w:rPr>
          <w:rFonts w:ascii="Helvetica" w:hAnsi="Helvetica"/>
          <w:b/>
          <w:bCs/>
          <w:sz w:val="20"/>
          <w:szCs w:val="20"/>
        </w:rPr>
        <w:t>69</w:t>
      </w:r>
      <w:r w:rsidR="00BE3D78" w:rsidRPr="00B9711F">
        <w:rPr>
          <w:rFonts w:ascii="Helvetica" w:hAnsi="Helvetica"/>
          <w:sz w:val="20"/>
          <w:szCs w:val="20"/>
        </w:rPr>
        <w:t>, 887–892 (2020).</w:t>
      </w:r>
    </w:p>
    <w:p w14:paraId="2D2975AE"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w:t>
      </w:r>
      <w:r w:rsidRPr="00B9711F">
        <w:rPr>
          <w:rFonts w:ascii="Helvetica" w:hAnsi="Helvetica"/>
          <w:sz w:val="20"/>
          <w:szCs w:val="20"/>
        </w:rPr>
        <w:tab/>
        <w:t xml:space="preserve">Gomez, M., Mejia, A., Ruddell, B. L. &amp; Rushforth, R. R. Supply chain diversity buffers cities against food shocks. </w:t>
      </w:r>
      <w:r w:rsidRPr="00B9711F">
        <w:rPr>
          <w:rFonts w:ascii="Helvetica" w:hAnsi="Helvetica"/>
          <w:i/>
          <w:iCs/>
          <w:sz w:val="20"/>
          <w:szCs w:val="20"/>
        </w:rPr>
        <w:t>Nature</w:t>
      </w:r>
      <w:r w:rsidRPr="00B9711F">
        <w:rPr>
          <w:rFonts w:ascii="Helvetica" w:hAnsi="Helvetica"/>
          <w:sz w:val="20"/>
          <w:szCs w:val="20"/>
        </w:rPr>
        <w:t xml:space="preserve"> </w:t>
      </w:r>
      <w:r w:rsidRPr="00B9711F">
        <w:rPr>
          <w:rFonts w:ascii="Helvetica" w:hAnsi="Helvetica"/>
          <w:b/>
          <w:bCs/>
          <w:sz w:val="20"/>
          <w:szCs w:val="20"/>
        </w:rPr>
        <w:t>595</w:t>
      </w:r>
      <w:r w:rsidRPr="00B9711F">
        <w:rPr>
          <w:rFonts w:ascii="Helvetica" w:hAnsi="Helvetica"/>
          <w:sz w:val="20"/>
          <w:szCs w:val="20"/>
        </w:rPr>
        <w:t>, 250–254 (2021).</w:t>
      </w:r>
    </w:p>
    <w:p w14:paraId="2A94725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w:t>
      </w:r>
      <w:r w:rsidRPr="00B9711F">
        <w:rPr>
          <w:rFonts w:ascii="Helvetica" w:hAnsi="Helvetica"/>
          <w:sz w:val="20"/>
          <w:szCs w:val="20"/>
        </w:rPr>
        <w:tab/>
        <w:t xml:space="preserve">Lusk, J. L. &amp; Chandra, R. Farmer and farm worker illnesses and deaths from COVID-19 and impacts on agricultural output.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16</w:t>
      </w:r>
      <w:r w:rsidRPr="00B9711F">
        <w:rPr>
          <w:rFonts w:ascii="Helvetica" w:hAnsi="Helvetica"/>
          <w:sz w:val="20"/>
          <w:szCs w:val="20"/>
        </w:rPr>
        <w:t>, e0250621 (2021).</w:t>
      </w:r>
    </w:p>
    <w:p w14:paraId="1BF2AA0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w:t>
      </w:r>
      <w:r w:rsidRPr="00B9711F">
        <w:rPr>
          <w:rFonts w:ascii="Helvetica" w:hAnsi="Helvetica"/>
          <w:sz w:val="20"/>
          <w:szCs w:val="20"/>
        </w:rPr>
        <w:tab/>
        <w:t xml:space="preserve">Saitone, T. L., Aleks Schaefer, K. &amp; Scheitrum, D. P. COVID-19 morbidity and mortality in U.S. meatpacking counties. </w:t>
      </w:r>
      <w:r w:rsidRPr="00B9711F">
        <w:rPr>
          <w:rFonts w:ascii="Helvetica" w:hAnsi="Helvetica"/>
          <w:i/>
          <w:iCs/>
          <w:sz w:val="20"/>
          <w:szCs w:val="20"/>
        </w:rPr>
        <w:t>Food Policy</w:t>
      </w:r>
      <w:r w:rsidRPr="00B9711F">
        <w:rPr>
          <w:rFonts w:ascii="Helvetica" w:hAnsi="Helvetica"/>
          <w:sz w:val="20"/>
          <w:szCs w:val="20"/>
        </w:rPr>
        <w:t xml:space="preserve"> </w:t>
      </w:r>
      <w:r w:rsidRPr="00B9711F">
        <w:rPr>
          <w:rFonts w:ascii="Helvetica" w:hAnsi="Helvetica"/>
          <w:b/>
          <w:bCs/>
          <w:sz w:val="20"/>
          <w:szCs w:val="20"/>
        </w:rPr>
        <w:t>101</w:t>
      </w:r>
      <w:r w:rsidRPr="00B9711F">
        <w:rPr>
          <w:rFonts w:ascii="Helvetica" w:hAnsi="Helvetica"/>
          <w:sz w:val="20"/>
          <w:szCs w:val="20"/>
        </w:rPr>
        <w:t>, 102072 (2021).</w:t>
      </w:r>
    </w:p>
    <w:p w14:paraId="47719A25"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w:t>
      </w:r>
      <w:r w:rsidRPr="00B9711F">
        <w:rPr>
          <w:rFonts w:ascii="Helvetica" w:hAnsi="Helvetica"/>
          <w:sz w:val="20"/>
          <w:szCs w:val="20"/>
        </w:rPr>
        <w:tab/>
        <w:t xml:space="preserve">Marusak, A. </w:t>
      </w:r>
      <w:r w:rsidRPr="00B9711F">
        <w:rPr>
          <w:rFonts w:ascii="Helvetica" w:hAnsi="Helvetica"/>
          <w:i/>
          <w:iCs/>
          <w:sz w:val="20"/>
          <w:szCs w:val="20"/>
        </w:rPr>
        <w:t>et al.</w:t>
      </w:r>
      <w:r w:rsidRPr="00B9711F">
        <w:rPr>
          <w:rFonts w:ascii="Helvetica" w:hAnsi="Helvetica"/>
          <w:sz w:val="20"/>
          <w:szCs w:val="20"/>
        </w:rPr>
        <w:t xml:space="preserve"> Resilient regional food supply chains and rethinking the way forward: Key takeaways from the COVID-19 pandemic. </w:t>
      </w:r>
      <w:r w:rsidRPr="00B9711F">
        <w:rPr>
          <w:rFonts w:ascii="Helvetica" w:hAnsi="Helvetica"/>
          <w:i/>
          <w:iCs/>
          <w:sz w:val="20"/>
          <w:szCs w:val="20"/>
        </w:rPr>
        <w:t>Agricultural Systems</w:t>
      </w:r>
      <w:r w:rsidRPr="00B9711F">
        <w:rPr>
          <w:rFonts w:ascii="Helvetica" w:hAnsi="Helvetica"/>
          <w:sz w:val="20"/>
          <w:szCs w:val="20"/>
        </w:rPr>
        <w:t xml:space="preserve"> </w:t>
      </w:r>
      <w:r w:rsidRPr="00B9711F">
        <w:rPr>
          <w:rFonts w:ascii="Helvetica" w:hAnsi="Helvetica"/>
          <w:b/>
          <w:bCs/>
          <w:sz w:val="20"/>
          <w:szCs w:val="20"/>
        </w:rPr>
        <w:t>190</w:t>
      </w:r>
      <w:r w:rsidRPr="00B9711F">
        <w:rPr>
          <w:rFonts w:ascii="Helvetica" w:hAnsi="Helvetica"/>
          <w:sz w:val="20"/>
          <w:szCs w:val="20"/>
        </w:rPr>
        <w:t>, 103101 (2021).</w:t>
      </w:r>
    </w:p>
    <w:p w14:paraId="6C3361D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w:t>
      </w:r>
      <w:r w:rsidRPr="00B9711F">
        <w:rPr>
          <w:rFonts w:ascii="Helvetica" w:hAnsi="Helvetica"/>
          <w:sz w:val="20"/>
          <w:szCs w:val="20"/>
        </w:rPr>
        <w:tab/>
        <w:t xml:space="preserve">Mellis, A. M. </w:t>
      </w:r>
      <w:r w:rsidRPr="00B9711F">
        <w:rPr>
          <w:rFonts w:ascii="Helvetica" w:hAnsi="Helvetica"/>
          <w:i/>
          <w:iCs/>
          <w:sz w:val="20"/>
          <w:szCs w:val="20"/>
        </w:rPr>
        <w:t>et al.</w:t>
      </w:r>
      <w:r w:rsidRPr="00B9711F">
        <w:rPr>
          <w:rFonts w:ascii="Helvetica" w:hAnsi="Helvetica"/>
          <w:sz w:val="20"/>
          <w:szCs w:val="20"/>
        </w:rPr>
        <w:t xml:space="preserve"> Serologic Evidence of Recent Infection with Highly Pathogenic Avian Influenza A(H5) Virus Among Dairy Workers — Michigan and Colorado, June–August 2024. </w:t>
      </w:r>
      <w:r w:rsidRPr="00B9711F">
        <w:rPr>
          <w:rFonts w:ascii="Helvetica" w:hAnsi="Helvetica"/>
          <w:i/>
          <w:iCs/>
          <w:sz w:val="20"/>
          <w:szCs w:val="20"/>
        </w:rPr>
        <w:t>MMWR Morb. Mortal. Wkly. Rep.</w:t>
      </w:r>
      <w:r w:rsidRPr="00B9711F">
        <w:rPr>
          <w:rFonts w:ascii="Helvetica" w:hAnsi="Helvetica"/>
          <w:sz w:val="20"/>
          <w:szCs w:val="20"/>
        </w:rPr>
        <w:t xml:space="preserve"> </w:t>
      </w:r>
      <w:r w:rsidRPr="00B9711F">
        <w:rPr>
          <w:rFonts w:ascii="Helvetica" w:hAnsi="Helvetica"/>
          <w:b/>
          <w:bCs/>
          <w:sz w:val="20"/>
          <w:szCs w:val="20"/>
        </w:rPr>
        <w:t>73</w:t>
      </w:r>
      <w:r w:rsidRPr="00B9711F">
        <w:rPr>
          <w:rFonts w:ascii="Helvetica" w:hAnsi="Helvetica"/>
          <w:sz w:val="20"/>
          <w:szCs w:val="20"/>
        </w:rPr>
        <w:t>, 1004–1009 (2024).</w:t>
      </w:r>
    </w:p>
    <w:p w14:paraId="0A3D8499"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7.</w:t>
      </w:r>
      <w:r w:rsidRPr="00B9711F">
        <w:rPr>
          <w:rFonts w:ascii="Helvetica" w:hAnsi="Helvetica"/>
          <w:sz w:val="20"/>
          <w:szCs w:val="20"/>
        </w:rPr>
        <w:tab/>
        <w:t xml:space="preserve">Marcelo Castillo, Skyler Simnitt, &amp; Steven Zahniser. </w:t>
      </w:r>
      <w:r w:rsidRPr="00B9711F">
        <w:rPr>
          <w:rFonts w:ascii="Helvetica" w:hAnsi="Helvetica"/>
          <w:i/>
          <w:iCs/>
          <w:sz w:val="20"/>
          <w:szCs w:val="20"/>
        </w:rPr>
        <w:t>Farm Labor</w:t>
      </w:r>
      <w:r w:rsidRPr="00B9711F">
        <w:rPr>
          <w:rFonts w:ascii="Helvetica" w:hAnsi="Helvetica"/>
          <w:sz w:val="20"/>
          <w:szCs w:val="20"/>
        </w:rPr>
        <w:t>. https://www.ers.usda.gov/topics/farm-economy/farm-labor (2025).</w:t>
      </w:r>
    </w:p>
    <w:p w14:paraId="75148F1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8.</w:t>
      </w:r>
      <w:r w:rsidRPr="00B9711F">
        <w:rPr>
          <w:rFonts w:ascii="Helvetica" w:hAnsi="Helvetica"/>
          <w:sz w:val="20"/>
          <w:szCs w:val="20"/>
        </w:rPr>
        <w:tab/>
        <w:t xml:space="preserve">Hoerster, K. D. </w:t>
      </w:r>
      <w:r w:rsidRPr="00B9711F">
        <w:rPr>
          <w:rFonts w:ascii="Helvetica" w:hAnsi="Helvetica"/>
          <w:i/>
          <w:iCs/>
          <w:sz w:val="20"/>
          <w:szCs w:val="20"/>
        </w:rPr>
        <w:t>et al.</w:t>
      </w:r>
      <w:r w:rsidRPr="00B9711F">
        <w:rPr>
          <w:rFonts w:ascii="Helvetica" w:hAnsi="Helvetica"/>
          <w:sz w:val="20"/>
          <w:szCs w:val="20"/>
        </w:rPr>
        <w:t xml:space="preserve"> Impact of Individual-, Environmental-, and Policy-Level Factors on Health Care Utilization Among US Farmworkers. </w:t>
      </w:r>
      <w:r w:rsidRPr="00B9711F">
        <w:rPr>
          <w:rFonts w:ascii="Helvetica" w:hAnsi="Helvetica"/>
          <w:i/>
          <w:iCs/>
          <w:sz w:val="20"/>
          <w:szCs w:val="20"/>
        </w:rPr>
        <w:t>Am J Public Health</w:t>
      </w:r>
      <w:r w:rsidRPr="00B9711F">
        <w:rPr>
          <w:rFonts w:ascii="Helvetica" w:hAnsi="Helvetica"/>
          <w:sz w:val="20"/>
          <w:szCs w:val="20"/>
        </w:rPr>
        <w:t xml:space="preserve"> </w:t>
      </w:r>
      <w:r w:rsidRPr="00B9711F">
        <w:rPr>
          <w:rFonts w:ascii="Helvetica" w:hAnsi="Helvetica"/>
          <w:b/>
          <w:bCs/>
          <w:sz w:val="20"/>
          <w:szCs w:val="20"/>
        </w:rPr>
        <w:t>101</w:t>
      </w:r>
      <w:r w:rsidRPr="00B9711F">
        <w:rPr>
          <w:rFonts w:ascii="Helvetica" w:hAnsi="Helvetica"/>
          <w:sz w:val="20"/>
          <w:szCs w:val="20"/>
        </w:rPr>
        <w:t>, 685–692 (2011).</w:t>
      </w:r>
    </w:p>
    <w:p w14:paraId="30C13C7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9.</w:t>
      </w:r>
      <w:r w:rsidRPr="00B9711F">
        <w:rPr>
          <w:rFonts w:ascii="Helvetica" w:hAnsi="Helvetica"/>
          <w:sz w:val="20"/>
          <w:szCs w:val="20"/>
        </w:rPr>
        <w:tab/>
        <w:t xml:space="preserve">Shockey, T. M., Tsai, R. J. &amp; Cho, P. Prevalence of Diagnosed Diabetes Among Employed US Adults by Demographic Characteristics and Occupation, 36 States, 2014 to 2018. </w:t>
      </w:r>
      <w:r w:rsidRPr="00B9711F">
        <w:rPr>
          <w:rFonts w:ascii="Helvetica" w:hAnsi="Helvetica"/>
          <w:i/>
          <w:iCs/>
          <w:sz w:val="20"/>
          <w:szCs w:val="20"/>
        </w:rPr>
        <w:t>Journal of Occupational &amp; Environmental Medicine</w:t>
      </w:r>
      <w:r w:rsidRPr="00B9711F">
        <w:rPr>
          <w:rFonts w:ascii="Helvetica" w:hAnsi="Helvetica"/>
          <w:sz w:val="20"/>
          <w:szCs w:val="20"/>
        </w:rPr>
        <w:t xml:space="preserve"> </w:t>
      </w:r>
      <w:r w:rsidRPr="00B9711F">
        <w:rPr>
          <w:rFonts w:ascii="Helvetica" w:hAnsi="Helvetica"/>
          <w:b/>
          <w:bCs/>
          <w:sz w:val="20"/>
          <w:szCs w:val="20"/>
        </w:rPr>
        <w:t>63</w:t>
      </w:r>
      <w:r w:rsidRPr="00B9711F">
        <w:rPr>
          <w:rFonts w:ascii="Helvetica" w:hAnsi="Helvetica"/>
          <w:sz w:val="20"/>
          <w:szCs w:val="20"/>
        </w:rPr>
        <w:t>, 302–310 (2021).</w:t>
      </w:r>
    </w:p>
    <w:p w14:paraId="0039916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10.</w:t>
      </w:r>
      <w:r w:rsidRPr="00B9711F">
        <w:rPr>
          <w:rFonts w:ascii="Helvetica" w:hAnsi="Helvetica"/>
          <w:sz w:val="20"/>
          <w:szCs w:val="20"/>
        </w:rPr>
        <w:tab/>
        <w:t xml:space="preserve">Matias, S. L., French, C. D., Gomez-Lara, A. &amp; Schenker, M. B. Chronic disease burden among Latino farmworkers in California. </w:t>
      </w:r>
      <w:r w:rsidRPr="00B9711F">
        <w:rPr>
          <w:rFonts w:ascii="Helvetica" w:hAnsi="Helvetica"/>
          <w:i/>
          <w:iCs/>
          <w:sz w:val="20"/>
          <w:szCs w:val="20"/>
        </w:rPr>
        <w:t>Front. Public Health</w:t>
      </w:r>
      <w:r w:rsidRPr="00B9711F">
        <w:rPr>
          <w:rFonts w:ascii="Helvetica" w:hAnsi="Helvetica"/>
          <w:sz w:val="20"/>
          <w:szCs w:val="20"/>
        </w:rPr>
        <w:t xml:space="preserve"> </w:t>
      </w:r>
      <w:r w:rsidRPr="00B9711F">
        <w:rPr>
          <w:rFonts w:ascii="Helvetica" w:hAnsi="Helvetica"/>
          <w:b/>
          <w:bCs/>
          <w:sz w:val="20"/>
          <w:szCs w:val="20"/>
        </w:rPr>
        <w:t>10</w:t>
      </w:r>
      <w:r w:rsidRPr="00B9711F">
        <w:rPr>
          <w:rFonts w:ascii="Helvetica" w:hAnsi="Helvetica"/>
          <w:sz w:val="20"/>
          <w:szCs w:val="20"/>
        </w:rPr>
        <w:t>, 1024083 (2022).</w:t>
      </w:r>
    </w:p>
    <w:p w14:paraId="3B8BCCAC"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11.</w:t>
      </w:r>
      <w:r w:rsidRPr="00B9711F">
        <w:rPr>
          <w:rFonts w:ascii="Helvetica" w:hAnsi="Helvetica"/>
          <w:sz w:val="20"/>
          <w:szCs w:val="20"/>
        </w:rPr>
        <w:tab/>
        <w:t xml:space="preserve">Linaker, C. Respiratory illness in agricultural workers. </w:t>
      </w:r>
      <w:r w:rsidRPr="00B9711F">
        <w:rPr>
          <w:rFonts w:ascii="Helvetica" w:hAnsi="Helvetica"/>
          <w:i/>
          <w:iCs/>
          <w:sz w:val="20"/>
          <w:szCs w:val="20"/>
        </w:rPr>
        <w:t>Occupational Medicine</w:t>
      </w:r>
      <w:r w:rsidRPr="00B9711F">
        <w:rPr>
          <w:rFonts w:ascii="Helvetica" w:hAnsi="Helvetica"/>
          <w:sz w:val="20"/>
          <w:szCs w:val="20"/>
        </w:rPr>
        <w:t xml:space="preserve"> </w:t>
      </w:r>
      <w:r w:rsidRPr="00B9711F">
        <w:rPr>
          <w:rFonts w:ascii="Helvetica" w:hAnsi="Helvetica"/>
          <w:b/>
          <w:bCs/>
          <w:sz w:val="20"/>
          <w:szCs w:val="20"/>
        </w:rPr>
        <w:t>52</w:t>
      </w:r>
      <w:r w:rsidRPr="00B9711F">
        <w:rPr>
          <w:rFonts w:ascii="Helvetica" w:hAnsi="Helvetica"/>
          <w:sz w:val="20"/>
          <w:szCs w:val="20"/>
        </w:rPr>
        <w:t>, 451–459 (2002).</w:t>
      </w:r>
    </w:p>
    <w:p w14:paraId="7D37BB6C"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12.</w:t>
      </w:r>
      <w:r w:rsidRPr="00B9711F">
        <w:rPr>
          <w:rFonts w:ascii="Helvetica" w:hAnsi="Helvetica"/>
          <w:sz w:val="20"/>
          <w:szCs w:val="20"/>
        </w:rPr>
        <w:tab/>
        <w:t xml:space="preserve">Greskevitch, M., Kullman, G., Bang, K. M. &amp; Mazurek, J. M. Respiratory Disease in Agricultural Workers: Mortality and Morbidity Statistics.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12</w:t>
      </w:r>
      <w:r w:rsidRPr="00B9711F">
        <w:rPr>
          <w:rFonts w:ascii="Helvetica" w:hAnsi="Helvetica"/>
          <w:sz w:val="20"/>
          <w:szCs w:val="20"/>
        </w:rPr>
        <w:t>, 5–10 (2008).</w:t>
      </w:r>
    </w:p>
    <w:p w14:paraId="5E1E1DC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13.</w:t>
      </w:r>
      <w:r w:rsidRPr="00B9711F">
        <w:rPr>
          <w:rFonts w:ascii="Helvetica" w:hAnsi="Helvetica"/>
          <w:sz w:val="20"/>
          <w:szCs w:val="20"/>
        </w:rPr>
        <w:tab/>
        <w:t xml:space="preserve">Dolce, R., Barnes, R., Ouellette, L. &amp; Cuccaro, P. M. Overcoming barriers to vaccination among U.S. farmworkers: a scoping review of targeted interventions and strategies. </w:t>
      </w:r>
      <w:r w:rsidRPr="00B9711F">
        <w:rPr>
          <w:rFonts w:ascii="Helvetica" w:hAnsi="Helvetica"/>
          <w:i/>
          <w:iCs/>
          <w:sz w:val="20"/>
          <w:szCs w:val="20"/>
        </w:rPr>
        <w:t>BMC Public Health</w:t>
      </w:r>
      <w:r w:rsidRPr="00B9711F">
        <w:rPr>
          <w:rFonts w:ascii="Helvetica" w:hAnsi="Helvetica"/>
          <w:sz w:val="20"/>
          <w:szCs w:val="20"/>
        </w:rPr>
        <w:t xml:space="preserve"> </w:t>
      </w:r>
      <w:r w:rsidRPr="00B9711F">
        <w:rPr>
          <w:rFonts w:ascii="Helvetica" w:hAnsi="Helvetica"/>
          <w:b/>
          <w:bCs/>
          <w:sz w:val="20"/>
          <w:szCs w:val="20"/>
        </w:rPr>
        <w:t>26</w:t>
      </w:r>
      <w:r w:rsidRPr="00B9711F">
        <w:rPr>
          <w:rFonts w:ascii="Helvetica" w:hAnsi="Helvetica"/>
          <w:sz w:val="20"/>
          <w:szCs w:val="20"/>
        </w:rPr>
        <w:t>, 640 (2026).</w:t>
      </w:r>
    </w:p>
    <w:p w14:paraId="4468A18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14.</w:t>
      </w:r>
      <w:r w:rsidRPr="00B9711F">
        <w:rPr>
          <w:rFonts w:ascii="Helvetica" w:hAnsi="Helvetica"/>
          <w:sz w:val="20"/>
          <w:szCs w:val="20"/>
        </w:rPr>
        <w:tab/>
        <w:t xml:space="preserve">Quandt, S. A. </w:t>
      </w:r>
      <w:r w:rsidRPr="00B9711F">
        <w:rPr>
          <w:rFonts w:ascii="Helvetica" w:hAnsi="Helvetica"/>
          <w:i/>
          <w:iCs/>
          <w:sz w:val="20"/>
          <w:szCs w:val="20"/>
        </w:rPr>
        <w:t>et al.</w:t>
      </w:r>
      <w:r w:rsidRPr="00B9711F">
        <w:rPr>
          <w:rFonts w:ascii="Helvetica" w:hAnsi="Helvetica"/>
          <w:sz w:val="20"/>
          <w:szCs w:val="20"/>
        </w:rPr>
        <w:t xml:space="preserve"> Farmworker Housing in the United States and Its Impact on Health. </w:t>
      </w:r>
      <w:r w:rsidRPr="00B9711F">
        <w:rPr>
          <w:rFonts w:ascii="Helvetica" w:hAnsi="Helvetica"/>
          <w:i/>
          <w:iCs/>
          <w:sz w:val="20"/>
          <w:szCs w:val="20"/>
        </w:rPr>
        <w:t>New Solut</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263–286 (2015).</w:t>
      </w:r>
    </w:p>
    <w:p w14:paraId="7D0969C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15.</w:t>
      </w:r>
      <w:r w:rsidRPr="00B9711F">
        <w:rPr>
          <w:rFonts w:ascii="Helvetica" w:hAnsi="Helvetica"/>
          <w:sz w:val="20"/>
          <w:szCs w:val="20"/>
        </w:rPr>
        <w:tab/>
        <w:t xml:space="preserve">Mora, A. M. </w:t>
      </w:r>
      <w:r w:rsidRPr="00B9711F">
        <w:rPr>
          <w:rFonts w:ascii="Helvetica" w:hAnsi="Helvetica"/>
          <w:i/>
          <w:iCs/>
          <w:sz w:val="20"/>
          <w:szCs w:val="20"/>
        </w:rPr>
        <w:t>et al.</w:t>
      </w:r>
      <w:r w:rsidRPr="00B9711F">
        <w:rPr>
          <w:rFonts w:ascii="Helvetica" w:hAnsi="Helvetica"/>
          <w:sz w:val="20"/>
          <w:szCs w:val="20"/>
        </w:rPr>
        <w:t xml:space="preserve"> Risk Factors Associated With SARS-CoV-2 Infection Among Farmworkers in Monterey County, California. </w:t>
      </w:r>
      <w:r w:rsidRPr="00B9711F">
        <w:rPr>
          <w:rFonts w:ascii="Helvetica" w:hAnsi="Helvetica"/>
          <w:i/>
          <w:iCs/>
          <w:sz w:val="20"/>
          <w:szCs w:val="20"/>
        </w:rPr>
        <w:t>JAMA Netw Open</w:t>
      </w:r>
      <w:r w:rsidRPr="00B9711F">
        <w:rPr>
          <w:rFonts w:ascii="Helvetica" w:hAnsi="Helvetica"/>
          <w:sz w:val="20"/>
          <w:szCs w:val="20"/>
        </w:rPr>
        <w:t xml:space="preserve"> </w:t>
      </w:r>
      <w:r w:rsidRPr="00B9711F">
        <w:rPr>
          <w:rFonts w:ascii="Helvetica" w:hAnsi="Helvetica"/>
          <w:b/>
          <w:bCs/>
          <w:sz w:val="20"/>
          <w:szCs w:val="20"/>
        </w:rPr>
        <w:t>4</w:t>
      </w:r>
      <w:r w:rsidRPr="00B9711F">
        <w:rPr>
          <w:rFonts w:ascii="Helvetica" w:hAnsi="Helvetica"/>
          <w:sz w:val="20"/>
          <w:szCs w:val="20"/>
        </w:rPr>
        <w:t>, e2124116 (2021).</w:t>
      </w:r>
    </w:p>
    <w:p w14:paraId="6D2C81F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16.</w:t>
      </w:r>
      <w:r w:rsidRPr="00B9711F">
        <w:rPr>
          <w:rFonts w:ascii="Helvetica" w:hAnsi="Helvetica"/>
          <w:sz w:val="20"/>
          <w:szCs w:val="20"/>
        </w:rPr>
        <w:tab/>
        <w:t xml:space="preserve">Joyner, A. M. </w:t>
      </w:r>
      <w:r w:rsidRPr="00B9711F">
        <w:rPr>
          <w:rFonts w:ascii="Helvetica" w:hAnsi="Helvetica"/>
          <w:i/>
          <w:iCs/>
          <w:sz w:val="20"/>
          <w:szCs w:val="20"/>
        </w:rPr>
        <w:t>et al.</w:t>
      </w:r>
      <w:r w:rsidRPr="00B9711F">
        <w:rPr>
          <w:rFonts w:ascii="Helvetica" w:hAnsi="Helvetica"/>
          <w:sz w:val="20"/>
          <w:szCs w:val="20"/>
        </w:rPr>
        <w:t xml:space="preserve"> Federal Farmworker Housing Standards and Regulations, Their Promise and Limitations, and Implications for Farmworker Health. </w:t>
      </w:r>
      <w:r w:rsidRPr="00B9711F">
        <w:rPr>
          <w:rFonts w:ascii="Helvetica" w:hAnsi="Helvetica"/>
          <w:i/>
          <w:iCs/>
          <w:sz w:val="20"/>
          <w:szCs w:val="20"/>
        </w:rPr>
        <w:t>New Solut</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334–352 (2015).</w:t>
      </w:r>
    </w:p>
    <w:p w14:paraId="5F82A5E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17.</w:t>
      </w:r>
      <w:r w:rsidRPr="00B9711F">
        <w:rPr>
          <w:rFonts w:ascii="Helvetica" w:hAnsi="Helvetica"/>
          <w:sz w:val="20"/>
          <w:szCs w:val="20"/>
        </w:rPr>
        <w:tab/>
        <w:t xml:space="preserve">Kearney, G. D. </w:t>
      </w:r>
      <w:r w:rsidRPr="00B9711F">
        <w:rPr>
          <w:rFonts w:ascii="Helvetica" w:hAnsi="Helvetica"/>
          <w:i/>
          <w:iCs/>
          <w:sz w:val="20"/>
          <w:szCs w:val="20"/>
        </w:rPr>
        <w:t>et al.</w:t>
      </w:r>
      <w:r w:rsidRPr="00B9711F">
        <w:rPr>
          <w:rFonts w:ascii="Helvetica" w:hAnsi="Helvetica"/>
          <w:sz w:val="20"/>
          <w:szCs w:val="20"/>
        </w:rPr>
        <w:t xml:space="preserve"> The Association of Respiratory Symptoms and Indoor Housing Conditions Among Migrant Farmworkers in Eastern North Carolina.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19</w:t>
      </w:r>
      <w:r w:rsidRPr="00B9711F">
        <w:rPr>
          <w:rFonts w:ascii="Helvetica" w:hAnsi="Helvetica"/>
          <w:sz w:val="20"/>
          <w:szCs w:val="20"/>
        </w:rPr>
        <w:t>, 395–405 (2014).</w:t>
      </w:r>
    </w:p>
    <w:p w14:paraId="3222E87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18.</w:t>
      </w:r>
      <w:r w:rsidRPr="00B9711F">
        <w:rPr>
          <w:rFonts w:ascii="Helvetica" w:hAnsi="Helvetica"/>
          <w:sz w:val="20"/>
          <w:szCs w:val="20"/>
        </w:rPr>
        <w:tab/>
        <w:t xml:space="preserve">Colosia, A. D. </w:t>
      </w:r>
      <w:r w:rsidRPr="00B9711F">
        <w:rPr>
          <w:rFonts w:ascii="Helvetica" w:hAnsi="Helvetica"/>
          <w:i/>
          <w:iCs/>
          <w:sz w:val="20"/>
          <w:szCs w:val="20"/>
        </w:rPr>
        <w:t>et al.</w:t>
      </w:r>
      <w:r w:rsidRPr="00B9711F">
        <w:rPr>
          <w:rFonts w:ascii="Helvetica" w:hAnsi="Helvetica"/>
          <w:sz w:val="20"/>
          <w:szCs w:val="20"/>
        </w:rPr>
        <w:t xml:space="preserve"> Residential crowding and severe respiratory syncytial virus disease among infants and young children: A systematic literature review. </w:t>
      </w:r>
      <w:r w:rsidRPr="00B9711F">
        <w:rPr>
          <w:rFonts w:ascii="Helvetica" w:hAnsi="Helvetica"/>
          <w:i/>
          <w:iCs/>
          <w:sz w:val="20"/>
          <w:szCs w:val="20"/>
        </w:rPr>
        <w:t>BMC Infect Dis</w:t>
      </w:r>
      <w:r w:rsidRPr="00B9711F">
        <w:rPr>
          <w:rFonts w:ascii="Helvetica" w:hAnsi="Helvetica"/>
          <w:sz w:val="20"/>
          <w:szCs w:val="20"/>
        </w:rPr>
        <w:t xml:space="preserve"> </w:t>
      </w:r>
      <w:r w:rsidRPr="00B9711F">
        <w:rPr>
          <w:rFonts w:ascii="Helvetica" w:hAnsi="Helvetica"/>
          <w:b/>
          <w:bCs/>
          <w:sz w:val="20"/>
          <w:szCs w:val="20"/>
        </w:rPr>
        <w:t>12</w:t>
      </w:r>
      <w:r w:rsidRPr="00B9711F">
        <w:rPr>
          <w:rFonts w:ascii="Helvetica" w:hAnsi="Helvetica"/>
          <w:sz w:val="20"/>
          <w:szCs w:val="20"/>
        </w:rPr>
        <w:t>, 95 (2012).</w:t>
      </w:r>
    </w:p>
    <w:p w14:paraId="003D898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19.</w:t>
      </w:r>
      <w:r w:rsidRPr="00B9711F">
        <w:rPr>
          <w:rFonts w:ascii="Helvetica" w:hAnsi="Helvetica"/>
          <w:sz w:val="20"/>
          <w:szCs w:val="20"/>
        </w:rPr>
        <w:tab/>
        <w:t xml:space="preserve">Aldridge, R. W. </w:t>
      </w:r>
      <w:r w:rsidRPr="00B9711F">
        <w:rPr>
          <w:rFonts w:ascii="Helvetica" w:hAnsi="Helvetica"/>
          <w:i/>
          <w:iCs/>
          <w:sz w:val="20"/>
          <w:szCs w:val="20"/>
        </w:rPr>
        <w:t>et al.</w:t>
      </w:r>
      <w:r w:rsidRPr="00B9711F">
        <w:rPr>
          <w:rFonts w:ascii="Helvetica" w:hAnsi="Helvetica"/>
          <w:sz w:val="20"/>
          <w:szCs w:val="20"/>
        </w:rPr>
        <w:t xml:space="preserve"> Household overcrowding and risk of SARS-CoV-2: analysis of the Virus Watch prospective community cohort study in England and Wales. </w:t>
      </w:r>
      <w:r w:rsidRPr="00B9711F">
        <w:rPr>
          <w:rFonts w:ascii="Helvetica" w:hAnsi="Helvetica"/>
          <w:i/>
          <w:iCs/>
          <w:sz w:val="20"/>
          <w:szCs w:val="20"/>
        </w:rPr>
        <w:t>Wellcome Open Res</w:t>
      </w:r>
      <w:r w:rsidRPr="00B9711F">
        <w:rPr>
          <w:rFonts w:ascii="Helvetica" w:hAnsi="Helvetica"/>
          <w:sz w:val="20"/>
          <w:szCs w:val="20"/>
        </w:rPr>
        <w:t xml:space="preserve"> </w:t>
      </w:r>
      <w:r w:rsidRPr="00B9711F">
        <w:rPr>
          <w:rFonts w:ascii="Helvetica" w:hAnsi="Helvetica"/>
          <w:b/>
          <w:bCs/>
          <w:sz w:val="20"/>
          <w:szCs w:val="20"/>
        </w:rPr>
        <w:t>6</w:t>
      </w:r>
      <w:r w:rsidRPr="00B9711F">
        <w:rPr>
          <w:rFonts w:ascii="Helvetica" w:hAnsi="Helvetica"/>
          <w:sz w:val="20"/>
          <w:szCs w:val="20"/>
        </w:rPr>
        <w:t>, 347 (2021).</w:t>
      </w:r>
    </w:p>
    <w:p w14:paraId="53D2E26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20.</w:t>
      </w:r>
      <w:r w:rsidRPr="00B9711F">
        <w:rPr>
          <w:rFonts w:ascii="Helvetica" w:hAnsi="Helvetica"/>
          <w:sz w:val="20"/>
          <w:szCs w:val="20"/>
        </w:rPr>
        <w:tab/>
        <w:t xml:space="preserve">Madewell, Z. J., Yang, Y., Longini, I. M., Halloran, M. E. &amp; Dean, N. E. Household Transmission of SARS-CoV-2: A Systematic Review and Meta-analysis. </w:t>
      </w:r>
      <w:r w:rsidRPr="00B9711F">
        <w:rPr>
          <w:rFonts w:ascii="Helvetica" w:hAnsi="Helvetica"/>
          <w:i/>
          <w:iCs/>
          <w:sz w:val="20"/>
          <w:szCs w:val="20"/>
        </w:rPr>
        <w:t>JAMA Netw Open</w:t>
      </w:r>
      <w:r w:rsidRPr="00B9711F">
        <w:rPr>
          <w:rFonts w:ascii="Helvetica" w:hAnsi="Helvetica"/>
          <w:sz w:val="20"/>
          <w:szCs w:val="20"/>
        </w:rPr>
        <w:t xml:space="preserve"> </w:t>
      </w:r>
      <w:r w:rsidRPr="00B9711F">
        <w:rPr>
          <w:rFonts w:ascii="Helvetica" w:hAnsi="Helvetica"/>
          <w:b/>
          <w:bCs/>
          <w:sz w:val="20"/>
          <w:szCs w:val="20"/>
        </w:rPr>
        <w:t>3</w:t>
      </w:r>
      <w:r w:rsidRPr="00B9711F">
        <w:rPr>
          <w:rFonts w:ascii="Helvetica" w:hAnsi="Helvetica"/>
          <w:sz w:val="20"/>
          <w:szCs w:val="20"/>
        </w:rPr>
        <w:t>, e2031756 (2020).</w:t>
      </w:r>
    </w:p>
    <w:p w14:paraId="5C437C4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21.</w:t>
      </w:r>
      <w:r w:rsidRPr="00B9711F">
        <w:rPr>
          <w:rFonts w:ascii="Helvetica" w:hAnsi="Helvetica"/>
          <w:sz w:val="20"/>
          <w:szCs w:val="20"/>
        </w:rPr>
        <w:tab/>
        <w:t xml:space="preserve">Powers, K. A. </w:t>
      </w:r>
      <w:r w:rsidRPr="00B9711F">
        <w:rPr>
          <w:rFonts w:ascii="Helvetica" w:hAnsi="Helvetica"/>
          <w:i/>
          <w:iCs/>
          <w:sz w:val="20"/>
          <w:szCs w:val="20"/>
        </w:rPr>
        <w:t>et al.</w:t>
      </w:r>
      <w:r w:rsidRPr="00B9711F">
        <w:rPr>
          <w:rFonts w:ascii="Helvetica" w:hAnsi="Helvetica"/>
          <w:sz w:val="20"/>
          <w:szCs w:val="20"/>
        </w:rPr>
        <w:t xml:space="preserve"> Household transmission of SARS-CoV-2 in the United States: living density, viral load, and disproportionate impact on communities of color. https://doi.org/10.17615/X61S-ER87 doi:10.17615/X61S-ER87.</w:t>
      </w:r>
    </w:p>
    <w:p w14:paraId="2402A9C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22.</w:t>
      </w:r>
      <w:r w:rsidRPr="00B9711F">
        <w:rPr>
          <w:rFonts w:ascii="Helvetica" w:hAnsi="Helvetica"/>
          <w:sz w:val="20"/>
          <w:szCs w:val="20"/>
        </w:rPr>
        <w:tab/>
        <w:t xml:space="preserve">Boukari, Y. </w:t>
      </w:r>
      <w:r w:rsidRPr="00B9711F">
        <w:rPr>
          <w:rFonts w:ascii="Helvetica" w:hAnsi="Helvetica"/>
          <w:i/>
          <w:iCs/>
          <w:sz w:val="20"/>
          <w:szCs w:val="20"/>
        </w:rPr>
        <w:t>et al.</w:t>
      </w:r>
      <w:r w:rsidRPr="00B9711F">
        <w:rPr>
          <w:rFonts w:ascii="Helvetica" w:hAnsi="Helvetica"/>
          <w:sz w:val="20"/>
          <w:szCs w:val="20"/>
        </w:rPr>
        <w:t xml:space="preserve"> SARS-CoV-2 infections in migrants and the role of household overcrowding: a causal mediation analysis of Virus Watch data. </w:t>
      </w:r>
      <w:r w:rsidRPr="00B9711F">
        <w:rPr>
          <w:rFonts w:ascii="Helvetica" w:hAnsi="Helvetica"/>
          <w:i/>
          <w:iCs/>
          <w:sz w:val="20"/>
          <w:szCs w:val="20"/>
        </w:rPr>
        <w:t>J Epidemiol Community Health</w:t>
      </w:r>
      <w:r w:rsidRPr="00B9711F">
        <w:rPr>
          <w:rFonts w:ascii="Helvetica" w:hAnsi="Helvetica"/>
          <w:sz w:val="20"/>
          <w:szCs w:val="20"/>
        </w:rPr>
        <w:t xml:space="preserve"> </w:t>
      </w:r>
      <w:r w:rsidRPr="00B9711F">
        <w:rPr>
          <w:rFonts w:ascii="Helvetica" w:hAnsi="Helvetica"/>
          <w:b/>
          <w:bCs/>
          <w:sz w:val="20"/>
          <w:szCs w:val="20"/>
        </w:rPr>
        <w:t>77</w:t>
      </w:r>
      <w:r w:rsidRPr="00B9711F">
        <w:rPr>
          <w:rFonts w:ascii="Helvetica" w:hAnsi="Helvetica"/>
          <w:sz w:val="20"/>
          <w:szCs w:val="20"/>
        </w:rPr>
        <w:t>, 649–655 (2023).</w:t>
      </w:r>
    </w:p>
    <w:p w14:paraId="1536DFF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23.</w:t>
      </w:r>
      <w:r w:rsidRPr="00B9711F">
        <w:rPr>
          <w:rFonts w:ascii="Helvetica" w:hAnsi="Helvetica"/>
          <w:sz w:val="20"/>
          <w:szCs w:val="20"/>
        </w:rPr>
        <w:tab/>
        <w:t xml:space="preserve">Sloan, C., Chandrasekhar, R., Mitchel, E., Schaffner, W. &amp; Lindegren, M. L. Socioeconomic Disparities and Influenza Hospitalizations, Tennessee, USA. </w:t>
      </w:r>
      <w:r w:rsidRPr="00B9711F">
        <w:rPr>
          <w:rFonts w:ascii="Helvetica" w:hAnsi="Helvetica"/>
          <w:i/>
          <w:iCs/>
          <w:sz w:val="20"/>
          <w:szCs w:val="20"/>
        </w:rPr>
        <w:t>Emerg. Infect. Dis.</w:t>
      </w:r>
      <w:r w:rsidRPr="00B9711F">
        <w:rPr>
          <w:rFonts w:ascii="Helvetica" w:hAnsi="Helvetica"/>
          <w:sz w:val="20"/>
          <w:szCs w:val="20"/>
        </w:rPr>
        <w:t xml:space="preserve"> </w:t>
      </w:r>
      <w:r w:rsidRPr="00B9711F">
        <w:rPr>
          <w:rFonts w:ascii="Helvetica" w:hAnsi="Helvetica"/>
          <w:b/>
          <w:bCs/>
          <w:sz w:val="20"/>
          <w:szCs w:val="20"/>
        </w:rPr>
        <w:t>21</w:t>
      </w:r>
      <w:r w:rsidRPr="00B9711F">
        <w:rPr>
          <w:rFonts w:ascii="Helvetica" w:hAnsi="Helvetica"/>
          <w:sz w:val="20"/>
          <w:szCs w:val="20"/>
        </w:rPr>
        <w:t>, 1602–1610 (2015).</w:t>
      </w:r>
    </w:p>
    <w:p w14:paraId="753A45C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lastRenderedPageBreak/>
        <w:t>24.</w:t>
      </w:r>
      <w:r w:rsidRPr="00B9711F">
        <w:rPr>
          <w:rFonts w:ascii="Helvetica" w:hAnsi="Helvetica"/>
          <w:sz w:val="20"/>
          <w:szCs w:val="20"/>
        </w:rPr>
        <w:tab/>
        <w:t xml:space="preserve">Lewnard, J. A. </w:t>
      </w:r>
      <w:r w:rsidRPr="00B9711F">
        <w:rPr>
          <w:rFonts w:ascii="Helvetica" w:hAnsi="Helvetica"/>
          <w:i/>
          <w:iCs/>
          <w:sz w:val="20"/>
          <w:szCs w:val="20"/>
        </w:rPr>
        <w:t>et al.</w:t>
      </w:r>
      <w:r w:rsidRPr="00B9711F">
        <w:rPr>
          <w:rFonts w:ascii="Helvetica" w:hAnsi="Helvetica"/>
          <w:sz w:val="20"/>
          <w:szCs w:val="20"/>
        </w:rPr>
        <w:t xml:space="preserve"> Prevalence and Clinical Profile of Severe Acute Respiratory Syndrome Coronavirus 2 Infection among Farmworkers, California, USA, June–November 2020. </w:t>
      </w:r>
      <w:r w:rsidRPr="00B9711F">
        <w:rPr>
          <w:rFonts w:ascii="Helvetica" w:hAnsi="Helvetica"/>
          <w:i/>
          <w:iCs/>
          <w:sz w:val="20"/>
          <w:szCs w:val="20"/>
        </w:rPr>
        <w:t>Emerg. Infect. Dis.</w:t>
      </w:r>
      <w:r w:rsidRPr="00B9711F">
        <w:rPr>
          <w:rFonts w:ascii="Helvetica" w:hAnsi="Helvetica"/>
          <w:sz w:val="20"/>
          <w:szCs w:val="20"/>
        </w:rPr>
        <w:t xml:space="preserve"> </w:t>
      </w:r>
      <w:r w:rsidRPr="00B9711F">
        <w:rPr>
          <w:rFonts w:ascii="Helvetica" w:hAnsi="Helvetica"/>
          <w:b/>
          <w:bCs/>
          <w:sz w:val="20"/>
          <w:szCs w:val="20"/>
        </w:rPr>
        <w:t>27</w:t>
      </w:r>
      <w:r w:rsidRPr="00B9711F">
        <w:rPr>
          <w:rFonts w:ascii="Helvetica" w:hAnsi="Helvetica"/>
          <w:sz w:val="20"/>
          <w:szCs w:val="20"/>
        </w:rPr>
        <w:t>, 1330–1342 (2021).</w:t>
      </w:r>
    </w:p>
    <w:p w14:paraId="57935DE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25.</w:t>
      </w:r>
      <w:r w:rsidRPr="00B9711F">
        <w:rPr>
          <w:rFonts w:ascii="Helvetica" w:hAnsi="Helvetica"/>
          <w:sz w:val="20"/>
          <w:szCs w:val="20"/>
        </w:rPr>
        <w:tab/>
        <w:t xml:space="preserve">Klein, M. D. </w:t>
      </w:r>
      <w:r w:rsidRPr="00B9711F">
        <w:rPr>
          <w:rFonts w:ascii="Helvetica" w:hAnsi="Helvetica"/>
          <w:i/>
          <w:iCs/>
          <w:sz w:val="20"/>
          <w:szCs w:val="20"/>
        </w:rPr>
        <w:t>et al.</w:t>
      </w:r>
      <w:r w:rsidRPr="00B9711F">
        <w:rPr>
          <w:rFonts w:ascii="Helvetica" w:hAnsi="Helvetica"/>
          <w:sz w:val="20"/>
          <w:szCs w:val="20"/>
        </w:rPr>
        <w:t xml:space="preserve"> SARS-CoV-2 seroprevalence and risk factors among meat packing, produce processing, and farm workers. </w:t>
      </w:r>
      <w:r w:rsidRPr="00B9711F">
        <w:rPr>
          <w:rFonts w:ascii="Helvetica" w:hAnsi="Helvetica"/>
          <w:i/>
          <w:iCs/>
          <w:sz w:val="20"/>
          <w:szCs w:val="20"/>
        </w:rPr>
        <w:t>PLOS Glob Public Health</w:t>
      </w:r>
      <w:r w:rsidRPr="00B9711F">
        <w:rPr>
          <w:rFonts w:ascii="Helvetica" w:hAnsi="Helvetica"/>
          <w:sz w:val="20"/>
          <w:szCs w:val="20"/>
        </w:rPr>
        <w:t xml:space="preserve"> </w:t>
      </w:r>
      <w:r w:rsidRPr="00B9711F">
        <w:rPr>
          <w:rFonts w:ascii="Helvetica" w:hAnsi="Helvetica"/>
          <w:b/>
          <w:bCs/>
          <w:sz w:val="20"/>
          <w:szCs w:val="20"/>
        </w:rPr>
        <w:t>2</w:t>
      </w:r>
      <w:r w:rsidRPr="00B9711F">
        <w:rPr>
          <w:rFonts w:ascii="Helvetica" w:hAnsi="Helvetica"/>
          <w:sz w:val="20"/>
          <w:szCs w:val="20"/>
        </w:rPr>
        <w:t>, e0000619 (2022).</w:t>
      </w:r>
    </w:p>
    <w:p w14:paraId="4B861765"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26.</w:t>
      </w:r>
      <w:r w:rsidRPr="00B9711F">
        <w:rPr>
          <w:rFonts w:ascii="Helvetica" w:hAnsi="Helvetica"/>
          <w:sz w:val="20"/>
          <w:szCs w:val="20"/>
        </w:rPr>
        <w:tab/>
        <w:t xml:space="preserve">Marcelo Castillo. </w:t>
      </w:r>
      <w:r w:rsidRPr="00B9711F">
        <w:rPr>
          <w:rFonts w:ascii="Helvetica" w:hAnsi="Helvetica"/>
          <w:i/>
          <w:iCs/>
          <w:sz w:val="20"/>
          <w:szCs w:val="20"/>
        </w:rPr>
        <w:t>Legal Status of Hired Crop Farmworkers, Fiscal 1991–2022</w:t>
      </w:r>
      <w:r w:rsidRPr="00B9711F">
        <w:rPr>
          <w:rFonts w:ascii="Helvetica" w:hAnsi="Helvetica"/>
          <w:sz w:val="20"/>
          <w:szCs w:val="20"/>
        </w:rPr>
        <w:t>. https://www.ers.usda.gov/data-products/chart-gallery/chart-detail?chartId=63466 (2025).</w:t>
      </w:r>
    </w:p>
    <w:p w14:paraId="723C6B89"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27.</w:t>
      </w:r>
      <w:r w:rsidRPr="00B9711F">
        <w:rPr>
          <w:rFonts w:ascii="Helvetica" w:hAnsi="Helvetica"/>
          <w:sz w:val="20"/>
          <w:szCs w:val="20"/>
        </w:rPr>
        <w:tab/>
        <w:t xml:space="preserve">Saldanha, K. Outreach to farmworkers before and during the COVID-19 pandemic. </w:t>
      </w:r>
      <w:r w:rsidRPr="00B9711F">
        <w:rPr>
          <w:rFonts w:ascii="Helvetica" w:hAnsi="Helvetica"/>
          <w:i/>
          <w:iCs/>
          <w:sz w:val="20"/>
          <w:szCs w:val="20"/>
        </w:rPr>
        <w:t>Journal of Social Work</w:t>
      </w:r>
      <w:r w:rsidRPr="00B9711F">
        <w:rPr>
          <w:rFonts w:ascii="Helvetica" w:hAnsi="Helvetica"/>
          <w:sz w:val="20"/>
          <w:szCs w:val="20"/>
        </w:rPr>
        <w:t xml:space="preserve"> </w:t>
      </w:r>
      <w:r w:rsidRPr="00B9711F">
        <w:rPr>
          <w:rFonts w:ascii="Helvetica" w:hAnsi="Helvetica"/>
          <w:b/>
          <w:bCs/>
          <w:sz w:val="20"/>
          <w:szCs w:val="20"/>
        </w:rPr>
        <w:t>23</w:t>
      </w:r>
      <w:r w:rsidRPr="00B9711F">
        <w:rPr>
          <w:rFonts w:ascii="Helvetica" w:hAnsi="Helvetica"/>
          <w:sz w:val="20"/>
          <w:szCs w:val="20"/>
        </w:rPr>
        <w:t>, 898–915 (2023).</w:t>
      </w:r>
    </w:p>
    <w:p w14:paraId="12F64B8D"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28.</w:t>
      </w:r>
      <w:r w:rsidRPr="00B9711F">
        <w:rPr>
          <w:rFonts w:ascii="Helvetica" w:hAnsi="Helvetica"/>
          <w:sz w:val="20"/>
          <w:szCs w:val="20"/>
        </w:rPr>
        <w:tab/>
        <w:t xml:space="preserve">Dudley, M. J. Reaching Invisible and Unprotected Workers on Farms during the Coronavirus Pandemic.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427–429 (2020).</w:t>
      </w:r>
    </w:p>
    <w:p w14:paraId="0DBD1F8A"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29.</w:t>
      </w:r>
      <w:r w:rsidRPr="00B9711F">
        <w:rPr>
          <w:rFonts w:ascii="Helvetica" w:hAnsi="Helvetica"/>
          <w:sz w:val="20"/>
          <w:szCs w:val="20"/>
        </w:rPr>
        <w:tab/>
        <w:t xml:space="preserve">Boggess, B. </w:t>
      </w:r>
      <w:r w:rsidRPr="00B9711F">
        <w:rPr>
          <w:rFonts w:ascii="Helvetica" w:hAnsi="Helvetica"/>
          <w:i/>
          <w:iCs/>
          <w:sz w:val="20"/>
          <w:szCs w:val="20"/>
        </w:rPr>
        <w:t>et al.</w:t>
      </w:r>
      <w:r w:rsidRPr="00B9711F">
        <w:rPr>
          <w:rFonts w:ascii="Helvetica" w:hAnsi="Helvetica"/>
          <w:sz w:val="20"/>
          <w:szCs w:val="20"/>
        </w:rPr>
        <w:t xml:space="preserve"> CDC-Supported National Network of Farmworker-Serving Organizations to Mitigate COVID-19. </w:t>
      </w:r>
      <w:r w:rsidRPr="00B9711F">
        <w:rPr>
          <w:rFonts w:ascii="Helvetica" w:hAnsi="Helvetica"/>
          <w:i/>
          <w:iCs/>
          <w:sz w:val="20"/>
          <w:szCs w:val="20"/>
        </w:rPr>
        <w:t>Am J Public Health</w:t>
      </w:r>
      <w:r w:rsidRPr="00B9711F">
        <w:rPr>
          <w:rFonts w:ascii="Helvetica" w:hAnsi="Helvetica"/>
          <w:sz w:val="20"/>
          <w:szCs w:val="20"/>
        </w:rPr>
        <w:t xml:space="preserve"> </w:t>
      </w:r>
      <w:r w:rsidRPr="00B9711F">
        <w:rPr>
          <w:rFonts w:ascii="Helvetica" w:hAnsi="Helvetica"/>
          <w:b/>
          <w:bCs/>
          <w:sz w:val="20"/>
          <w:szCs w:val="20"/>
        </w:rPr>
        <w:t>113</w:t>
      </w:r>
      <w:r w:rsidRPr="00B9711F">
        <w:rPr>
          <w:rFonts w:ascii="Helvetica" w:hAnsi="Helvetica"/>
          <w:sz w:val="20"/>
          <w:szCs w:val="20"/>
        </w:rPr>
        <w:t>, 166–169 (2023).</w:t>
      </w:r>
    </w:p>
    <w:p w14:paraId="2B6FB74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30.</w:t>
      </w:r>
      <w:r w:rsidRPr="00B9711F">
        <w:rPr>
          <w:rFonts w:ascii="Helvetica" w:hAnsi="Helvetica"/>
          <w:sz w:val="20"/>
          <w:szCs w:val="20"/>
        </w:rPr>
        <w:tab/>
        <w:t xml:space="preserve">Cooper, S. P. </w:t>
      </w:r>
      <w:r w:rsidRPr="00B9711F">
        <w:rPr>
          <w:rFonts w:ascii="Helvetica" w:hAnsi="Helvetica"/>
          <w:i/>
          <w:iCs/>
          <w:sz w:val="20"/>
          <w:szCs w:val="20"/>
        </w:rPr>
        <w:t>et al.</w:t>
      </w:r>
      <w:r w:rsidRPr="00B9711F">
        <w:rPr>
          <w:rFonts w:ascii="Helvetica" w:hAnsi="Helvetica"/>
          <w:sz w:val="20"/>
          <w:szCs w:val="20"/>
        </w:rPr>
        <w:t xml:space="preserve"> Community Based Research Network: Opportunities for Coordination of Care, Public Health Surveillance, and Farmworker Research. </w:t>
      </w:r>
      <w:r w:rsidRPr="00B9711F">
        <w:rPr>
          <w:rFonts w:ascii="Helvetica" w:hAnsi="Helvetica"/>
          <w:i/>
          <w:iCs/>
          <w:sz w:val="20"/>
          <w:szCs w:val="20"/>
        </w:rPr>
        <w:t>OJPHI</w:t>
      </w:r>
      <w:r w:rsidRPr="00B9711F">
        <w:rPr>
          <w:rFonts w:ascii="Helvetica" w:hAnsi="Helvetica"/>
          <w:sz w:val="20"/>
          <w:szCs w:val="20"/>
        </w:rPr>
        <w:t xml:space="preserve"> </w:t>
      </w:r>
      <w:r w:rsidRPr="00B9711F">
        <w:rPr>
          <w:rFonts w:ascii="Helvetica" w:hAnsi="Helvetica"/>
          <w:b/>
          <w:bCs/>
          <w:sz w:val="20"/>
          <w:szCs w:val="20"/>
        </w:rPr>
        <w:t>6</w:t>
      </w:r>
      <w:r w:rsidRPr="00B9711F">
        <w:rPr>
          <w:rFonts w:ascii="Helvetica" w:hAnsi="Helvetica"/>
          <w:sz w:val="20"/>
          <w:szCs w:val="20"/>
        </w:rPr>
        <w:t>, (2014).</w:t>
      </w:r>
    </w:p>
    <w:p w14:paraId="77D6862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31.</w:t>
      </w:r>
      <w:r w:rsidRPr="00B9711F">
        <w:rPr>
          <w:rFonts w:ascii="Helvetica" w:hAnsi="Helvetica"/>
          <w:sz w:val="20"/>
          <w:szCs w:val="20"/>
        </w:rPr>
        <w:tab/>
        <w:t xml:space="preserve">Tutor Marcom, R. </w:t>
      </w:r>
      <w:r w:rsidRPr="00B9711F">
        <w:rPr>
          <w:rFonts w:ascii="Helvetica" w:hAnsi="Helvetica"/>
          <w:i/>
          <w:iCs/>
          <w:sz w:val="20"/>
          <w:szCs w:val="20"/>
        </w:rPr>
        <w:t>et al.</w:t>
      </w:r>
      <w:r w:rsidRPr="00B9711F">
        <w:rPr>
          <w:rFonts w:ascii="Helvetica" w:hAnsi="Helvetica"/>
          <w:sz w:val="20"/>
          <w:szCs w:val="20"/>
        </w:rPr>
        <w:t xml:space="preserve"> Working along the Continuum: North Carolina’s Collaborative Response to COVID-19 for Migrant &amp; Seasonal Farmworkers.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409–412 (2020).</w:t>
      </w:r>
    </w:p>
    <w:p w14:paraId="7BE4F62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32.</w:t>
      </w:r>
      <w:r w:rsidRPr="00B9711F">
        <w:rPr>
          <w:rFonts w:ascii="Helvetica" w:hAnsi="Helvetica"/>
          <w:sz w:val="20"/>
          <w:szCs w:val="20"/>
        </w:rPr>
        <w:tab/>
        <w:t xml:space="preserve">Liebman, A. K., Seda, C. H. &amp; Galván, A. R. Farmworkers and COVID-19: Community-Based Partnerships to Address Health and Safety. </w:t>
      </w:r>
      <w:r w:rsidRPr="00B9711F">
        <w:rPr>
          <w:rFonts w:ascii="Helvetica" w:hAnsi="Helvetica"/>
          <w:i/>
          <w:iCs/>
          <w:sz w:val="20"/>
          <w:szCs w:val="20"/>
        </w:rPr>
        <w:t>Am J Public Health</w:t>
      </w:r>
      <w:r w:rsidRPr="00B9711F">
        <w:rPr>
          <w:rFonts w:ascii="Helvetica" w:hAnsi="Helvetica"/>
          <w:sz w:val="20"/>
          <w:szCs w:val="20"/>
        </w:rPr>
        <w:t xml:space="preserve"> </w:t>
      </w:r>
      <w:r w:rsidRPr="00B9711F">
        <w:rPr>
          <w:rFonts w:ascii="Helvetica" w:hAnsi="Helvetica"/>
          <w:b/>
          <w:bCs/>
          <w:sz w:val="20"/>
          <w:szCs w:val="20"/>
        </w:rPr>
        <w:t>111</w:t>
      </w:r>
      <w:r w:rsidRPr="00B9711F">
        <w:rPr>
          <w:rFonts w:ascii="Helvetica" w:hAnsi="Helvetica"/>
          <w:sz w:val="20"/>
          <w:szCs w:val="20"/>
        </w:rPr>
        <w:t>, 1456–1458 (2021).</w:t>
      </w:r>
    </w:p>
    <w:p w14:paraId="19C3552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33.</w:t>
      </w:r>
      <w:r w:rsidRPr="00B9711F">
        <w:rPr>
          <w:rFonts w:ascii="Helvetica" w:hAnsi="Helvetica"/>
          <w:sz w:val="20"/>
          <w:szCs w:val="20"/>
        </w:rPr>
        <w:tab/>
        <w:t xml:space="preserve">Milligan, W. R. </w:t>
      </w:r>
      <w:r w:rsidRPr="00B9711F">
        <w:rPr>
          <w:rFonts w:ascii="Helvetica" w:hAnsi="Helvetica"/>
          <w:i/>
          <w:iCs/>
          <w:sz w:val="20"/>
          <w:szCs w:val="20"/>
        </w:rPr>
        <w:t>et al.</w:t>
      </w:r>
      <w:r w:rsidRPr="00B9711F">
        <w:rPr>
          <w:rFonts w:ascii="Helvetica" w:hAnsi="Helvetica"/>
          <w:sz w:val="20"/>
          <w:szCs w:val="20"/>
        </w:rPr>
        <w:t xml:space="preserve"> Impact of essential workers in the context of social distancing for epidemic control.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16</w:t>
      </w:r>
      <w:r w:rsidRPr="00B9711F">
        <w:rPr>
          <w:rFonts w:ascii="Helvetica" w:hAnsi="Helvetica"/>
          <w:sz w:val="20"/>
          <w:szCs w:val="20"/>
        </w:rPr>
        <w:t>, e0255680 (2021).</w:t>
      </w:r>
    </w:p>
    <w:p w14:paraId="75A5F102"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34.</w:t>
      </w:r>
      <w:r w:rsidRPr="00B9711F">
        <w:rPr>
          <w:rFonts w:ascii="Helvetica" w:hAnsi="Helvetica"/>
          <w:sz w:val="20"/>
          <w:szCs w:val="20"/>
        </w:rPr>
        <w:tab/>
        <w:t xml:space="preserve">Henry, C. </w:t>
      </w:r>
      <w:r w:rsidRPr="00B9711F">
        <w:rPr>
          <w:rFonts w:ascii="Helvetica" w:hAnsi="Helvetica"/>
          <w:i/>
          <w:iCs/>
          <w:sz w:val="20"/>
          <w:szCs w:val="20"/>
        </w:rPr>
        <w:t>et al.</w:t>
      </w:r>
      <w:r w:rsidRPr="00B9711F">
        <w:rPr>
          <w:rFonts w:ascii="Helvetica" w:hAnsi="Helvetica"/>
          <w:sz w:val="20"/>
          <w:szCs w:val="20"/>
        </w:rPr>
        <w:t xml:space="preserve"> An agent-based model of COVID- 19 in the food industry for assessing public health and economic impacts of infection control strategies. </w:t>
      </w:r>
      <w:r w:rsidRPr="00B9711F">
        <w:rPr>
          <w:rFonts w:ascii="Helvetica" w:hAnsi="Helvetica"/>
          <w:i/>
          <w:iCs/>
          <w:sz w:val="20"/>
          <w:szCs w:val="20"/>
        </w:rPr>
        <w:t>Sci Rep</w:t>
      </w:r>
      <w:r w:rsidRPr="00B9711F">
        <w:rPr>
          <w:rFonts w:ascii="Helvetica" w:hAnsi="Helvetica"/>
          <w:sz w:val="20"/>
          <w:szCs w:val="20"/>
        </w:rPr>
        <w:t xml:space="preserve"> </w:t>
      </w:r>
      <w:r w:rsidRPr="00B9711F">
        <w:rPr>
          <w:rFonts w:ascii="Helvetica" w:hAnsi="Helvetica"/>
          <w:b/>
          <w:bCs/>
          <w:sz w:val="20"/>
          <w:szCs w:val="20"/>
        </w:rPr>
        <w:t>15</w:t>
      </w:r>
      <w:r w:rsidRPr="00B9711F">
        <w:rPr>
          <w:rFonts w:ascii="Helvetica" w:hAnsi="Helvetica"/>
          <w:sz w:val="20"/>
          <w:szCs w:val="20"/>
        </w:rPr>
        <w:t>, 14153 (2025).</w:t>
      </w:r>
    </w:p>
    <w:p w14:paraId="7A1BDCF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35.</w:t>
      </w:r>
      <w:r w:rsidRPr="00B9711F">
        <w:rPr>
          <w:rFonts w:ascii="Helvetica" w:hAnsi="Helvetica"/>
          <w:sz w:val="20"/>
          <w:szCs w:val="20"/>
        </w:rPr>
        <w:tab/>
        <w:t xml:space="preserve">California Department of Food and Agriculture. </w:t>
      </w:r>
      <w:r w:rsidRPr="00B9711F">
        <w:rPr>
          <w:rFonts w:ascii="Helvetica" w:hAnsi="Helvetica"/>
          <w:i/>
          <w:iCs/>
          <w:sz w:val="20"/>
          <w:szCs w:val="20"/>
        </w:rPr>
        <w:t>2023-2024 California Agricultural Statistics Review</w:t>
      </w:r>
      <w:r w:rsidRPr="00B9711F">
        <w:rPr>
          <w:rFonts w:ascii="Helvetica" w:hAnsi="Helvetica"/>
          <w:sz w:val="20"/>
          <w:szCs w:val="20"/>
        </w:rPr>
        <w:t>. https://www.cdfa.ca.gov/Statistics/PDFs/2023-2024_california_agricultural_statistics_review.pdf (2024).</w:t>
      </w:r>
    </w:p>
    <w:p w14:paraId="19FA2BD5"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36.</w:t>
      </w:r>
      <w:r w:rsidRPr="00B9711F">
        <w:rPr>
          <w:rFonts w:ascii="Helvetica" w:hAnsi="Helvetica"/>
          <w:sz w:val="20"/>
          <w:szCs w:val="20"/>
        </w:rPr>
        <w:tab/>
        <w:t xml:space="preserve">United States Department of Agriculture. </w:t>
      </w:r>
      <w:r w:rsidRPr="00B9711F">
        <w:rPr>
          <w:rFonts w:ascii="Helvetica" w:hAnsi="Helvetica"/>
          <w:i/>
          <w:iCs/>
          <w:sz w:val="20"/>
          <w:szCs w:val="20"/>
        </w:rPr>
        <w:t>Citrus Fruits: 2024 Summary</w:t>
      </w:r>
      <w:r w:rsidRPr="00B9711F">
        <w:rPr>
          <w:rFonts w:ascii="Helvetica" w:hAnsi="Helvetica"/>
          <w:sz w:val="20"/>
          <w:szCs w:val="20"/>
        </w:rPr>
        <w:t>. https://esmis.nal.usda.gov/sites/default/release-files/j9602060k/vx023d76b/w9507070x/cfrt0825.pdf (2025).</w:t>
      </w:r>
    </w:p>
    <w:p w14:paraId="2D70545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37.</w:t>
      </w:r>
      <w:r w:rsidRPr="00B9711F">
        <w:rPr>
          <w:rFonts w:ascii="Helvetica" w:hAnsi="Helvetica"/>
          <w:sz w:val="20"/>
          <w:szCs w:val="20"/>
        </w:rPr>
        <w:tab/>
        <w:t xml:space="preserve">United States Department of Agriculture. </w:t>
      </w:r>
      <w:r w:rsidRPr="00B9711F">
        <w:rPr>
          <w:rFonts w:ascii="Helvetica" w:hAnsi="Helvetica"/>
          <w:i/>
          <w:iCs/>
          <w:sz w:val="20"/>
          <w:szCs w:val="20"/>
        </w:rPr>
        <w:t>Vegetables: 2024 Summary</w:t>
      </w:r>
      <w:r w:rsidRPr="00B9711F">
        <w:rPr>
          <w:rFonts w:ascii="Helvetica" w:hAnsi="Helvetica"/>
          <w:sz w:val="20"/>
          <w:szCs w:val="20"/>
        </w:rPr>
        <w:t>. https://www.nass.usda.gov/Publications/Todays_Reports/reports/vegean25.pdf (2025).</w:t>
      </w:r>
    </w:p>
    <w:p w14:paraId="4960256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38.</w:t>
      </w:r>
      <w:r w:rsidRPr="00B9711F">
        <w:rPr>
          <w:rFonts w:ascii="Helvetica" w:hAnsi="Helvetica"/>
          <w:sz w:val="20"/>
          <w:szCs w:val="20"/>
        </w:rPr>
        <w:tab/>
        <w:t xml:space="preserve">United States Department of Agriculture. </w:t>
      </w:r>
      <w:r w:rsidRPr="00B9711F">
        <w:rPr>
          <w:rFonts w:ascii="Helvetica" w:hAnsi="Helvetica"/>
          <w:i/>
          <w:iCs/>
          <w:sz w:val="20"/>
          <w:szCs w:val="20"/>
        </w:rPr>
        <w:t>Noncitrus Fruits and Nuts: 2024 Summary</w:t>
      </w:r>
      <w:r w:rsidRPr="00B9711F">
        <w:rPr>
          <w:rFonts w:ascii="Helvetica" w:hAnsi="Helvetica"/>
          <w:sz w:val="20"/>
          <w:szCs w:val="20"/>
        </w:rPr>
        <w:t>. https://www.nass.usda.gov/Publications/Todays_Reports/reports/ncit0525.pdf (2025).</w:t>
      </w:r>
    </w:p>
    <w:p w14:paraId="0888E40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39.</w:t>
      </w:r>
      <w:r w:rsidRPr="00B9711F">
        <w:rPr>
          <w:rFonts w:ascii="Helvetica" w:hAnsi="Helvetica"/>
          <w:sz w:val="20"/>
          <w:szCs w:val="20"/>
        </w:rPr>
        <w:tab/>
        <w:t>United States Census Bureau. American Community Survey.</w:t>
      </w:r>
    </w:p>
    <w:p w14:paraId="06A085B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40.</w:t>
      </w:r>
      <w:r w:rsidRPr="00B9711F">
        <w:rPr>
          <w:rFonts w:ascii="Helvetica" w:hAnsi="Helvetica"/>
          <w:sz w:val="20"/>
          <w:szCs w:val="20"/>
        </w:rPr>
        <w:tab/>
        <w:t>United States Department of Labor. National Agricultural Workers Survey.</w:t>
      </w:r>
    </w:p>
    <w:p w14:paraId="57364E3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41.</w:t>
      </w:r>
      <w:r w:rsidRPr="00B9711F">
        <w:rPr>
          <w:rFonts w:ascii="Helvetica" w:hAnsi="Helvetica"/>
          <w:sz w:val="20"/>
          <w:szCs w:val="20"/>
        </w:rPr>
        <w:tab/>
        <w:t>United States Department of Agriculture Agricultural Marketing Service. Market News. (2026).</w:t>
      </w:r>
    </w:p>
    <w:p w14:paraId="596274A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42.</w:t>
      </w:r>
      <w:r w:rsidRPr="00B9711F">
        <w:rPr>
          <w:rFonts w:ascii="Helvetica" w:hAnsi="Helvetica"/>
          <w:sz w:val="20"/>
          <w:szCs w:val="20"/>
        </w:rPr>
        <w:tab/>
        <w:t xml:space="preserve">Craig E. Kallsen, Greg W Douhan, Karen Jetter, Donald Stewart, &amp; Daniel A. Sumner. </w:t>
      </w:r>
      <w:r w:rsidRPr="00B9711F">
        <w:rPr>
          <w:rFonts w:ascii="Helvetica" w:hAnsi="Helvetica"/>
          <w:i/>
          <w:iCs/>
          <w:sz w:val="20"/>
          <w:szCs w:val="20"/>
        </w:rPr>
        <w:t>Sample Costs to Establish an Orchard and Produce Oranges: San Joaquin Valley - South</w:t>
      </w:r>
      <w:r w:rsidRPr="00B9711F">
        <w:rPr>
          <w:rFonts w:ascii="Helvetica" w:hAnsi="Helvetica"/>
          <w:sz w:val="20"/>
          <w:szCs w:val="20"/>
        </w:rPr>
        <w:t>. https://coststudyfiles.ucdavis.edu/uploads/pub/2021/08/12/2021orangessjvsouth.pdf (2021).</w:t>
      </w:r>
    </w:p>
    <w:p w14:paraId="312330F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43.</w:t>
      </w:r>
      <w:r w:rsidRPr="00B9711F">
        <w:rPr>
          <w:rFonts w:ascii="Helvetica" w:hAnsi="Helvetica"/>
          <w:sz w:val="20"/>
          <w:szCs w:val="20"/>
        </w:rPr>
        <w:tab/>
        <w:t xml:space="preserve">Laura Tourte, Richard Smith, Jeremy Murdock, &amp; Brittney Goodrich. </w:t>
      </w:r>
      <w:r w:rsidRPr="00B9711F">
        <w:rPr>
          <w:rFonts w:ascii="Helvetica" w:hAnsi="Helvetica"/>
          <w:i/>
          <w:iCs/>
          <w:sz w:val="20"/>
          <w:szCs w:val="20"/>
        </w:rPr>
        <w:t>Sample Costs to Produce and Harvest Film Wrapped Iceberg Lettuce: Central Coast Region</w:t>
      </w:r>
      <w:r w:rsidRPr="00B9711F">
        <w:rPr>
          <w:rFonts w:ascii="Helvetica" w:hAnsi="Helvetica"/>
          <w:sz w:val="20"/>
          <w:szCs w:val="20"/>
        </w:rPr>
        <w:t>. https://coststudyfiles.ucdavis.edu/uploads/pub/2023/08/04/2023-iceberglettuce-full-final.pdf (2023).</w:t>
      </w:r>
    </w:p>
    <w:p w14:paraId="2E1A7A4E"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44.</w:t>
      </w:r>
      <w:r w:rsidRPr="00B9711F">
        <w:rPr>
          <w:rFonts w:ascii="Helvetica" w:hAnsi="Helvetica"/>
          <w:sz w:val="20"/>
          <w:szCs w:val="20"/>
        </w:rPr>
        <w:tab/>
        <w:t xml:space="preserve">Mark Bolda, Laura Tourte, Jeremy Murdock, &amp; Brittney Goodrich. </w:t>
      </w:r>
      <w:r w:rsidRPr="00B9711F">
        <w:rPr>
          <w:rFonts w:ascii="Helvetica" w:hAnsi="Helvetica"/>
          <w:i/>
          <w:iCs/>
          <w:sz w:val="20"/>
          <w:szCs w:val="20"/>
        </w:rPr>
        <w:t>Sample Costs to Produce and Harvest Strawberries: Central Coast Region</w:t>
      </w:r>
      <w:r w:rsidRPr="00B9711F">
        <w:rPr>
          <w:rFonts w:ascii="Helvetica" w:hAnsi="Helvetica"/>
          <w:sz w:val="20"/>
          <w:szCs w:val="20"/>
        </w:rPr>
        <w:t>. https://coststudyfiles.ucdavis.edu/2024/04/04/2024Strawberry-FULL-FINAL-March2024.pdf (2024).</w:t>
      </w:r>
    </w:p>
    <w:p w14:paraId="48D2BE8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45.</w:t>
      </w:r>
      <w:r w:rsidRPr="00B9711F">
        <w:rPr>
          <w:rFonts w:ascii="Helvetica" w:hAnsi="Helvetica"/>
          <w:sz w:val="20"/>
          <w:szCs w:val="20"/>
        </w:rPr>
        <w:tab/>
        <w:t xml:space="preserve">House, T. &amp; Keeling, M. J. Household structure and infectious disease transmission. </w:t>
      </w:r>
      <w:r w:rsidRPr="00B9711F">
        <w:rPr>
          <w:rFonts w:ascii="Helvetica" w:hAnsi="Helvetica"/>
          <w:i/>
          <w:iCs/>
          <w:sz w:val="20"/>
          <w:szCs w:val="20"/>
        </w:rPr>
        <w:t>Epidemiol. Infect.</w:t>
      </w:r>
      <w:r w:rsidRPr="00B9711F">
        <w:rPr>
          <w:rFonts w:ascii="Helvetica" w:hAnsi="Helvetica"/>
          <w:sz w:val="20"/>
          <w:szCs w:val="20"/>
        </w:rPr>
        <w:t xml:space="preserve"> </w:t>
      </w:r>
      <w:r w:rsidRPr="00B9711F">
        <w:rPr>
          <w:rFonts w:ascii="Helvetica" w:hAnsi="Helvetica"/>
          <w:b/>
          <w:bCs/>
          <w:sz w:val="20"/>
          <w:szCs w:val="20"/>
        </w:rPr>
        <w:t>137</w:t>
      </w:r>
      <w:r w:rsidRPr="00B9711F">
        <w:rPr>
          <w:rFonts w:ascii="Helvetica" w:hAnsi="Helvetica"/>
          <w:sz w:val="20"/>
          <w:szCs w:val="20"/>
        </w:rPr>
        <w:t>, 654–661 (2009).</w:t>
      </w:r>
    </w:p>
    <w:p w14:paraId="57E32F3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46.</w:t>
      </w:r>
      <w:r w:rsidRPr="00B9711F">
        <w:rPr>
          <w:rFonts w:ascii="Helvetica" w:hAnsi="Helvetica"/>
          <w:sz w:val="20"/>
          <w:szCs w:val="20"/>
        </w:rPr>
        <w:tab/>
        <w:t xml:space="preserve">Glasser, J., Feng, Z., Moylan, A., Del Valle, S. &amp; Castillo-Chavez, C. Mixing in age-structured population models of infectious diseases. </w:t>
      </w:r>
      <w:r w:rsidRPr="00B9711F">
        <w:rPr>
          <w:rFonts w:ascii="Helvetica" w:hAnsi="Helvetica"/>
          <w:i/>
          <w:iCs/>
          <w:sz w:val="20"/>
          <w:szCs w:val="20"/>
        </w:rPr>
        <w:t>Mathematical Biosciences</w:t>
      </w:r>
      <w:r w:rsidRPr="00B9711F">
        <w:rPr>
          <w:rFonts w:ascii="Helvetica" w:hAnsi="Helvetica"/>
          <w:sz w:val="20"/>
          <w:szCs w:val="20"/>
        </w:rPr>
        <w:t xml:space="preserve"> </w:t>
      </w:r>
      <w:r w:rsidRPr="00B9711F">
        <w:rPr>
          <w:rFonts w:ascii="Helvetica" w:hAnsi="Helvetica"/>
          <w:b/>
          <w:bCs/>
          <w:sz w:val="20"/>
          <w:szCs w:val="20"/>
        </w:rPr>
        <w:t>235</w:t>
      </w:r>
      <w:r w:rsidRPr="00B9711F">
        <w:rPr>
          <w:rFonts w:ascii="Helvetica" w:hAnsi="Helvetica"/>
          <w:sz w:val="20"/>
          <w:szCs w:val="20"/>
        </w:rPr>
        <w:t>, 1–7 (2012).</w:t>
      </w:r>
    </w:p>
    <w:p w14:paraId="4197D88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47.</w:t>
      </w:r>
      <w:r w:rsidRPr="00B9711F">
        <w:rPr>
          <w:rFonts w:ascii="Helvetica" w:hAnsi="Helvetica"/>
          <w:sz w:val="20"/>
          <w:szCs w:val="20"/>
        </w:rPr>
        <w:tab/>
        <w:t xml:space="preserve">Centers for Disease Control and Prevention. </w:t>
      </w:r>
      <w:r w:rsidRPr="00B9711F">
        <w:rPr>
          <w:rFonts w:ascii="Helvetica" w:hAnsi="Helvetica"/>
          <w:i/>
          <w:iCs/>
          <w:sz w:val="20"/>
          <w:szCs w:val="20"/>
        </w:rPr>
        <w:t>How Flu Spreads</w:t>
      </w:r>
      <w:r w:rsidRPr="00B9711F">
        <w:rPr>
          <w:rFonts w:ascii="Helvetica" w:hAnsi="Helvetica"/>
          <w:sz w:val="20"/>
          <w:szCs w:val="20"/>
        </w:rPr>
        <w:t>. https://www.cdc.gov/flu/spread/index.html (2024).</w:t>
      </w:r>
    </w:p>
    <w:p w14:paraId="7959A02E"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48.</w:t>
      </w:r>
      <w:r w:rsidRPr="00B9711F">
        <w:rPr>
          <w:rFonts w:ascii="Helvetica" w:hAnsi="Helvetica"/>
          <w:sz w:val="20"/>
          <w:szCs w:val="20"/>
        </w:rPr>
        <w:tab/>
        <w:t xml:space="preserve">Tsang, T. K., Lau, L. L. H., Cauchemez, S. &amp; Cowling, B. J. Household Transmission of Influenza Virus. </w:t>
      </w:r>
      <w:r w:rsidRPr="00B9711F">
        <w:rPr>
          <w:rFonts w:ascii="Helvetica" w:hAnsi="Helvetica"/>
          <w:i/>
          <w:iCs/>
          <w:sz w:val="20"/>
          <w:szCs w:val="20"/>
        </w:rPr>
        <w:t>Trends in Microbiology</w:t>
      </w:r>
      <w:r w:rsidRPr="00B9711F">
        <w:rPr>
          <w:rFonts w:ascii="Helvetica" w:hAnsi="Helvetica"/>
          <w:sz w:val="20"/>
          <w:szCs w:val="20"/>
        </w:rPr>
        <w:t xml:space="preserve"> </w:t>
      </w:r>
      <w:r w:rsidRPr="00B9711F">
        <w:rPr>
          <w:rFonts w:ascii="Helvetica" w:hAnsi="Helvetica"/>
          <w:b/>
          <w:bCs/>
          <w:sz w:val="20"/>
          <w:szCs w:val="20"/>
        </w:rPr>
        <w:t>24</w:t>
      </w:r>
      <w:r w:rsidRPr="00B9711F">
        <w:rPr>
          <w:rFonts w:ascii="Helvetica" w:hAnsi="Helvetica"/>
          <w:sz w:val="20"/>
          <w:szCs w:val="20"/>
        </w:rPr>
        <w:t>, 123–133 (2016).</w:t>
      </w:r>
    </w:p>
    <w:p w14:paraId="7E63044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lastRenderedPageBreak/>
        <w:t>49.</w:t>
      </w:r>
      <w:r w:rsidRPr="00B9711F">
        <w:rPr>
          <w:rFonts w:ascii="Helvetica" w:hAnsi="Helvetica"/>
          <w:sz w:val="20"/>
          <w:szCs w:val="20"/>
        </w:rPr>
        <w:tab/>
        <w:t xml:space="preserve">Casado, I. </w:t>
      </w:r>
      <w:r w:rsidRPr="00B9711F">
        <w:rPr>
          <w:rFonts w:ascii="Helvetica" w:hAnsi="Helvetica"/>
          <w:i/>
          <w:iCs/>
          <w:sz w:val="20"/>
          <w:szCs w:val="20"/>
        </w:rPr>
        <w:t>et al.</w:t>
      </w:r>
      <w:r w:rsidRPr="00B9711F">
        <w:rPr>
          <w:rFonts w:ascii="Helvetica" w:hAnsi="Helvetica"/>
          <w:sz w:val="20"/>
          <w:szCs w:val="20"/>
        </w:rPr>
        <w:t xml:space="preserve"> Household Transmission of Influenza A(H1N1)pdm09 in the Pandemic and Post-Pandemic Seasons.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9</w:t>
      </w:r>
      <w:r w:rsidRPr="00B9711F">
        <w:rPr>
          <w:rFonts w:ascii="Helvetica" w:hAnsi="Helvetica"/>
          <w:sz w:val="20"/>
          <w:szCs w:val="20"/>
        </w:rPr>
        <w:t>, e108485 (2014).</w:t>
      </w:r>
    </w:p>
    <w:p w14:paraId="37A957CA"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50.</w:t>
      </w:r>
      <w:r w:rsidRPr="00B9711F">
        <w:rPr>
          <w:rFonts w:ascii="Helvetica" w:hAnsi="Helvetica"/>
          <w:sz w:val="20"/>
          <w:szCs w:val="20"/>
        </w:rPr>
        <w:tab/>
        <w:t xml:space="preserve">Grijalva, C. G. </w:t>
      </w:r>
      <w:r w:rsidRPr="00B9711F">
        <w:rPr>
          <w:rFonts w:ascii="Helvetica" w:hAnsi="Helvetica"/>
          <w:i/>
          <w:iCs/>
          <w:sz w:val="20"/>
          <w:szCs w:val="20"/>
        </w:rPr>
        <w:t>et al.</w:t>
      </w:r>
      <w:r w:rsidRPr="00B9711F">
        <w:rPr>
          <w:rFonts w:ascii="Helvetica" w:hAnsi="Helvetica"/>
          <w:sz w:val="20"/>
          <w:szCs w:val="20"/>
        </w:rPr>
        <w:t xml:space="preserve"> Estimated Effectiveness of Influenza Vaccines in Preventing Secondary Infections in Households. </w:t>
      </w:r>
      <w:r w:rsidRPr="00B9711F">
        <w:rPr>
          <w:rFonts w:ascii="Helvetica" w:hAnsi="Helvetica"/>
          <w:i/>
          <w:iCs/>
          <w:sz w:val="20"/>
          <w:szCs w:val="20"/>
        </w:rPr>
        <w:t>JAMA Netw Open</w:t>
      </w:r>
      <w:r w:rsidRPr="00B9711F">
        <w:rPr>
          <w:rFonts w:ascii="Helvetica" w:hAnsi="Helvetica"/>
          <w:sz w:val="20"/>
          <w:szCs w:val="20"/>
        </w:rPr>
        <w:t xml:space="preserve"> </w:t>
      </w:r>
      <w:r w:rsidRPr="00B9711F">
        <w:rPr>
          <w:rFonts w:ascii="Helvetica" w:hAnsi="Helvetica"/>
          <w:b/>
          <w:bCs/>
          <w:sz w:val="20"/>
          <w:szCs w:val="20"/>
        </w:rPr>
        <w:t>7</w:t>
      </w:r>
      <w:r w:rsidRPr="00B9711F">
        <w:rPr>
          <w:rFonts w:ascii="Helvetica" w:hAnsi="Helvetica"/>
          <w:sz w:val="20"/>
          <w:szCs w:val="20"/>
        </w:rPr>
        <w:t>, e2446814 (2024).</w:t>
      </w:r>
    </w:p>
    <w:p w14:paraId="7699BB6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51.</w:t>
      </w:r>
      <w:r w:rsidRPr="00B9711F">
        <w:rPr>
          <w:rFonts w:ascii="Helvetica" w:hAnsi="Helvetica"/>
          <w:sz w:val="20"/>
          <w:szCs w:val="20"/>
        </w:rPr>
        <w:tab/>
        <w:t xml:space="preserve">Cerami, C. </w:t>
      </w:r>
      <w:r w:rsidRPr="00B9711F">
        <w:rPr>
          <w:rFonts w:ascii="Helvetica" w:hAnsi="Helvetica"/>
          <w:i/>
          <w:iCs/>
          <w:sz w:val="20"/>
          <w:szCs w:val="20"/>
        </w:rPr>
        <w:t>et al.</w:t>
      </w:r>
      <w:r w:rsidRPr="00B9711F">
        <w:rPr>
          <w:rFonts w:ascii="Helvetica" w:hAnsi="Helvetica"/>
          <w:sz w:val="20"/>
          <w:szCs w:val="20"/>
        </w:rPr>
        <w:t xml:space="preserve"> Household Transmission of Severe Acute Respiratory Syndrome Coronavirus 2 in the United States: Living Density, Viral Load, and Disproportionate Impact on Communities of Color. </w:t>
      </w:r>
      <w:r w:rsidRPr="00B9711F">
        <w:rPr>
          <w:rFonts w:ascii="Helvetica" w:hAnsi="Helvetica"/>
          <w:i/>
          <w:iCs/>
          <w:sz w:val="20"/>
          <w:szCs w:val="20"/>
        </w:rPr>
        <w:t>Clinical Infectious Diseases</w:t>
      </w:r>
      <w:r w:rsidRPr="00B9711F">
        <w:rPr>
          <w:rFonts w:ascii="Helvetica" w:hAnsi="Helvetica"/>
          <w:sz w:val="20"/>
          <w:szCs w:val="20"/>
        </w:rPr>
        <w:t xml:space="preserve"> </w:t>
      </w:r>
      <w:r w:rsidRPr="00B9711F">
        <w:rPr>
          <w:rFonts w:ascii="Helvetica" w:hAnsi="Helvetica"/>
          <w:b/>
          <w:bCs/>
          <w:sz w:val="20"/>
          <w:szCs w:val="20"/>
        </w:rPr>
        <w:t>74</w:t>
      </w:r>
      <w:r w:rsidRPr="00B9711F">
        <w:rPr>
          <w:rFonts w:ascii="Helvetica" w:hAnsi="Helvetica"/>
          <w:sz w:val="20"/>
          <w:szCs w:val="20"/>
        </w:rPr>
        <w:t>, 1776–1785 (2022).</w:t>
      </w:r>
    </w:p>
    <w:p w14:paraId="02B7EC5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52.</w:t>
      </w:r>
      <w:r w:rsidRPr="00B9711F">
        <w:rPr>
          <w:rFonts w:ascii="Helvetica" w:hAnsi="Helvetica"/>
          <w:sz w:val="20"/>
          <w:szCs w:val="20"/>
        </w:rPr>
        <w:tab/>
        <w:t xml:space="preserve">Chandrasekhar, R. </w:t>
      </w:r>
      <w:r w:rsidRPr="00B9711F">
        <w:rPr>
          <w:rFonts w:ascii="Helvetica" w:hAnsi="Helvetica"/>
          <w:i/>
          <w:iCs/>
          <w:sz w:val="20"/>
          <w:szCs w:val="20"/>
        </w:rPr>
        <w:t>et al.</w:t>
      </w:r>
      <w:r w:rsidRPr="00B9711F">
        <w:rPr>
          <w:rFonts w:ascii="Helvetica" w:hAnsi="Helvetica"/>
          <w:sz w:val="20"/>
          <w:szCs w:val="20"/>
        </w:rPr>
        <w:t xml:space="preserve"> Social determinants of influenza hospitalization in the United States. </w:t>
      </w:r>
      <w:r w:rsidRPr="00B9711F">
        <w:rPr>
          <w:rFonts w:ascii="Helvetica" w:hAnsi="Helvetica"/>
          <w:i/>
          <w:iCs/>
          <w:sz w:val="20"/>
          <w:szCs w:val="20"/>
        </w:rPr>
        <w:t>Influenza Resp Viruses</w:t>
      </w:r>
      <w:r w:rsidRPr="00B9711F">
        <w:rPr>
          <w:rFonts w:ascii="Helvetica" w:hAnsi="Helvetica"/>
          <w:sz w:val="20"/>
          <w:szCs w:val="20"/>
        </w:rPr>
        <w:t xml:space="preserve"> </w:t>
      </w:r>
      <w:r w:rsidRPr="00B9711F">
        <w:rPr>
          <w:rFonts w:ascii="Helvetica" w:hAnsi="Helvetica"/>
          <w:b/>
          <w:bCs/>
          <w:sz w:val="20"/>
          <w:szCs w:val="20"/>
        </w:rPr>
        <w:t>11</w:t>
      </w:r>
      <w:r w:rsidRPr="00B9711F">
        <w:rPr>
          <w:rFonts w:ascii="Helvetica" w:hAnsi="Helvetica"/>
          <w:sz w:val="20"/>
          <w:szCs w:val="20"/>
        </w:rPr>
        <w:t>, 479–488 (2017).</w:t>
      </w:r>
    </w:p>
    <w:p w14:paraId="64F176E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53.</w:t>
      </w:r>
      <w:r w:rsidRPr="00B9711F">
        <w:rPr>
          <w:rFonts w:ascii="Helvetica" w:hAnsi="Helvetica"/>
          <w:sz w:val="20"/>
          <w:szCs w:val="20"/>
        </w:rPr>
        <w:tab/>
        <w:t xml:space="preserve">Miller, J. C. A Note on the Derivation of Epidemic Final Sizes. </w:t>
      </w:r>
      <w:r w:rsidRPr="00B9711F">
        <w:rPr>
          <w:rFonts w:ascii="Helvetica" w:hAnsi="Helvetica"/>
          <w:i/>
          <w:iCs/>
          <w:sz w:val="20"/>
          <w:szCs w:val="20"/>
        </w:rPr>
        <w:t>Bull Math Biol</w:t>
      </w:r>
      <w:r w:rsidRPr="00B9711F">
        <w:rPr>
          <w:rFonts w:ascii="Helvetica" w:hAnsi="Helvetica"/>
          <w:sz w:val="20"/>
          <w:szCs w:val="20"/>
        </w:rPr>
        <w:t xml:space="preserve"> </w:t>
      </w:r>
      <w:r w:rsidRPr="00B9711F">
        <w:rPr>
          <w:rFonts w:ascii="Helvetica" w:hAnsi="Helvetica"/>
          <w:b/>
          <w:bCs/>
          <w:sz w:val="20"/>
          <w:szCs w:val="20"/>
        </w:rPr>
        <w:t>74</w:t>
      </w:r>
      <w:r w:rsidRPr="00B9711F">
        <w:rPr>
          <w:rFonts w:ascii="Helvetica" w:hAnsi="Helvetica"/>
          <w:sz w:val="20"/>
          <w:szCs w:val="20"/>
        </w:rPr>
        <w:t>, 2125–2141 (2012).</w:t>
      </w:r>
    </w:p>
    <w:p w14:paraId="1E6A69F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54.</w:t>
      </w:r>
      <w:r w:rsidRPr="00B9711F">
        <w:rPr>
          <w:rFonts w:ascii="Helvetica" w:hAnsi="Helvetica"/>
          <w:sz w:val="20"/>
          <w:szCs w:val="20"/>
        </w:rPr>
        <w:tab/>
        <w:t xml:space="preserve">Cowling, B. J. </w:t>
      </w:r>
      <w:r w:rsidRPr="00B9711F">
        <w:rPr>
          <w:rFonts w:ascii="Helvetica" w:hAnsi="Helvetica"/>
          <w:i/>
          <w:iCs/>
          <w:sz w:val="20"/>
          <w:szCs w:val="20"/>
        </w:rPr>
        <w:t>et al.</w:t>
      </w:r>
      <w:r w:rsidRPr="00B9711F">
        <w:rPr>
          <w:rFonts w:ascii="Helvetica" w:hAnsi="Helvetica"/>
          <w:sz w:val="20"/>
          <w:szCs w:val="20"/>
        </w:rPr>
        <w:t xml:space="preserve"> The Effective Reproduction Number of Pandemic Influenza: Prospective Estimation. </w:t>
      </w:r>
      <w:r w:rsidRPr="00B9711F">
        <w:rPr>
          <w:rFonts w:ascii="Helvetica" w:hAnsi="Helvetica"/>
          <w:i/>
          <w:iCs/>
          <w:sz w:val="20"/>
          <w:szCs w:val="20"/>
        </w:rPr>
        <w:t>Epidemiology</w:t>
      </w:r>
      <w:r w:rsidRPr="00B9711F">
        <w:rPr>
          <w:rFonts w:ascii="Helvetica" w:hAnsi="Helvetica"/>
          <w:sz w:val="20"/>
          <w:szCs w:val="20"/>
        </w:rPr>
        <w:t xml:space="preserve"> </w:t>
      </w:r>
      <w:r w:rsidRPr="00B9711F">
        <w:rPr>
          <w:rFonts w:ascii="Helvetica" w:hAnsi="Helvetica"/>
          <w:b/>
          <w:bCs/>
          <w:sz w:val="20"/>
          <w:szCs w:val="20"/>
        </w:rPr>
        <w:t>21</w:t>
      </w:r>
      <w:r w:rsidRPr="00B9711F">
        <w:rPr>
          <w:rFonts w:ascii="Helvetica" w:hAnsi="Helvetica"/>
          <w:sz w:val="20"/>
          <w:szCs w:val="20"/>
        </w:rPr>
        <w:t>, 842–846 (2010).</w:t>
      </w:r>
    </w:p>
    <w:p w14:paraId="736FD32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55.</w:t>
      </w:r>
      <w:r w:rsidRPr="00B9711F">
        <w:rPr>
          <w:rFonts w:ascii="Helvetica" w:hAnsi="Helvetica"/>
          <w:sz w:val="20"/>
          <w:szCs w:val="20"/>
        </w:rPr>
        <w:tab/>
        <w:t xml:space="preserve">Chitwood, M. H. </w:t>
      </w:r>
      <w:r w:rsidRPr="00B9711F">
        <w:rPr>
          <w:rFonts w:ascii="Helvetica" w:hAnsi="Helvetica"/>
          <w:i/>
          <w:iCs/>
          <w:sz w:val="20"/>
          <w:szCs w:val="20"/>
        </w:rPr>
        <w:t>et al.</w:t>
      </w:r>
      <w:r w:rsidRPr="00B9711F">
        <w:rPr>
          <w:rFonts w:ascii="Helvetica" w:hAnsi="Helvetica"/>
          <w:sz w:val="20"/>
          <w:szCs w:val="20"/>
        </w:rPr>
        <w:t xml:space="preserve"> Reconstructing the course of the COVID-19 epidemic over 2020 for US states and counties: Results of a Bayesian evidence synthesis model. </w:t>
      </w:r>
      <w:r w:rsidRPr="00B9711F">
        <w:rPr>
          <w:rFonts w:ascii="Helvetica" w:hAnsi="Helvetica"/>
          <w:i/>
          <w:iCs/>
          <w:sz w:val="20"/>
          <w:szCs w:val="20"/>
        </w:rPr>
        <w:t>PLoS Comput Biol</w:t>
      </w:r>
      <w:r w:rsidRPr="00B9711F">
        <w:rPr>
          <w:rFonts w:ascii="Helvetica" w:hAnsi="Helvetica"/>
          <w:sz w:val="20"/>
          <w:szCs w:val="20"/>
        </w:rPr>
        <w:t xml:space="preserve"> </w:t>
      </w:r>
      <w:r w:rsidRPr="00B9711F">
        <w:rPr>
          <w:rFonts w:ascii="Helvetica" w:hAnsi="Helvetica"/>
          <w:b/>
          <w:bCs/>
          <w:sz w:val="20"/>
          <w:szCs w:val="20"/>
        </w:rPr>
        <w:t>18</w:t>
      </w:r>
      <w:r w:rsidRPr="00B9711F">
        <w:rPr>
          <w:rFonts w:ascii="Helvetica" w:hAnsi="Helvetica"/>
          <w:sz w:val="20"/>
          <w:szCs w:val="20"/>
        </w:rPr>
        <w:t>, e1010465 (2022).</w:t>
      </w:r>
    </w:p>
    <w:p w14:paraId="2403DE9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56.</w:t>
      </w:r>
      <w:r w:rsidRPr="00B9711F">
        <w:rPr>
          <w:rFonts w:ascii="Helvetica" w:hAnsi="Helvetica"/>
          <w:sz w:val="20"/>
          <w:szCs w:val="20"/>
        </w:rPr>
        <w:tab/>
        <w:t xml:space="preserve">Van Wormer, J. J., King, J. P., Gajewski, A., McLean, H. Q. &amp; Belongia, E. A. Influenza and Workplace Productivity Loss in Working Adults. </w:t>
      </w:r>
      <w:r w:rsidRPr="00B9711F">
        <w:rPr>
          <w:rFonts w:ascii="Helvetica" w:hAnsi="Helvetica"/>
          <w:i/>
          <w:iCs/>
          <w:sz w:val="20"/>
          <w:szCs w:val="20"/>
        </w:rPr>
        <w:t>Journal of Occupational &amp; Environmental Medicine</w:t>
      </w:r>
      <w:r w:rsidRPr="00B9711F">
        <w:rPr>
          <w:rFonts w:ascii="Helvetica" w:hAnsi="Helvetica"/>
          <w:sz w:val="20"/>
          <w:szCs w:val="20"/>
        </w:rPr>
        <w:t xml:space="preserve"> </w:t>
      </w:r>
      <w:r w:rsidRPr="00B9711F">
        <w:rPr>
          <w:rFonts w:ascii="Helvetica" w:hAnsi="Helvetica"/>
          <w:b/>
          <w:bCs/>
          <w:sz w:val="20"/>
          <w:szCs w:val="20"/>
        </w:rPr>
        <w:t>59</w:t>
      </w:r>
      <w:r w:rsidRPr="00B9711F">
        <w:rPr>
          <w:rFonts w:ascii="Helvetica" w:hAnsi="Helvetica"/>
          <w:sz w:val="20"/>
          <w:szCs w:val="20"/>
        </w:rPr>
        <w:t>, 1135–1139 (2017).</w:t>
      </w:r>
    </w:p>
    <w:p w14:paraId="437E86C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57.</w:t>
      </w:r>
      <w:r w:rsidRPr="00B9711F">
        <w:rPr>
          <w:rFonts w:ascii="Helvetica" w:hAnsi="Helvetica"/>
          <w:sz w:val="20"/>
          <w:szCs w:val="20"/>
        </w:rPr>
        <w:tab/>
        <w:t xml:space="preserve">Tsai, Y., Zhou, F. &amp; Kim, I. K. The burden of influenza-like illness in the US workforce. </w:t>
      </w:r>
      <w:r w:rsidRPr="00B9711F">
        <w:rPr>
          <w:rFonts w:ascii="Helvetica" w:hAnsi="Helvetica"/>
          <w:i/>
          <w:iCs/>
          <w:sz w:val="20"/>
          <w:szCs w:val="20"/>
        </w:rPr>
        <w:t>Occupational Medicine</w:t>
      </w:r>
      <w:r w:rsidRPr="00B9711F">
        <w:rPr>
          <w:rFonts w:ascii="Helvetica" w:hAnsi="Helvetica"/>
          <w:sz w:val="20"/>
          <w:szCs w:val="20"/>
        </w:rPr>
        <w:t xml:space="preserve"> </w:t>
      </w:r>
      <w:r w:rsidRPr="00B9711F">
        <w:rPr>
          <w:rFonts w:ascii="Helvetica" w:hAnsi="Helvetica"/>
          <w:b/>
          <w:bCs/>
          <w:sz w:val="20"/>
          <w:szCs w:val="20"/>
        </w:rPr>
        <w:t>64</w:t>
      </w:r>
      <w:r w:rsidRPr="00B9711F">
        <w:rPr>
          <w:rFonts w:ascii="Helvetica" w:hAnsi="Helvetica"/>
          <w:sz w:val="20"/>
          <w:szCs w:val="20"/>
        </w:rPr>
        <w:t>, 341–347 (2014).</w:t>
      </w:r>
    </w:p>
    <w:p w14:paraId="6805E7F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58.</w:t>
      </w:r>
      <w:r w:rsidRPr="00B9711F">
        <w:rPr>
          <w:rFonts w:ascii="Helvetica" w:hAnsi="Helvetica"/>
          <w:sz w:val="20"/>
          <w:szCs w:val="20"/>
        </w:rPr>
        <w:tab/>
        <w:t xml:space="preserve">Leung, N. H. L., Xu, C., Ip, D. K. M. &amp; Cowling, B. J. Review Article: The Fraction of Influenza Virus Infections That Are Asymptomatic. </w:t>
      </w:r>
      <w:r w:rsidRPr="00B9711F">
        <w:rPr>
          <w:rFonts w:ascii="Helvetica" w:hAnsi="Helvetica"/>
          <w:i/>
          <w:iCs/>
          <w:sz w:val="20"/>
          <w:szCs w:val="20"/>
        </w:rPr>
        <w:t>Epidemiology</w:t>
      </w:r>
      <w:r w:rsidRPr="00B9711F">
        <w:rPr>
          <w:rFonts w:ascii="Helvetica" w:hAnsi="Helvetica"/>
          <w:sz w:val="20"/>
          <w:szCs w:val="20"/>
        </w:rPr>
        <w:t xml:space="preserve"> </w:t>
      </w:r>
      <w:r w:rsidRPr="00B9711F">
        <w:rPr>
          <w:rFonts w:ascii="Helvetica" w:hAnsi="Helvetica"/>
          <w:b/>
          <w:bCs/>
          <w:sz w:val="20"/>
          <w:szCs w:val="20"/>
        </w:rPr>
        <w:t>26</w:t>
      </w:r>
      <w:r w:rsidRPr="00B9711F">
        <w:rPr>
          <w:rFonts w:ascii="Helvetica" w:hAnsi="Helvetica"/>
          <w:sz w:val="20"/>
          <w:szCs w:val="20"/>
        </w:rPr>
        <w:t>, 862–872 (2015).</w:t>
      </w:r>
    </w:p>
    <w:p w14:paraId="45A1073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59.</w:t>
      </w:r>
      <w:r w:rsidRPr="00B9711F">
        <w:rPr>
          <w:rFonts w:ascii="Helvetica" w:hAnsi="Helvetica"/>
          <w:sz w:val="20"/>
          <w:szCs w:val="20"/>
        </w:rPr>
        <w:tab/>
        <w:t xml:space="preserve">Biddle, J. E. </w:t>
      </w:r>
      <w:r w:rsidRPr="00B9711F">
        <w:rPr>
          <w:rFonts w:ascii="Helvetica" w:hAnsi="Helvetica"/>
          <w:i/>
          <w:iCs/>
          <w:sz w:val="20"/>
          <w:szCs w:val="20"/>
        </w:rPr>
        <w:t>et al.</w:t>
      </w:r>
      <w:r w:rsidRPr="00B9711F">
        <w:rPr>
          <w:rFonts w:ascii="Helvetica" w:hAnsi="Helvetica"/>
          <w:sz w:val="20"/>
          <w:szCs w:val="20"/>
        </w:rPr>
        <w:t xml:space="preserve"> Asymptomatic and Mildly Symptomatic Influenza Virus Infections by Season: Case-Ascertained Household Transmission Studies, United States, 2017–2023. </w:t>
      </w:r>
      <w:r w:rsidRPr="00B9711F">
        <w:rPr>
          <w:rFonts w:ascii="Helvetica" w:hAnsi="Helvetica"/>
          <w:i/>
          <w:iCs/>
          <w:sz w:val="20"/>
          <w:szCs w:val="20"/>
        </w:rPr>
        <w:t>The Journal of Infectious Diseases</w:t>
      </w:r>
      <w:r w:rsidRPr="00B9711F">
        <w:rPr>
          <w:rFonts w:ascii="Helvetica" w:hAnsi="Helvetica"/>
          <w:sz w:val="20"/>
          <w:szCs w:val="20"/>
        </w:rPr>
        <w:t xml:space="preserve"> </w:t>
      </w:r>
      <w:r w:rsidRPr="00B9711F">
        <w:rPr>
          <w:rFonts w:ascii="Helvetica" w:hAnsi="Helvetica"/>
          <w:b/>
          <w:bCs/>
          <w:sz w:val="20"/>
          <w:szCs w:val="20"/>
        </w:rPr>
        <w:t>232</w:t>
      </w:r>
      <w:r w:rsidRPr="00B9711F">
        <w:rPr>
          <w:rFonts w:ascii="Helvetica" w:hAnsi="Helvetica"/>
          <w:sz w:val="20"/>
          <w:szCs w:val="20"/>
        </w:rPr>
        <w:t>, e637–e641 (2025).</w:t>
      </w:r>
    </w:p>
    <w:p w14:paraId="4D9E6E9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60.</w:t>
      </w:r>
      <w:r w:rsidRPr="00B9711F">
        <w:rPr>
          <w:rFonts w:ascii="Helvetica" w:hAnsi="Helvetica"/>
          <w:sz w:val="20"/>
          <w:szCs w:val="20"/>
        </w:rPr>
        <w:tab/>
        <w:t>Charlton, D. Seasonal farm labor and COVID</w:t>
      </w:r>
      <w:r w:rsidRPr="00B9711F">
        <w:rPr>
          <w:rFonts w:ascii="Helvetica" w:hAnsi="Helvetica" w:cs="Cambria Math"/>
          <w:sz w:val="20"/>
          <w:szCs w:val="20"/>
        </w:rPr>
        <w:t>‐</w:t>
      </w:r>
      <w:r w:rsidRPr="00B9711F">
        <w:rPr>
          <w:rFonts w:ascii="Helvetica" w:hAnsi="Helvetica"/>
          <w:sz w:val="20"/>
          <w:szCs w:val="20"/>
        </w:rPr>
        <w:t xml:space="preserve">19 spread. </w:t>
      </w:r>
      <w:r w:rsidRPr="00B9711F">
        <w:rPr>
          <w:rFonts w:ascii="Helvetica" w:hAnsi="Helvetica"/>
          <w:i/>
          <w:iCs/>
          <w:sz w:val="20"/>
          <w:szCs w:val="20"/>
        </w:rPr>
        <w:t>Applied Eco Perspectives Pol</w:t>
      </w:r>
      <w:r w:rsidRPr="00B9711F">
        <w:rPr>
          <w:rFonts w:ascii="Helvetica" w:hAnsi="Helvetica"/>
          <w:sz w:val="20"/>
          <w:szCs w:val="20"/>
        </w:rPr>
        <w:t xml:space="preserve"> </w:t>
      </w:r>
      <w:r w:rsidRPr="00B9711F">
        <w:rPr>
          <w:rFonts w:ascii="Helvetica" w:hAnsi="Helvetica"/>
          <w:b/>
          <w:bCs/>
          <w:sz w:val="20"/>
          <w:szCs w:val="20"/>
        </w:rPr>
        <w:t>44</w:t>
      </w:r>
      <w:r w:rsidRPr="00B9711F">
        <w:rPr>
          <w:rFonts w:ascii="Helvetica" w:hAnsi="Helvetica"/>
          <w:sz w:val="20"/>
          <w:szCs w:val="20"/>
        </w:rPr>
        <w:t>, 1591–1609 (2022).</w:t>
      </w:r>
    </w:p>
    <w:p w14:paraId="52059E1A"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61.</w:t>
      </w:r>
      <w:r w:rsidRPr="00B9711F">
        <w:rPr>
          <w:rFonts w:ascii="Helvetica" w:hAnsi="Helvetica"/>
          <w:sz w:val="20"/>
          <w:szCs w:val="20"/>
        </w:rPr>
        <w:tab/>
        <w:t xml:space="preserve">McCue-Weil, L., Knight, M., Driscoll, M., Jenkins, P. &amp; Sorensen, J. A Case Study on the Practical Use of Low-Fidelity Modeling to Mitigate the Spread of COVID-19 Amongst the Underserved Farmworker Community. </w:t>
      </w:r>
      <w:r w:rsidRPr="00B9711F">
        <w:rPr>
          <w:rFonts w:ascii="Helvetica" w:hAnsi="Helvetica"/>
          <w:i/>
          <w:iCs/>
          <w:sz w:val="20"/>
          <w:szCs w:val="20"/>
        </w:rPr>
        <w:t>La Matematica</w:t>
      </w:r>
      <w:r w:rsidRPr="00B9711F">
        <w:rPr>
          <w:rFonts w:ascii="Helvetica" w:hAnsi="Helvetica"/>
          <w:sz w:val="20"/>
          <w:szCs w:val="20"/>
        </w:rPr>
        <w:t xml:space="preserve"> </w:t>
      </w:r>
      <w:r w:rsidRPr="00B9711F">
        <w:rPr>
          <w:rFonts w:ascii="Helvetica" w:hAnsi="Helvetica"/>
          <w:b/>
          <w:bCs/>
          <w:sz w:val="20"/>
          <w:szCs w:val="20"/>
        </w:rPr>
        <w:t>2</w:t>
      </w:r>
      <w:r w:rsidRPr="00B9711F">
        <w:rPr>
          <w:rFonts w:ascii="Helvetica" w:hAnsi="Helvetica"/>
          <w:sz w:val="20"/>
          <w:szCs w:val="20"/>
        </w:rPr>
        <w:t>, 223–241 (2023).</w:t>
      </w:r>
    </w:p>
    <w:p w14:paraId="3C8F1FF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62.</w:t>
      </w:r>
      <w:r w:rsidRPr="00B9711F">
        <w:rPr>
          <w:rFonts w:ascii="Helvetica" w:hAnsi="Helvetica"/>
          <w:sz w:val="20"/>
          <w:szCs w:val="20"/>
        </w:rPr>
        <w:tab/>
        <w:t xml:space="preserve">Cooper, D. K. </w:t>
      </w:r>
      <w:r w:rsidRPr="00B9711F">
        <w:rPr>
          <w:rFonts w:ascii="Helvetica" w:hAnsi="Helvetica"/>
          <w:i/>
          <w:iCs/>
          <w:sz w:val="20"/>
          <w:szCs w:val="20"/>
        </w:rPr>
        <w:t>et al.</w:t>
      </w:r>
      <w:r w:rsidRPr="00B9711F">
        <w:rPr>
          <w:rFonts w:ascii="Helvetica" w:hAnsi="Helvetica"/>
          <w:sz w:val="20"/>
          <w:szCs w:val="20"/>
        </w:rPr>
        <w:t xml:space="preserve"> Combined Infection Control Interventions Protect Essential Food Workers from Occupational Exposures to SARS-CoV-2 in the Agricultural Environment. </w:t>
      </w:r>
      <w:r w:rsidRPr="00B9711F">
        <w:rPr>
          <w:rFonts w:ascii="Helvetica" w:hAnsi="Helvetica"/>
          <w:i/>
          <w:iCs/>
          <w:sz w:val="20"/>
          <w:szCs w:val="20"/>
        </w:rPr>
        <w:t>Appl Environ Microbiol</w:t>
      </w:r>
      <w:r w:rsidRPr="00B9711F">
        <w:rPr>
          <w:rFonts w:ascii="Helvetica" w:hAnsi="Helvetica"/>
          <w:sz w:val="20"/>
          <w:szCs w:val="20"/>
        </w:rPr>
        <w:t xml:space="preserve"> </w:t>
      </w:r>
      <w:r w:rsidRPr="00B9711F">
        <w:rPr>
          <w:rFonts w:ascii="Helvetica" w:hAnsi="Helvetica"/>
          <w:b/>
          <w:bCs/>
          <w:sz w:val="20"/>
          <w:szCs w:val="20"/>
        </w:rPr>
        <w:t>89</w:t>
      </w:r>
      <w:r w:rsidRPr="00B9711F">
        <w:rPr>
          <w:rFonts w:ascii="Helvetica" w:hAnsi="Helvetica"/>
          <w:sz w:val="20"/>
          <w:szCs w:val="20"/>
        </w:rPr>
        <w:t>, e00128-23 (2023).</w:t>
      </w:r>
    </w:p>
    <w:p w14:paraId="59CA1C5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63.</w:t>
      </w:r>
      <w:r w:rsidRPr="00B9711F">
        <w:rPr>
          <w:rFonts w:ascii="Helvetica" w:hAnsi="Helvetica"/>
          <w:sz w:val="20"/>
          <w:szCs w:val="20"/>
        </w:rPr>
        <w:tab/>
        <w:t xml:space="preserve">VanderWaal, K., Black, L., Hodge, J., Bedada, A. &amp; Dee, S. Modeling transmission dynamics and effectiveness of worker screening programs for SARS-CoV-2 in pork processing plants.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16</w:t>
      </w:r>
      <w:r w:rsidRPr="00B9711F">
        <w:rPr>
          <w:rFonts w:ascii="Helvetica" w:hAnsi="Helvetica"/>
          <w:sz w:val="20"/>
          <w:szCs w:val="20"/>
        </w:rPr>
        <w:t>, e0249143 (2021).</w:t>
      </w:r>
    </w:p>
    <w:p w14:paraId="39AF59F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64.</w:t>
      </w:r>
      <w:r w:rsidRPr="00B9711F">
        <w:rPr>
          <w:rFonts w:ascii="Helvetica" w:hAnsi="Helvetica"/>
          <w:sz w:val="20"/>
          <w:szCs w:val="20"/>
        </w:rPr>
        <w:tab/>
        <w:t xml:space="preserve">Lou, J. </w:t>
      </w:r>
      <w:r w:rsidRPr="00B9711F">
        <w:rPr>
          <w:rFonts w:ascii="Helvetica" w:hAnsi="Helvetica"/>
          <w:i/>
          <w:iCs/>
          <w:sz w:val="20"/>
          <w:szCs w:val="20"/>
        </w:rPr>
        <w:t>et al.</w:t>
      </w:r>
      <w:r w:rsidRPr="00B9711F">
        <w:rPr>
          <w:rFonts w:ascii="Helvetica" w:hAnsi="Helvetica"/>
          <w:sz w:val="20"/>
          <w:szCs w:val="20"/>
        </w:rPr>
        <w:t xml:space="preserve"> Facility design and worker justice: COVID</w:t>
      </w:r>
      <w:r w:rsidRPr="00B9711F">
        <w:rPr>
          <w:rFonts w:ascii="Helvetica" w:hAnsi="Helvetica" w:cs="Cambria Math"/>
          <w:sz w:val="20"/>
          <w:szCs w:val="20"/>
        </w:rPr>
        <w:t>‐</w:t>
      </w:r>
      <w:r w:rsidRPr="00B9711F">
        <w:rPr>
          <w:rFonts w:ascii="Helvetica" w:hAnsi="Helvetica"/>
          <w:sz w:val="20"/>
          <w:szCs w:val="20"/>
        </w:rPr>
        <w:t xml:space="preserve">19 transmission in meatpacking plants. </w:t>
      </w:r>
      <w:r w:rsidRPr="00B9711F">
        <w:rPr>
          <w:rFonts w:ascii="Helvetica" w:hAnsi="Helvetica"/>
          <w:i/>
          <w:iCs/>
          <w:sz w:val="20"/>
          <w:szCs w:val="20"/>
        </w:rPr>
        <w:t>American J Industrial Med</w:t>
      </w:r>
      <w:r w:rsidRPr="00B9711F">
        <w:rPr>
          <w:rFonts w:ascii="Helvetica" w:hAnsi="Helvetica"/>
          <w:sz w:val="20"/>
          <w:szCs w:val="20"/>
        </w:rPr>
        <w:t xml:space="preserve"> </w:t>
      </w:r>
      <w:r w:rsidRPr="00B9711F">
        <w:rPr>
          <w:rFonts w:ascii="Helvetica" w:hAnsi="Helvetica"/>
          <w:b/>
          <w:bCs/>
          <w:sz w:val="20"/>
          <w:szCs w:val="20"/>
        </w:rPr>
        <w:t>66</w:t>
      </w:r>
      <w:r w:rsidRPr="00B9711F">
        <w:rPr>
          <w:rFonts w:ascii="Helvetica" w:hAnsi="Helvetica"/>
          <w:sz w:val="20"/>
          <w:szCs w:val="20"/>
        </w:rPr>
        <w:t>, 713–727 (2023).</w:t>
      </w:r>
    </w:p>
    <w:p w14:paraId="171ABFA2"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65.</w:t>
      </w:r>
      <w:r w:rsidRPr="00B9711F">
        <w:rPr>
          <w:rFonts w:ascii="Helvetica" w:hAnsi="Helvetica"/>
          <w:sz w:val="20"/>
          <w:szCs w:val="20"/>
        </w:rPr>
        <w:tab/>
        <w:t xml:space="preserve">Bulfone, T. C., Malekinejad, M., Rutherford, G. W. &amp; Razani, N. Outdoor Transmission of SARS-CoV-2 and Other Respiratory Viruses: A Systematic Review. </w:t>
      </w:r>
      <w:r w:rsidRPr="00B9711F">
        <w:rPr>
          <w:rFonts w:ascii="Helvetica" w:hAnsi="Helvetica"/>
          <w:i/>
          <w:iCs/>
          <w:sz w:val="20"/>
          <w:szCs w:val="20"/>
        </w:rPr>
        <w:t>The Journal of Infectious Diseases</w:t>
      </w:r>
      <w:r w:rsidRPr="00B9711F">
        <w:rPr>
          <w:rFonts w:ascii="Helvetica" w:hAnsi="Helvetica"/>
          <w:sz w:val="20"/>
          <w:szCs w:val="20"/>
        </w:rPr>
        <w:t xml:space="preserve"> </w:t>
      </w:r>
      <w:r w:rsidRPr="00B9711F">
        <w:rPr>
          <w:rFonts w:ascii="Helvetica" w:hAnsi="Helvetica"/>
          <w:b/>
          <w:bCs/>
          <w:sz w:val="20"/>
          <w:szCs w:val="20"/>
        </w:rPr>
        <w:t>223</w:t>
      </w:r>
      <w:r w:rsidRPr="00B9711F">
        <w:rPr>
          <w:rFonts w:ascii="Helvetica" w:hAnsi="Helvetica"/>
          <w:sz w:val="20"/>
          <w:szCs w:val="20"/>
        </w:rPr>
        <w:t>, 550–561 (2021).</w:t>
      </w:r>
    </w:p>
    <w:p w14:paraId="22F4380A" w14:textId="78366318" w:rsidR="00320FD3" w:rsidRDefault="00320FD3" w:rsidP="00B9711F">
      <w:pPr>
        <w:pStyle w:val="Bibliography"/>
        <w:tabs>
          <w:tab w:val="clear" w:pos="260"/>
          <w:tab w:val="left" w:pos="360"/>
        </w:tabs>
        <w:spacing w:line="240" w:lineRule="auto"/>
        <w:ind w:left="360" w:hanging="360"/>
        <w:rPr>
          <w:rFonts w:ascii="Helvetica" w:hAnsi="Helvetica"/>
          <w:b/>
          <w:bCs/>
          <w:sz w:val="20"/>
          <w:szCs w:val="20"/>
        </w:rPr>
      </w:pPr>
      <w:r w:rsidRPr="00B9711F">
        <w:rPr>
          <w:rFonts w:ascii="Helvetica" w:hAnsi="Helvetica"/>
          <w:b/>
          <w:bCs/>
          <w:sz w:val="20"/>
          <w:szCs w:val="20"/>
        </w:rPr>
        <w:fldChar w:fldCharType="end"/>
      </w:r>
    </w:p>
    <w:p w14:paraId="162AB193" w14:textId="77777777" w:rsidR="00320FD3" w:rsidRDefault="00320FD3">
      <w:pPr>
        <w:rPr>
          <w:rFonts w:ascii="Helvetica" w:eastAsiaTheme="majorEastAsia" w:hAnsi="Helvetica" w:cstheme="majorBidi"/>
          <w:b/>
          <w:bCs/>
          <w:sz w:val="20"/>
          <w:szCs w:val="20"/>
        </w:rPr>
      </w:pPr>
      <w:r>
        <w:rPr>
          <w:rFonts w:ascii="Helvetica" w:hAnsi="Helvetica"/>
          <w:b/>
          <w:bCs/>
          <w:sz w:val="20"/>
          <w:szCs w:val="20"/>
        </w:rPr>
        <w:br w:type="page"/>
      </w:r>
    </w:p>
    <w:p w14:paraId="50E93F18" w14:textId="0E16A7A9" w:rsidR="00AB7EBC" w:rsidRPr="00CC2F84" w:rsidRDefault="006B4661" w:rsidP="00CC2F84">
      <w:pPr>
        <w:pStyle w:val="Heading2"/>
        <w:jc w:val="both"/>
        <w:rPr>
          <w:rFonts w:ascii="Helvetica" w:hAnsi="Helvetica"/>
          <w:b/>
          <w:bCs/>
          <w:color w:val="auto"/>
          <w:sz w:val="28"/>
          <w:szCs w:val="28"/>
        </w:rPr>
      </w:pPr>
      <w:r w:rsidRPr="00CC2F84">
        <w:rPr>
          <w:rFonts w:ascii="Helvetica" w:hAnsi="Helvetica"/>
          <w:b/>
          <w:bCs/>
          <w:color w:val="auto"/>
          <w:sz w:val="28"/>
          <w:szCs w:val="28"/>
        </w:rPr>
        <w:lastRenderedPageBreak/>
        <w:t>Supplementary Information</w:t>
      </w:r>
    </w:p>
    <w:p w14:paraId="1F264A79" w14:textId="77777777" w:rsidR="00AB7EBC" w:rsidRPr="00CC2F84" w:rsidRDefault="006B4661" w:rsidP="00CC2F84">
      <w:pPr>
        <w:pStyle w:val="Heading3"/>
        <w:jc w:val="both"/>
        <w:rPr>
          <w:rFonts w:ascii="Helvetica" w:hAnsi="Helvetica"/>
          <w:b/>
          <w:bCs/>
          <w:color w:val="auto"/>
          <w:sz w:val="22"/>
          <w:szCs w:val="22"/>
        </w:rPr>
      </w:pPr>
      <w:bookmarkStart w:id="83" w:name="supplementary-methods"/>
      <w:r w:rsidRPr="00CC2F84">
        <w:rPr>
          <w:rFonts w:ascii="Helvetica" w:hAnsi="Helvetica"/>
          <w:b/>
          <w:bCs/>
          <w:color w:val="auto"/>
          <w:sz w:val="22"/>
          <w:szCs w:val="22"/>
        </w:rPr>
        <w:t>Supplementary Methods</w:t>
      </w:r>
    </w:p>
    <w:p w14:paraId="1B03B3C4" w14:textId="77777777" w:rsidR="00AB7EBC" w:rsidRPr="00CC2F84" w:rsidRDefault="006B4661" w:rsidP="00CC2F84">
      <w:pPr>
        <w:pStyle w:val="Heading4"/>
        <w:jc w:val="both"/>
        <w:rPr>
          <w:rFonts w:ascii="Helvetica" w:hAnsi="Helvetica"/>
          <w:color w:val="auto"/>
          <w:sz w:val="22"/>
          <w:szCs w:val="22"/>
        </w:rPr>
      </w:pPr>
      <w:bookmarkStart w:id="84" w:name="data-extraction"/>
      <w:r w:rsidRPr="00CC2F84">
        <w:rPr>
          <w:rFonts w:ascii="Helvetica" w:hAnsi="Helvetica"/>
          <w:color w:val="auto"/>
          <w:sz w:val="22"/>
          <w:szCs w:val="22"/>
        </w:rPr>
        <w:t>Data extraction</w:t>
      </w:r>
    </w:p>
    <w:p w14:paraId="7814155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County-level household size distributions were obtained from American Community Survey (ACS) table B11016 (Household Type by Household Size), which reports counts of family and non-family households by size. We combined family and non-family counts for each household size (1 through 7+).</w:t>
      </w:r>
    </w:p>
    <w:p w14:paraId="3583416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County-level household crowding proportions were obtained from ACS table B25014 (Tenure by Occupants per Room), where crowded households were defined as those with more than 1.00 occupants per room. We summed across owner- and renter-occupied units and all occupancy levels over size 1 (1.01–1.50, 1.51–2.00, and &gt;2.00 persons per room). We normalized by the total population size (ACS table B01003).</w:t>
      </w:r>
    </w:p>
    <w:p w14:paraId="07702ED6"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To calculate the proportion of agricultural workers in a county using the ACS data, we extracted the number of individuals employed in “farming, fishing, and forestry occupations” (ACS occupation codes C24030_004 [males] and C24030_031 [females]) as a proportion of total employed individuals (C24030_001).</w:t>
      </w:r>
    </w:p>
    <w:p w14:paraId="75C1803C" w14:textId="77777777" w:rsidR="00AB7EBC" w:rsidRPr="00CC2F84" w:rsidRDefault="006B4661" w:rsidP="00CC2F84">
      <w:pPr>
        <w:pStyle w:val="Heading4"/>
        <w:jc w:val="both"/>
        <w:rPr>
          <w:rFonts w:ascii="Helvetica" w:hAnsi="Helvetica"/>
          <w:color w:val="auto"/>
          <w:sz w:val="22"/>
          <w:szCs w:val="22"/>
        </w:rPr>
      </w:pPr>
      <w:bookmarkStart w:id="85" w:name="X96d56a96b835cf32ce99f11697040a297b33435"/>
      <w:bookmarkEnd w:id="84"/>
      <w:r w:rsidRPr="00CC2F84">
        <w:rPr>
          <w:rFonts w:ascii="Helvetica" w:hAnsi="Helvetica"/>
          <w:color w:val="auto"/>
          <w:sz w:val="22"/>
          <w:szCs w:val="22"/>
        </w:rPr>
        <w:t>Data processing: calculating regional values for the general community</w:t>
      </w:r>
    </w:p>
    <w:p w14:paraId="1B617C5A" w14:textId="16494AD3"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To enable region-level analysis, we aggregated the county-level ACS data into the corresponding National Agricultural Workers Survey (NAWS) regions using population-weighted averages. For each variable (</w:t>
      </w:r>
      <w:commentRangeStart w:id="86"/>
      <w:r w:rsidRPr="00CC2F84">
        <w:rPr>
          <w:rFonts w:ascii="Helvetica" w:hAnsi="Helvetica"/>
          <w:sz w:val="22"/>
          <w:szCs w:val="22"/>
        </w:rPr>
        <w:t>household size proportions</w:t>
      </w:r>
      <w:r w:rsidR="00E75E71">
        <w:rPr>
          <w:rFonts w:ascii="Helvetica" w:hAnsi="Helvetica"/>
          <w:sz w:val="22"/>
          <w:szCs w:val="22"/>
        </w:rPr>
        <w:t xml:space="preserve"> </w:t>
      </w:r>
      <w:r w:rsidR="00E75E71">
        <w:rPr>
          <w:rFonts w:ascii="Helvetica" w:hAnsi="Helvetica"/>
          <w:i/>
          <w:iCs/>
          <w:sz w:val="22"/>
          <w:szCs w:val="22"/>
        </w:rPr>
        <w:t>p</w:t>
      </w:r>
      <w:r w:rsidRPr="00CC2F84">
        <w:rPr>
          <w:rFonts w:ascii="Helvetica" w:hAnsi="Helvetica"/>
          <w:sz w:val="22"/>
          <w:szCs w:val="22"/>
        </w:rPr>
        <w:t>, crowding proportions</w:t>
      </w:r>
      <w:r w:rsidR="00E75E71">
        <w:rPr>
          <w:rFonts w:ascii="Helvetica" w:hAnsi="Helvetica"/>
          <w:sz w:val="22"/>
          <w:szCs w:val="22"/>
        </w:rPr>
        <w:t xml:space="preserve"> </w:t>
      </w:r>
      <w:r w:rsidR="00E75E71">
        <w:rPr>
          <w:rFonts w:ascii="Helvetica" w:hAnsi="Helvetica"/>
          <w:i/>
          <w:iCs/>
          <w:sz w:val="22"/>
          <w:szCs w:val="22"/>
        </w:rPr>
        <w:t>q</w:t>
      </w:r>
      <w:r w:rsidRPr="00CC2F84">
        <w:rPr>
          <w:rFonts w:ascii="Helvetica" w:hAnsi="Helvetica"/>
          <w:sz w:val="22"/>
          <w:szCs w:val="22"/>
        </w:rPr>
        <w:t>, and proportion of agricultural workers</w:t>
      </w:r>
      <w:commentRangeEnd w:id="86"/>
      <w:r w:rsidR="00956CEE">
        <w:rPr>
          <w:rStyle w:val="CommentReference"/>
          <w:rFonts w:ascii="Helvetica" w:hAnsi="Helvetica"/>
          <w:sz w:val="22"/>
          <w:szCs w:val="22"/>
        </w:rPr>
        <w:commentReference w:id="86"/>
      </w:r>
      <w:r w:rsidR="00E75E71">
        <w:rPr>
          <w:rFonts w:ascii="Helvetica" w:hAnsi="Helvetica"/>
          <w:sz w:val="22"/>
          <w:szCs w:val="22"/>
        </w:rPr>
        <w:t xml:space="preserve"> </w:t>
      </w:r>
      <w:r w:rsidR="00E75E71">
        <w:rPr>
          <w:rFonts w:ascii="Helvetica" w:hAnsi="Helvetica"/>
          <w:i/>
          <w:iCs/>
          <w:sz w:val="22"/>
          <w:szCs w:val="22"/>
        </w:rPr>
        <w:t>a</w:t>
      </w:r>
      <w:r w:rsidRPr="00CC2F84">
        <w:rPr>
          <w:rFonts w:ascii="Helvetica" w:hAnsi="Helvetica"/>
          <w:sz w:val="22"/>
          <w:szCs w:val="22"/>
        </w:rPr>
        <w:t xml:space="preserve">), we multiplied each county’s value by its population size, summed within each region, then divided by the total regional population size. Specifically, for each county </w:t>
      </w:r>
      <m:oMath>
        <m:r>
          <w:rPr>
            <w:rFonts w:ascii="Cambria Math" w:hAnsi="Cambria Math"/>
            <w:sz w:val="22"/>
            <w:szCs w:val="22"/>
          </w:rPr>
          <m:t>i</m:t>
        </m:r>
      </m:oMath>
      <w:r w:rsidRPr="00CC2F84">
        <w:rPr>
          <w:rFonts w:ascii="Helvetica" w:hAnsi="Helvetica"/>
          <w:sz w:val="22"/>
          <w:szCs w:val="22"/>
        </w:rPr>
        <w:t xml:space="preserve"> in region </w:t>
      </w:r>
      <m:oMath>
        <m:r>
          <w:rPr>
            <w:rFonts w:ascii="Cambria Math" w:hAnsi="Cambria Math"/>
            <w:sz w:val="22"/>
            <w:szCs w:val="22"/>
          </w:rPr>
          <m:t>r</m:t>
        </m:r>
      </m:oMath>
      <w:r w:rsidRPr="00CC2F84">
        <w:rPr>
          <w:rFonts w:ascii="Helvetica" w:hAnsi="Helvetica"/>
          <w:sz w:val="22"/>
          <w:szCs w:val="22"/>
        </w:rPr>
        <w:t>, we computed:</w:t>
      </w:r>
    </w:p>
    <w:p w14:paraId="05EC5A99"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575C4126"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093C370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a</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6617FAC8"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with size </w:t>
      </w:r>
      <m:oMath>
        <m:r>
          <w:rPr>
            <w:rFonts w:ascii="Cambria Math" w:hAnsi="Cambria Math"/>
            <w:sz w:val="22"/>
            <w:szCs w:val="22"/>
          </w:rPr>
          <m:t>n</m:t>
        </m:r>
      </m:oMath>
      <w:r w:rsidRPr="00CC2F84">
        <w:rPr>
          <w:rFonts w:ascii="Helvetica" w:hAnsi="Helvetica"/>
          <w:sz w:val="22"/>
          <w:szCs w:val="22"/>
        </w:rPr>
        <w:t xml:space="preserve"> in county </w:t>
      </w:r>
      <m:oMath>
        <m:r>
          <w:rPr>
            <w:rFonts w:ascii="Cambria Math" w:hAnsi="Cambria Math"/>
            <w:sz w:val="22"/>
            <w:szCs w:val="22"/>
          </w:rPr>
          <m:t>i</m:t>
        </m:r>
      </m:oMath>
      <w:r w:rsidRPr="00CC2F84">
        <w:rPr>
          <w:rFonts w:ascii="Helvetica" w:hAnsi="Helvetica"/>
          <w:sz w:val="22"/>
          <w:szCs w:val="22"/>
        </w:rPr>
        <w:t xml:space="preserve"> according to the ACS data, </w:t>
      </w:r>
      <m:oMath>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crowded households in county </w:t>
      </w:r>
      <m:oMath>
        <m:r>
          <w:rPr>
            <w:rFonts w:ascii="Cambria Math" w:hAnsi="Cambria Math"/>
            <w:sz w:val="22"/>
            <w:szCs w:val="22"/>
          </w:rPr>
          <m:t>i</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agricultural workers in county </w:t>
      </w:r>
      <m:oMath>
        <m:r>
          <w:rPr>
            <w:rFonts w:ascii="Cambria Math" w:hAnsi="Cambria Math"/>
            <w:sz w:val="22"/>
            <w:szCs w:val="22"/>
          </w:rPr>
          <m:t>i</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oMath>
      <w:r w:rsidRPr="00CC2F84">
        <w:rPr>
          <w:rFonts w:ascii="Helvetica" w:hAnsi="Helvetica"/>
          <w:sz w:val="22"/>
          <w:szCs w:val="22"/>
        </w:rPr>
        <w:t xml:space="preserve"> is the population size of county </w:t>
      </w:r>
      <m:oMath>
        <m:r>
          <w:rPr>
            <w:rFonts w:ascii="Cambria Math" w:hAnsi="Cambria Math"/>
            <w:sz w:val="22"/>
            <w:szCs w:val="22"/>
          </w:rPr>
          <m:t>i</m:t>
        </m:r>
      </m:oMath>
      <w:r w:rsidRPr="00CC2F84">
        <w:rPr>
          <w:rFonts w:ascii="Helvetica" w:hAnsi="Helvetica"/>
          <w:sz w:val="22"/>
          <w:szCs w:val="22"/>
        </w:rPr>
        <w:t>. We re-normalized</w:t>
      </w:r>
    </w:p>
    <w:p w14:paraId="40FCB26F"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395615C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to ensure</w:t>
      </w:r>
    </w:p>
    <w:p w14:paraId="368D6741"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m:oMathPara>
    </w:p>
    <w:p w14:paraId="69BEEFCB"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t>
      </w:r>
    </w:p>
    <w:p w14:paraId="5D022E03"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lastRenderedPageBreak/>
        <w:t>Household sizes for agricultural workers were derived from the NAWS D52 variable (total number of people sleeping in the housing unit). Households of size 7 or greater were grouped into a single “7+” category for consistency with the ACS data. Crowding status was derived from the CROWDED1 variable. Both household size and crowding data were weighted using the NAWS survey weights (PWTYCRD) and summarized by NAWS region.</w:t>
      </w:r>
    </w:p>
    <w:p w14:paraId="37AC1F2D" w14:textId="77777777" w:rsidR="00AB7EBC" w:rsidRPr="00CC2F84" w:rsidRDefault="006B4661" w:rsidP="00CC2F84">
      <w:pPr>
        <w:pStyle w:val="Heading4"/>
        <w:jc w:val="both"/>
        <w:rPr>
          <w:rFonts w:ascii="Helvetica" w:hAnsi="Helvetica"/>
          <w:color w:val="auto"/>
          <w:sz w:val="22"/>
          <w:szCs w:val="22"/>
        </w:rPr>
      </w:pPr>
      <w:bookmarkStart w:id="87" w:name="X904ccea8e9efaddc62d5482f5d5424e1e1548bd"/>
      <w:bookmarkEnd w:id="85"/>
      <w:r w:rsidRPr="00CC2F84">
        <w:rPr>
          <w:rFonts w:ascii="Helvetica" w:hAnsi="Helvetica"/>
          <w:color w:val="auto"/>
          <w:sz w:val="22"/>
          <w:szCs w:val="22"/>
        </w:rPr>
        <w:t>Data processing: calculating crowding by household size</w:t>
      </w:r>
    </w:p>
    <w:p w14:paraId="6134E5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In both the ACS and NAWS datasets, household size and household crowding are reported separately, but for the disease transmission model, we required the proportion of households of a given size that are crowded. To assign crowding probabilities by household size, we used a linear relationship where larger households are progressively more likely to be crowded. For a household of size </w:t>
      </w:r>
      <m:oMath>
        <m:r>
          <w:rPr>
            <w:rFonts w:ascii="Cambria Math" w:hAnsi="Cambria Math"/>
            <w:sz w:val="22"/>
            <w:szCs w:val="22"/>
          </w:rPr>
          <m:t>n</m:t>
        </m:r>
      </m:oMath>
      <w:r w:rsidRPr="00CC2F84">
        <w:rPr>
          <w:rFonts w:ascii="Helvetica" w:hAnsi="Helvetica"/>
          <w:sz w:val="22"/>
          <w:szCs w:val="22"/>
        </w:rPr>
        <w:t>, we defined a crowding multiplier:</w:t>
      </w:r>
    </w:p>
    <w:p w14:paraId="45508085"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m>
                <m:mPr>
                  <m:plcHide m:val="1"/>
                  <m:mcs>
                    <m:mc>
                      <m:mcPr>
                        <m:count m:val="2"/>
                        <m:mcJc m:val="left"/>
                      </m:mcPr>
                    </m:mc>
                  </m:mcs>
                  <m:ctrlPr>
                    <w:rPr>
                      <w:rFonts w:ascii="Cambria Math" w:hAnsi="Cambria Math"/>
                      <w:sz w:val="22"/>
                      <w:szCs w:val="22"/>
                    </w:rPr>
                  </m:ctrlPr>
                </m:mPr>
                <m:mr>
                  <m:e>
                    <m:r>
                      <w:rPr>
                        <w:rFonts w:ascii="Cambria Math" w:hAnsi="Cambria Math"/>
                        <w:sz w:val="22"/>
                        <w:szCs w:val="22"/>
                      </w:rPr>
                      <m:t>0</m:t>
                    </m:r>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e>
                </m:mr>
                <m:mr>
                  <m:e>
                    <m:r>
                      <w:rPr>
                        <w:rFonts w:ascii="Cambria Math" w:hAnsi="Cambria Math"/>
                        <w:sz w:val="22"/>
                        <w:szCs w:val="22"/>
                      </w:rPr>
                      <m:t> 1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num>
                      <m:den>
                        <m:r>
                          <w:rPr>
                            <w:rFonts w:ascii="Cambria Math" w:hAnsi="Cambria Math"/>
                            <w:sz w:val="22"/>
                            <w:szCs w:val="22"/>
                          </w:rPr>
                          <m:t>5</m:t>
                        </m:r>
                      </m:den>
                    </m:f>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e>
                </m:mr>
              </m:m>
            </m:e>
          </m:d>
        </m:oMath>
      </m:oMathPara>
    </w:p>
    <w:p w14:paraId="3C5F56B1" w14:textId="3349FF7C"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r>
          <w:rPr>
            <w:rFonts w:ascii="Cambria Math" w:hAnsi="Cambria Math"/>
            <w:sz w:val="22"/>
            <w:szCs w:val="22"/>
          </w:rPr>
          <m:t>d</m:t>
        </m:r>
      </m:oMath>
      <w:r w:rsidRPr="00CC2F84">
        <w:rPr>
          <w:rFonts w:ascii="Helvetica" w:hAnsi="Helvetica"/>
          <w:sz w:val="22"/>
          <w:szCs w:val="22"/>
        </w:rPr>
        <w:t xml:space="preserve"> is a crowding fold-difference parameter (the ratio of crowding probability for size-7 households to size-2 households). For example, when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w:t>
      </w:r>
      <m:oMath>
        <m:r>
          <w:rPr>
            <w:rFonts w:ascii="Cambria Math" w:hAnsi="Cambria Math"/>
            <w:sz w:val="22"/>
            <w:szCs w:val="22"/>
          </w:rPr>
          <m:t>w</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=0,1,1.2,1.4,1.6,1.8,2</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xml:space="preserve">. Note that it is impossible for size-1 households to be crowded. We treated households of size 7+ as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7</m:t>
        </m:r>
      </m:oMath>
      <w:r w:rsidRPr="00CC2F84">
        <w:rPr>
          <w:rFonts w:ascii="Helvetica" w:hAnsi="Helvetica"/>
          <w:sz w:val="22"/>
          <w:szCs w:val="22"/>
        </w:rPr>
        <w:t xml:space="preserve">. For a given region and sub-population, the probability that a household of size </w:t>
      </w:r>
      <m:oMath>
        <m:r>
          <w:rPr>
            <w:rFonts w:ascii="Cambria Math" w:hAnsi="Cambria Math"/>
            <w:sz w:val="22"/>
            <w:szCs w:val="22"/>
          </w:rPr>
          <m:t>n</m:t>
        </m:r>
      </m:oMath>
      <w:r w:rsidRPr="00CC2F84">
        <w:rPr>
          <w:rFonts w:ascii="Helvetica" w:hAnsi="Helvetica"/>
          <w:sz w:val="22"/>
          <w:szCs w:val="22"/>
        </w:rPr>
        <w:t xml:space="preserve"> is crowded is then:</w:t>
      </w:r>
    </w:p>
    <w:p w14:paraId="308D9F1D"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441DFB1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the constant </w:t>
      </w:r>
      <m:oMath>
        <m:r>
          <w:rPr>
            <w:rFonts w:ascii="Cambria Math" w:hAnsi="Cambria Math"/>
            <w:sz w:val="22"/>
            <w:szCs w:val="22"/>
          </w:rPr>
          <m:t>ξ</m:t>
        </m:r>
      </m:oMath>
      <w:r w:rsidRPr="00CC2F84">
        <w:rPr>
          <w:rFonts w:ascii="Helvetica" w:hAnsi="Helvetica"/>
          <w:sz w:val="22"/>
          <w:szCs w:val="22"/>
        </w:rPr>
        <w:t xml:space="preserve"> is chosen so that the total proportion of crowded households in the region, </w:t>
      </w: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matches the observed fraction of crowded households,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w:r w:rsidRPr="00CC2F84">
        <w:rPr>
          <w:rFonts w:ascii="Helvetica" w:hAnsi="Helvetica"/>
          <w:sz w:val="22"/>
          <w:szCs w:val="22"/>
        </w:rPr>
        <w:t xml:space="preserve"> (here,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that are size </w:t>
      </w:r>
      <m:oMath>
        <m:r>
          <w:rPr>
            <w:rFonts w:ascii="Cambria Math" w:hAnsi="Cambria Math"/>
            <w:sz w:val="22"/>
            <w:szCs w:val="22"/>
          </w:rPr>
          <m:t>n</m:t>
        </m:r>
      </m:oMath>
      <w:r w:rsidRPr="00CC2F84">
        <w:rPr>
          <w:rFonts w:ascii="Helvetica" w:hAnsi="Helvetica"/>
          <w:sz w:val="22"/>
          <w:szCs w:val="22"/>
        </w:rPr>
        <w:t>). Specifically,</w:t>
      </w:r>
    </w:p>
    <w:p w14:paraId="4D35ABB8"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num>
            <m:den>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1F0984F1" w14:textId="77F63110"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For example, for household size proportions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=0.1,0.2,0.3,0.2,0.1,0.05,0.05</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and for an overall crowding fraction of</w:t>
      </w:r>
    </w:p>
    <w:p w14:paraId="4B3DD5E3"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0.2</m:t>
          </m:r>
        </m:oMath>
      </m:oMathPara>
    </w:p>
    <w:p w14:paraId="1E43321E" w14:textId="3837C9BD" w:rsidR="00AB7EBC" w:rsidRPr="00CC2F84" w:rsidRDefault="006B4661">
      <w:pPr>
        <w:pStyle w:val="FirstParagraph"/>
        <w:rPr>
          <w:rFonts w:ascii="Helvetica" w:hAnsi="Helvetica"/>
          <w:sz w:val="22"/>
          <w:szCs w:val="22"/>
        </w:rPr>
      </w:pPr>
      <w:r w:rsidRPr="00CC2F84">
        <w:rPr>
          <w:rFonts w:ascii="Helvetica" w:hAnsi="Helvetica"/>
          <w:sz w:val="22"/>
          <w:szCs w:val="22"/>
        </w:rPr>
        <w:t>we have</w:t>
      </w:r>
    </w:p>
    <w:p w14:paraId="12E67BC6"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0.2</m:t>
              </m:r>
            </m:num>
            <m:den>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den>
          </m:f>
        </m:oMath>
      </m:oMathPara>
    </w:p>
    <w:p w14:paraId="2F270A5C"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oMath>
      </m:oMathPara>
    </w:p>
    <w:p w14:paraId="07C5447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which ensures that</w:t>
      </w:r>
    </w:p>
    <w:p w14:paraId="35DF4E6F"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2D0D8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m:oMathPara>
    </w:p>
    <w:p w14:paraId="31157B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m:oMathPara>
    </w:p>
    <w:p w14:paraId="20368E57" w14:textId="77777777" w:rsidR="00AB7EBC" w:rsidRPr="00CC2F84" w:rsidRDefault="006B4661" w:rsidP="00CC2F84">
      <w:pPr>
        <w:pStyle w:val="Heading4"/>
        <w:jc w:val="both"/>
        <w:rPr>
          <w:rFonts w:ascii="Helvetica" w:hAnsi="Helvetica"/>
          <w:color w:val="auto"/>
          <w:sz w:val="22"/>
          <w:szCs w:val="22"/>
        </w:rPr>
      </w:pPr>
      <w:bookmarkStart w:id="88" w:name="X92c3e3162e5a3712ec25fd07495cbc9dbab31c8"/>
      <w:bookmarkEnd w:id="87"/>
      <w:r w:rsidRPr="00CC2F84">
        <w:rPr>
          <w:rFonts w:ascii="Helvetica" w:hAnsi="Helvetica"/>
          <w:color w:val="auto"/>
          <w:sz w:val="22"/>
          <w:szCs w:val="22"/>
        </w:rPr>
        <w:lastRenderedPageBreak/>
        <w:t>Data processing: imputing county-level household characteristics for agricultural workers</w:t>
      </w:r>
    </w:p>
    <w:p w14:paraId="67FF680F" w14:textId="55FBE60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NAWS dataset reports household characteristics for agricultural workers at the regional level only, while the ACS provides county-level data for the general population. While our main analysis was at the regional level, we also performed a county-level analysis to assess within-region variation in outbreak disparities between </w:t>
      </w:r>
      <w:r w:rsidR="003C64F0" w:rsidRPr="00CC2F84">
        <w:rPr>
          <w:rFonts w:ascii="Helvetica" w:hAnsi="Helvetica"/>
          <w:sz w:val="22"/>
          <w:szCs w:val="22"/>
        </w:rPr>
        <w:t>agricultural</w:t>
      </w:r>
      <w:r w:rsidRPr="00CC2F84">
        <w:rPr>
          <w:rFonts w:ascii="Helvetica" w:hAnsi="Helvetica"/>
          <w:sz w:val="22"/>
          <w:szCs w:val="22"/>
        </w:rPr>
        <w:t xml:space="preserve"> workers and the general community. To generate county-level population estimates for agricultural workers, we used county-level ACS variation to adjust the regional NAWS values. The underlying assumption is that county-level variation among agricultural workers follows a similar pattern to county-level variation in the general population; i.e., if a county’s general population has larger households than the regional average, agricultural workers in that county likely also have larger households than the regional average for agricultural workers.</w:t>
      </w:r>
    </w:p>
    <w:p w14:paraId="4C47FA17"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imputed county-level NAWS values using three methods (</w:t>
      </w:r>
      <w:r w:rsidRPr="00CC2F84">
        <w:rPr>
          <w:rFonts w:ascii="Helvetica" w:hAnsi="Helvetica"/>
          <w:b/>
          <w:bCs/>
          <w:sz w:val="22"/>
          <w:szCs w:val="22"/>
        </w:rPr>
        <w:t>Figures S2 and S3</w:t>
      </w:r>
      <w:r w:rsidRPr="00CC2F84">
        <w:rPr>
          <w:rFonts w:ascii="Helvetica" w:hAnsi="Helvetica"/>
          <w:sz w:val="22"/>
          <w:szCs w:val="22"/>
        </w:rPr>
        <w:t>):</w:t>
      </w:r>
    </w:p>
    <w:p w14:paraId="00521AC1"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Additive method.</w:t>
      </w:r>
      <w:r w:rsidRPr="00CC2F84">
        <w:rPr>
          <w:rFonts w:ascii="Helvetica" w:hAnsi="Helvetica"/>
          <w:sz w:val="22"/>
          <w:szCs w:val="22"/>
        </w:rPr>
        <w:t xml:space="preserve"> We shifted regional NAWS values by the difference between county-level and regional mean ACS values:</w:t>
      </w:r>
    </w:p>
    <w:p w14:paraId="68D8FBC8"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)∝max</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e>
              </m:d>
            </m:e>
          </m:d>
        </m:oMath>
      </m:oMathPara>
    </w:p>
    <w:p w14:paraId="6740252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d>
        </m:oMath>
      </m:oMathPara>
    </w:p>
    <w:p w14:paraId="22DE87A3"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Household size proportions were clamped to be non-negative before renormalization, and the crowding proportion was clamped to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(i.e., values below 0 were set to 0 and values above 1 were set to 1).</w:t>
      </w:r>
    </w:p>
    <w:p w14:paraId="4E0647B7"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Multiplicative method.</w:t>
      </w:r>
      <w:r w:rsidRPr="00CC2F84">
        <w:rPr>
          <w:rFonts w:ascii="Helvetica" w:hAnsi="Helvetica"/>
          <w:sz w:val="22"/>
          <w:szCs w:val="22"/>
        </w:rPr>
        <w:t xml:space="preserve"> We scaled regional NAWS values by the ratio of county-level to regional mean ACS values:</w:t>
      </w:r>
    </w:p>
    <w:p w14:paraId="61FA069A"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4FDC3AF4"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den>
          </m:f>
        </m:oMath>
      </m:oMathPara>
    </w:p>
    <w:p w14:paraId="4ECE89E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household size distribution was renormalized to sum to 1, and the crowding proportion was clamped to the interval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w:t>
      </w:r>
    </w:p>
    <w:p w14:paraId="648CD534"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Null method.</w:t>
      </w:r>
      <w:r w:rsidRPr="00CC2F84">
        <w:rPr>
          <w:rFonts w:ascii="Helvetica" w:hAnsi="Helvetica"/>
          <w:sz w:val="22"/>
          <w:szCs w:val="22"/>
        </w:rPr>
        <w:t xml:space="preserve"> We used regional NAWS values directly without adjustment:</w:t>
      </w:r>
    </w:p>
    <w:p w14:paraId="09DC22E1"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D32D64C"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oMath>
      </m:oMathPara>
    </w:p>
    <w:p w14:paraId="0254032C"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This method assumes no county-level variation in agricultural worker household characteristics within a region.</w:t>
      </w:r>
    </w:p>
    <w:p w14:paraId="6C0A4F20" w14:textId="77777777" w:rsidR="00AB7EBC" w:rsidRPr="00CC2F84" w:rsidRDefault="006B4661" w:rsidP="00CC2F84">
      <w:pPr>
        <w:pStyle w:val="Heading4"/>
        <w:jc w:val="both"/>
        <w:rPr>
          <w:rFonts w:ascii="Helvetica" w:hAnsi="Helvetica"/>
          <w:color w:val="auto"/>
          <w:sz w:val="22"/>
          <w:szCs w:val="22"/>
        </w:rPr>
      </w:pPr>
      <w:bookmarkStart w:id="89" w:name="X524d192d51cd578547437be67fc1c7566ab48a6"/>
      <w:bookmarkEnd w:id="88"/>
      <w:r w:rsidRPr="00CC2F84">
        <w:rPr>
          <w:rFonts w:ascii="Helvetica" w:hAnsi="Helvetica"/>
          <w:color w:val="auto"/>
          <w:sz w:val="22"/>
          <w:szCs w:val="22"/>
        </w:rPr>
        <w:t>Data processing: assessing the validity of crop movements as a proxy for harvest</w:t>
      </w:r>
    </w:p>
    <w:p w14:paraId="628A7BE8" w14:textId="4453972B"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We used crop movements (point-to-point shipments) reported by the USDA as a proxy for harvest volumes of oranges, iceberg lettuce, and strawberries. Few available data sources capture crop-specific harvest volumes at sub-annual temporal resolution, whereas we needed information on the seasonality of harvesting to assess the potential impact of epidemic timing on crop production. </w:t>
      </w:r>
      <w:r w:rsidRPr="00CC2F84">
        <w:rPr>
          <w:rFonts w:ascii="Helvetica" w:hAnsi="Helvetica"/>
          <w:sz w:val="22"/>
          <w:szCs w:val="22"/>
        </w:rPr>
        <w:lastRenderedPageBreak/>
        <w:t>To validate the relationship between crop movements and harvests, we cross-referenced normalized average weekly crop movement volumes against independent harvest information for the same crops from University of California Agriculture and Natural Resources Cooperative Extension reports (</w:t>
      </w:r>
      <w:r w:rsidRPr="00CC2F84">
        <w:rPr>
          <w:rFonts w:ascii="Helvetica" w:hAnsi="Helvetica"/>
          <w:b/>
          <w:bCs/>
          <w:sz w:val="22"/>
          <w:szCs w:val="22"/>
        </w:rPr>
        <w:t>Figure S1</w:t>
      </w:r>
      <w:r w:rsidR="00EF399A">
        <w:rPr>
          <w:rFonts w:ascii="Helvetica" w:hAnsi="Helvetica"/>
          <w:b/>
          <w:bCs/>
          <w:sz w:val="22"/>
          <w:szCs w:val="22"/>
        </w:rPr>
        <w:t>3</w:t>
      </w:r>
      <w:r w:rsidRPr="00CC2F84">
        <w:rPr>
          <w:rFonts w:ascii="Helvetica" w:hAnsi="Helvetica"/>
          <w:sz w:val="22"/>
          <w:szCs w:val="22"/>
        </w:rPr>
        <w:t>).</w:t>
      </w:r>
      <w:r w:rsidR="00BD7EE7">
        <w:rPr>
          <w:rFonts w:ascii="Helvetica" w:hAnsi="Helvetica"/>
          <w:sz w:val="22"/>
          <w:szCs w:val="22"/>
        </w:rPr>
        <w:fldChar w:fldCharType="begin"/>
      </w:r>
      <w:r w:rsidR="00BE3D78">
        <w:rPr>
          <w:rFonts w:ascii="Helvetica" w:hAnsi="Helvetica"/>
          <w:sz w:val="22"/>
          <w:szCs w:val="22"/>
        </w:rPr>
        <w:instrText xml:space="preserve"> ADDIN ZOTERO_ITEM CSL_CITATION {"citationID":"56WKGhf2","properties":{"formattedCitation":"\\super 42\\uc0\\u8211{}44\\nosupersub{}","plainCitation":"42–44","noteIndex":0},"citationItems":[{"id":3174,"uris":["http://zotero.org/users/10934876/items/6TGFH5NT"],"itemData":{"id":3174,"type":"report","publisher":"University of California Agriculture and Natural Resources Cooperative Extension; UC Davis Department of Agricultural and Resource Economics","title":"Sample costs to establish an orchard and produce oranges: San Joaquin Valley - South","URL":"https://coststudyfiles.ucdavis.edu/uploads/pub/2021/08/12/2021orangessjvsouth.pdf","author":[{"literal":"Craig E. Kallsen"},{"literal":"Greg W Douhan"},{"literal":"Karen Jetter"},{"literal":"Donald Stewart"},{"literal":"Daniel A. Sumner"}],"accessed":{"date-parts":[["2026",3,18]]},"issued":{"date-parts":[["2021"]]}}},{"id":3175,"uris":["http://zotero.org/users/10934876/items/Y77YEDYR"],"itemData":{"id":3175,"type":"report","publisher":"University of California Agriculture and Natural Resources Cooperative Extension; UC Davis Department of Agricultural and Resource Economics","title":"Sample costs to produce and harvest film wrapped iceberg lettuce: Central Coast Region","URL":"https://coststudyfiles.ucdavis.edu/uploads/pub/2023/08/04/2023-iceberglettuce-full-final.pdf","author":[{"literal":"Laura Tourte"},{"literal":"Richard Smith"},{"literal":"Jeremy Murdock"},{"literal":"Brittney Goodrich"}],"accessed":{"date-parts":[["2026",3,18]]},"issued":{"date-parts":[["2023"]]}}},{"id":3176,"uris":["http://zotero.org/users/10934876/items/MNSXJUFX"],"itemData":{"id":3176,"type":"report","publisher":"University of California Agriculture and Natural Resources Cooperative Extension; UC Davis Department of Agricultural and Resource Economics","title":"Sample costs to produce and harvest strawberries: Central Coast Region","URL":"https://coststudyfiles.ucdavis.edu/2024/04/04/2024Strawberry-FULL-FINAL-March2024.pdf","author":[{"literal":"Mark Bolda"},{"literal":"Laura Tourte"},{"literal":"Jeremy Murdock"},{"literal":"Brittney Goodrich"}],"accessed":{"date-parts":[["2026",3,18]]},"issued":{"date-parts":[["2024"]]}}}],"schema":"https://github.com/citation-style-language/schema/raw/master/csl-citation.json"} </w:instrText>
      </w:r>
      <w:r w:rsidR="00BD7EE7">
        <w:rPr>
          <w:rFonts w:ascii="Helvetica" w:hAnsi="Helvetica"/>
          <w:sz w:val="22"/>
          <w:szCs w:val="22"/>
        </w:rPr>
        <w:fldChar w:fldCharType="separate"/>
      </w:r>
      <w:r w:rsidR="00BE3D78" w:rsidRPr="00BE3D78">
        <w:rPr>
          <w:rFonts w:ascii="Helvetica" w:hAnsi="Helvetica" w:cs="Times New Roman"/>
          <w:sz w:val="22"/>
          <w:vertAlign w:val="superscript"/>
        </w:rPr>
        <w:t>42–44</w:t>
      </w:r>
      <w:r w:rsidR="00BD7EE7">
        <w:rPr>
          <w:rFonts w:ascii="Helvetica" w:hAnsi="Helvetica"/>
          <w:sz w:val="22"/>
          <w:szCs w:val="22"/>
        </w:rPr>
        <w:fldChar w:fldCharType="end"/>
      </w:r>
      <w:r w:rsidRPr="00CC2F84">
        <w:rPr>
          <w:rFonts w:ascii="Helvetica" w:hAnsi="Helvetica"/>
          <w:sz w:val="22"/>
          <w:szCs w:val="22"/>
        </w:rPr>
        <w:t xml:space="preserve"> For strawberries, the report gives the fraction of total annual harvest occurring in each month for the Central Coast Region of California (Santa Cruz, Monterey, and San Benito Counties): 5% in April, 12% in May, 25% in June, 26% in July, 18% in August, 12% in September, and 2% in October. For navel oranges, the report states that fruits in the San Joaquin Valley are “normally harvested from November to June”. For iceberg lettuce, the report states that planting in the Central Coast Region occurs “continuously from late December to mid-August” and that plants take up to 100 days to mature for cool-season plantings, with shorter maturation times in the warmer season.</w:t>
      </w:r>
    </w:p>
    <w:p w14:paraId="75C058A8" w14:textId="552E19B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overlaid this information on the normalized crop movement data (</w:t>
      </w:r>
      <w:r w:rsidRPr="00CC2F84">
        <w:rPr>
          <w:rFonts w:ascii="Helvetica" w:hAnsi="Helvetica"/>
          <w:b/>
          <w:bCs/>
          <w:sz w:val="22"/>
          <w:szCs w:val="22"/>
        </w:rPr>
        <w:t>Figure S1</w:t>
      </w:r>
      <w:r w:rsidR="00EF399A">
        <w:rPr>
          <w:rFonts w:ascii="Helvetica" w:hAnsi="Helvetica"/>
          <w:b/>
          <w:bCs/>
          <w:sz w:val="22"/>
          <w:szCs w:val="22"/>
        </w:rPr>
        <w:t>3</w:t>
      </w:r>
      <w:r w:rsidRPr="00CC2F84">
        <w:rPr>
          <w:rFonts w:ascii="Helvetica" w:hAnsi="Helvetica"/>
          <w:sz w:val="22"/>
          <w:szCs w:val="22"/>
        </w:rPr>
        <w:t>). For strawberries, we converted the monthly harvest proportions to approximate weekly rates by dividing the monthly harvest proportions by the number of weeks in the month (e.g., by 4.28 for a 30-day month). For oranges, we showed the November-to-June harvest window as a horizontal bar. For</w:t>
      </w:r>
      <w:r w:rsidR="005F4590">
        <w:rPr>
          <w:rFonts w:ascii="Helvetica" w:hAnsi="Helvetica"/>
          <w:sz w:val="22"/>
          <w:szCs w:val="22"/>
        </w:rPr>
        <w:t xml:space="preserve"> iceberg</w:t>
      </w:r>
      <w:r w:rsidRPr="00CC2F84">
        <w:rPr>
          <w:rFonts w:ascii="Helvetica" w:hAnsi="Helvetica"/>
          <w:sz w:val="22"/>
          <w:szCs w:val="22"/>
        </w:rPr>
        <w:t xml:space="preserve"> lettuce, we displayed both the planting window (late December to mid-August) as a lighter bar and an estimated harvest window (approximately late March to early October, obtained by shifting the planting window forward by 100 days at the cool-season end and 50 days at the warm-season end) as a darker bar. There are differences in alignment between the crop movement data and the University of California reports; for example, the crop movement data place peak strawberry shipments in late April and early May, whereas the University of California report indicates peak harvests in June and July; and iceberg lettuce shipments are shifted somewhat later than the estimated harvest window. These discrepancies may reflect limitations of using crop movements as a proxy for harvests, but may also reflect the fact that the movement data capture shipments from across the entire state of California, while the University of California reports pertain to specific sub-regions. With this caveat, we conclude that the crop movement data provide a reasonable proxy for the seasonal pattern of crop harvests.</w:t>
      </w:r>
    </w:p>
    <w:p w14:paraId="6F161C04" w14:textId="77777777" w:rsidR="00AB7EBC" w:rsidRPr="00CC2F84" w:rsidRDefault="006B4661" w:rsidP="00CC2F84">
      <w:pPr>
        <w:pStyle w:val="Heading4"/>
        <w:jc w:val="both"/>
        <w:rPr>
          <w:rFonts w:ascii="Helvetica" w:hAnsi="Helvetica"/>
          <w:color w:val="auto"/>
          <w:sz w:val="22"/>
          <w:szCs w:val="22"/>
        </w:rPr>
      </w:pPr>
      <w:bookmarkStart w:id="90" w:name="mathematical-model-structure"/>
      <w:bookmarkEnd w:id="89"/>
      <w:r w:rsidRPr="00CC2F84">
        <w:rPr>
          <w:rFonts w:ascii="Helvetica" w:hAnsi="Helvetica"/>
          <w:color w:val="auto"/>
          <w:sz w:val="22"/>
          <w:szCs w:val="22"/>
        </w:rPr>
        <w:t>Mathematical model structure</w:t>
      </w:r>
    </w:p>
    <w:p w14:paraId="3E3DB0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The household-structured SIR model (</w:t>
      </w:r>
      <w:r w:rsidRPr="00CC2F84">
        <w:rPr>
          <w:rFonts w:ascii="Helvetica" w:hAnsi="Helvetica"/>
          <w:b/>
          <w:bCs/>
          <w:sz w:val="22"/>
          <w:szCs w:val="22"/>
        </w:rPr>
        <w:t>Figure S1</w:t>
      </w:r>
      <w:r w:rsidRPr="00CC2F84">
        <w:rPr>
          <w:rFonts w:ascii="Helvetica" w:hAnsi="Helvetica"/>
          <w:sz w:val="22"/>
          <w:szCs w:val="22"/>
        </w:rPr>
        <w:t xml:space="preserve">) tracks the distribution of households across disease states. Let </w:t>
      </w:r>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denote the number of households in population </w:t>
      </w:r>
      <m:oMath>
        <m:r>
          <w:rPr>
            <w:rFonts w:ascii="Cambria Math" w:hAnsi="Cambria Math"/>
            <w:sz w:val="22"/>
            <w:szCs w:val="22"/>
          </w:rPr>
          <m:t>k</m:t>
        </m:r>
      </m:oMath>
      <w:r w:rsidRPr="00CC2F84">
        <w:rPr>
          <w:rFonts w:ascii="Helvetica" w:hAnsi="Helvetica"/>
          <w:sz w:val="22"/>
          <w:szCs w:val="22"/>
        </w:rPr>
        <w:t xml:space="preserve"> (where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oMath>
      <w:r w:rsidRPr="00CC2F84">
        <w:rPr>
          <w:rFonts w:ascii="Helvetica" w:hAnsi="Helvetica"/>
          <w:sz w:val="22"/>
          <w:szCs w:val="22"/>
        </w:rPr>
        <w:t xml:space="preserve"> for community and agricultural populations) with </w:t>
      </w:r>
      <m:oMath>
        <m:r>
          <w:rPr>
            <w:rFonts w:ascii="Cambria Math" w:hAnsi="Cambria Math"/>
            <w:sz w:val="22"/>
            <w:szCs w:val="22"/>
          </w:rPr>
          <m:t>x</m:t>
        </m:r>
      </m:oMath>
      <w:r w:rsidRPr="00CC2F84">
        <w:rPr>
          <w:rFonts w:ascii="Helvetica" w:hAnsi="Helvetica"/>
          <w:sz w:val="22"/>
          <w:szCs w:val="22"/>
        </w:rPr>
        <w:t xml:space="preserve"> susceptible, </w:t>
      </w:r>
      <m:oMath>
        <m:r>
          <w:rPr>
            <w:rFonts w:ascii="Cambria Math" w:hAnsi="Cambria Math"/>
            <w:sz w:val="22"/>
            <w:szCs w:val="22"/>
          </w:rPr>
          <m:t>y</m:t>
        </m:r>
      </m:oMath>
      <w:r w:rsidRPr="00CC2F84">
        <w:rPr>
          <w:rFonts w:ascii="Helvetica" w:hAnsi="Helvetica"/>
          <w:sz w:val="22"/>
          <w:szCs w:val="22"/>
        </w:rPr>
        <w:t xml:space="preserve"> infected, and </w:t>
      </w:r>
      <m:oMath>
        <m:r>
          <w:rPr>
            <w:rFonts w:ascii="Cambria Math" w:hAnsi="Cambria Math"/>
            <w:sz w:val="22"/>
            <w:szCs w:val="22"/>
          </w:rPr>
          <m:t>z</m:t>
        </m:r>
      </m:oMath>
      <w:r w:rsidRPr="00CC2F84">
        <w:rPr>
          <w:rFonts w:ascii="Helvetica" w:hAnsi="Helvetica"/>
          <w:sz w:val="22"/>
          <w:szCs w:val="22"/>
        </w:rPr>
        <w:t xml:space="preserve"> recovered members, and crowding status </w:t>
      </w:r>
      <m:oMath>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The total household size is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oMath>
      <w:r w:rsidRPr="00CC2F84">
        <w:rPr>
          <w:rFonts w:ascii="Helvetica" w:hAnsi="Helvetica"/>
          <w:sz w:val="22"/>
          <w:szCs w:val="22"/>
        </w:rPr>
        <w:t>.</w:t>
      </w:r>
    </w:p>
    <w:p w14:paraId="5FA4348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The dynamics are governed by three types of transitions:</w:t>
      </w:r>
    </w:p>
    <w:p w14:paraId="397F2CB4"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Recovery transitions:</w:t>
      </w:r>
      <w:r w:rsidRPr="00CC2F84">
        <w:rPr>
          <w:rFonts w:ascii="Helvetica" w:hAnsi="Helvetica"/>
          <w:sz w:val="22"/>
          <w:szCs w:val="22"/>
        </w:rPr>
        <w:t xml:space="preserve"> Infected individuals recover at rate </w:t>
      </w:r>
      <m:oMath>
        <m:r>
          <w:rPr>
            <w:rFonts w:ascii="Cambria Math" w:hAnsi="Cambria Math"/>
            <w:sz w:val="22"/>
            <w:szCs w:val="22"/>
          </w:rPr>
          <m:t>γ</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Recovery rate</m:t>
        </m:r>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5EE2C82F"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Within-household transmission:</w:t>
      </w:r>
      <w:r w:rsidRPr="00CC2F84">
        <w:rPr>
          <w:rFonts w:ascii="Helvetica" w:hAnsi="Helvetica"/>
          <w:sz w:val="22"/>
          <w:szCs w:val="22"/>
        </w:rPr>
        <w:t xml:space="preserve"> Susceptible individuals are infected by household members at rate </w:t>
      </w:r>
      <m:oMath>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base</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c</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Within-household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3D26A843"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Between-household transmission:</w:t>
      </w:r>
      <w:r w:rsidRPr="00CC2F84">
        <w:rPr>
          <w:rFonts w:ascii="Helvetica" w:hAnsi="Helvetica"/>
          <w:sz w:val="22"/>
          <w:szCs w:val="22"/>
        </w:rPr>
        <w:t xml:space="preserve"> Susceptible individuals are infected through community contacts at rate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oMath>
      <w:r w:rsidRPr="00CC2F84">
        <w:rPr>
          <w:rFonts w:ascii="Helvetica" w:hAnsi="Helvetica"/>
          <w:sz w:val="22"/>
          <w:szCs w:val="22"/>
        </w:rPr>
        <w:t xml:space="preserve">, determined by the mixing matrix and overall prevalence in each population: </w:t>
      </w:r>
      <m:oMath>
        <m:r>
          <m:rPr>
            <m:nor/>
          </m:rPr>
          <w:rPr>
            <w:rFonts w:ascii="Helvetica" w:hAnsi="Helvetica"/>
            <w:sz w:val="22"/>
            <w:szCs w:val="22"/>
          </w:rPr>
          <m:t>Between-household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0F11EF7B"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between-household force of infection for population </w:t>
      </w:r>
      <m:oMath>
        <m:r>
          <w:rPr>
            <w:rFonts w:ascii="Cambria Math" w:hAnsi="Cambria Math"/>
            <w:sz w:val="22"/>
            <w:szCs w:val="22"/>
          </w:rPr>
          <m:t>k</m:t>
        </m:r>
      </m:oMath>
      <w:r w:rsidRPr="00CC2F84">
        <w:rPr>
          <w:rFonts w:ascii="Helvetica" w:hAnsi="Helvetica"/>
          <w:sz w:val="22"/>
          <w:szCs w:val="22"/>
        </w:rPr>
        <w:t xml:space="preserve"> is: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β</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kk</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kj</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j</m:t>
                </m:r>
              </m:sub>
            </m:sSub>
          </m:e>
        </m:d>
      </m:oMath>
    </w:p>
    <w:p w14:paraId="3E1CECB1" w14:textId="77777777" w:rsidR="00AB7EBC" w:rsidRPr="00CC2F84" w:rsidRDefault="006B4661">
      <w:pPr>
        <w:pStyle w:val="BodyText"/>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oMath>
      <w:r w:rsidRPr="00CC2F84">
        <w:rPr>
          <w:rFonts w:ascii="Helvetica" w:hAnsi="Helvetica"/>
          <w:sz w:val="22"/>
          <w:szCs w:val="22"/>
        </w:rPr>
        <w:t xml:space="preserve"> is the prevalence in population </w:t>
      </w:r>
      <m:oMath>
        <m:r>
          <w:rPr>
            <w:rFonts w:ascii="Cambria Math" w:hAnsi="Cambria Math"/>
            <w:sz w:val="22"/>
            <w:szCs w:val="22"/>
          </w:rPr>
          <m:t>k</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y</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n</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den>
        </m:f>
      </m:oMath>
    </w:p>
    <w:p w14:paraId="76B1262D" w14:textId="77777777" w:rsidR="00AB7EBC" w:rsidRPr="00CC2F84" w:rsidRDefault="006B4661">
      <w:pPr>
        <w:pStyle w:val="BodyText"/>
        <w:rPr>
          <w:rFonts w:ascii="Helvetica" w:hAnsi="Helvetica"/>
          <w:sz w:val="22"/>
          <w:szCs w:val="22"/>
        </w:rPr>
      </w:pPr>
      <w:r w:rsidRPr="00CC2F84">
        <w:rPr>
          <w:rFonts w:ascii="Helvetica" w:hAnsi="Helvetica"/>
          <w:sz w:val="22"/>
          <w:szCs w:val="22"/>
        </w:rPr>
        <w:lastRenderedPageBreak/>
        <w:t>The mixing matrix elements are:</w:t>
      </w:r>
    </w:p>
    <w:p w14:paraId="0512916D"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CA</m:t>
                        </m:r>
                      </m:sub>
                    </m:sSub>
                  </m:e>
                </m:mr>
                <m:mr>
                  <m:e>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e>
                </m:mr>
              </m:m>
            </m:e>
          </m:d>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r>
                  <m:e>
                    <m:r>
                      <w:rPr>
                        <w:rFonts w:ascii="Cambria Math" w:hAnsi="Cambria Math"/>
                        <w:sz w:val="22"/>
                        <w:szCs w:val="22"/>
                      </w:rPr>
                      <m:t> </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
            </m:e>
          </m:d>
        </m:oMath>
      </m:oMathPara>
    </w:p>
    <w:p w14:paraId="3461A67D"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k</m:t>
                </m:r>
              </m:sub>
            </m:sSub>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sub>
            </m:sSub>
          </m:den>
        </m:f>
      </m:oMath>
      <w:r w:rsidRPr="00CC2F84">
        <w:rPr>
          <w:rFonts w:ascii="Helvetica" w:hAnsi="Helvetica"/>
          <w:sz w:val="22"/>
          <w:szCs w:val="22"/>
        </w:rPr>
        <w:t xml:space="preserve"> is the population fraction in group </w:t>
      </w:r>
      <m:oMath>
        <m:r>
          <w:rPr>
            <w:rFonts w:ascii="Cambria Math" w:hAnsi="Cambria Math"/>
            <w:sz w:val="22"/>
            <w:szCs w:val="22"/>
          </w:rPr>
          <m:t>k</m:t>
        </m:r>
      </m:oMath>
      <w:r w:rsidRPr="00CC2F84">
        <w:rPr>
          <w:rFonts w:ascii="Helvetica" w:hAnsi="Helvetica"/>
          <w:sz w:val="22"/>
          <w:szCs w:val="22"/>
        </w:rPr>
        <w:t>.</w:t>
      </w:r>
    </w:p>
    <w:p w14:paraId="213CE37A" w14:textId="77777777" w:rsidR="00AB7EBC" w:rsidRPr="00CC2F84" w:rsidRDefault="006B4661">
      <w:pPr>
        <w:pStyle w:val="BodyText"/>
        <w:rPr>
          <w:rFonts w:ascii="Helvetica" w:hAnsi="Helvetica"/>
          <w:sz w:val="22"/>
          <w:szCs w:val="22"/>
        </w:rPr>
      </w:pPr>
      <w:r w:rsidRPr="00CC2F84">
        <w:rPr>
          <w:rFonts w:ascii="Helvetica" w:hAnsi="Helvetica"/>
          <w:sz w:val="22"/>
          <w:szCs w:val="22"/>
        </w:rPr>
        <w:t xml:space="preserve">The complete system of ordinary differential equations is: </w:t>
      </w:r>
      <m:oMath>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r>
              <w:rPr>
                <w:rFonts w:ascii="Cambria Math" w:hAnsi="Cambria Math"/>
                <w:sz w:val="22"/>
                <w:szCs w:val="22"/>
              </w:rPr>
              <m:t>dt</m:t>
            </m:r>
          </m:den>
        </m:f>
        <m:r>
          <m:rPr>
            <m:sty m:val="p"/>
          </m:rPr>
          <w:rPr>
            <w:rFonts w:ascii="Cambria Math" w:hAnsi="Cambria Math"/>
            <w:sz w:val="22"/>
            <w:szCs w:val="22"/>
          </w:rPr>
          <m:t>=</m:t>
        </m:r>
        <m:r>
          <m:rPr>
            <m:nor/>
          </m:rPr>
          <w:rPr>
            <w:rFonts w:ascii="Helvetica" w:hAnsi="Helvetica"/>
            <w:sz w:val="22"/>
            <w:szCs w:val="22"/>
          </w:rPr>
          <m:t>inflow</m:t>
        </m:r>
        <m:r>
          <m:rPr>
            <m:sty m:val="p"/>
          </m:rPr>
          <w:rPr>
            <w:rFonts w:ascii="Cambria Math" w:hAnsi="Cambria Math"/>
            <w:sz w:val="22"/>
            <w:szCs w:val="22"/>
          </w:rPr>
          <m:t>-</m:t>
        </m:r>
        <m:r>
          <m:rPr>
            <m:nor/>
          </m:rPr>
          <w:rPr>
            <w:rFonts w:ascii="Helvetica" w:hAnsi="Helvetica"/>
            <w:sz w:val="22"/>
            <w:szCs w:val="22"/>
          </w:rPr>
          <m:t>outflow</m:t>
        </m:r>
      </m:oMath>
    </w:p>
    <w:p w14:paraId="37EF7F8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where inflow includes households transitioning into this state via infection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or recovery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and outflow includes households leaving this state through infection or recovery.</w:t>
      </w:r>
    </w:p>
    <w:p w14:paraId="79FC77CB" w14:textId="77777777" w:rsidR="00AB7EBC" w:rsidRPr="00CC2F84" w:rsidRDefault="006B4661" w:rsidP="00CC2F84">
      <w:pPr>
        <w:pStyle w:val="Heading4"/>
        <w:jc w:val="both"/>
        <w:rPr>
          <w:rFonts w:ascii="Helvetica" w:hAnsi="Helvetica"/>
          <w:color w:val="auto"/>
          <w:sz w:val="22"/>
          <w:szCs w:val="22"/>
        </w:rPr>
      </w:pPr>
      <w:bookmarkStart w:id="91" w:name="mathematical-model-parameterization"/>
      <w:bookmarkEnd w:id="90"/>
      <w:r w:rsidRPr="00CC2F84">
        <w:rPr>
          <w:rFonts w:ascii="Helvetica" w:hAnsi="Helvetica"/>
          <w:color w:val="auto"/>
          <w:sz w:val="22"/>
          <w:szCs w:val="22"/>
        </w:rPr>
        <w:t>Mathematical model parameterization</w:t>
      </w:r>
    </w:p>
    <w:p w14:paraId="658C9C75" w14:textId="77777777" w:rsidR="00AB7EBC" w:rsidRPr="00CC2F84" w:rsidRDefault="006B4661" w:rsidP="00CC2F84">
      <w:pPr>
        <w:pStyle w:val="FirstParagraph"/>
        <w:jc w:val="both"/>
        <w:rPr>
          <w:rFonts w:ascii="Helvetica" w:hAnsi="Helvetica"/>
          <w:sz w:val="22"/>
          <w:szCs w:val="22"/>
        </w:rPr>
      </w:pPr>
      <w:commentRangeStart w:id="92"/>
      <w:r w:rsidRPr="00CC2F84">
        <w:rPr>
          <w:rFonts w:ascii="Helvetica" w:hAnsi="Helvetica"/>
          <w:sz w:val="22"/>
          <w:szCs w:val="22"/>
        </w:rPr>
        <w:t xml:space="preserve">We derived the within-household transmission rate, </w:t>
      </w:r>
      <m:oMath>
        <m:r>
          <w:rPr>
            <w:rFonts w:ascii="Cambria Math" w:hAnsi="Cambria Math"/>
            <w:sz w:val="22"/>
            <w:szCs w:val="22"/>
          </w:rPr>
          <m:t>τ</m:t>
        </m:r>
      </m:oMath>
      <w:r w:rsidRPr="00CC2F84">
        <w:rPr>
          <w:rFonts w:ascii="Helvetica" w:hAnsi="Helvetica"/>
          <w:sz w:val="22"/>
          <w:szCs w:val="22"/>
        </w:rPr>
        <w:t xml:space="preserve">, using the recovery rate </w:t>
      </w:r>
      <m:oMath>
        <m:r>
          <w:rPr>
            <w:rFonts w:ascii="Cambria Math" w:hAnsi="Cambria Math"/>
            <w:sz w:val="22"/>
            <w:szCs w:val="22"/>
          </w:rPr>
          <m:t>γ</m:t>
        </m:r>
      </m:oMath>
      <w:r w:rsidRPr="00CC2F84">
        <w:rPr>
          <w:rFonts w:ascii="Helvetica" w:hAnsi="Helvetica"/>
          <w:sz w:val="22"/>
          <w:szCs w:val="22"/>
        </w:rPr>
        <w:t xml:space="preserve"> and the secondary attack rate (SAR). The SAR is determined by the competing rates of within-household infection (</w:t>
      </w:r>
      <m:oMath>
        <m:r>
          <w:rPr>
            <w:rFonts w:ascii="Cambria Math" w:hAnsi="Cambria Math"/>
            <w:sz w:val="22"/>
            <w:szCs w:val="22"/>
          </w:rPr>
          <m:t>τ</m:t>
        </m:r>
      </m:oMath>
      <w:r w:rsidRPr="00CC2F84">
        <w:rPr>
          <w:rFonts w:ascii="Helvetica" w:hAnsi="Helvetica"/>
          <w:sz w:val="22"/>
          <w:szCs w:val="22"/>
        </w:rPr>
        <w:t>) and recovery (</w:t>
      </w:r>
      <m:oMath>
        <m:r>
          <w:rPr>
            <w:rFonts w:ascii="Cambria Math" w:hAnsi="Cambria Math"/>
            <w:sz w:val="22"/>
            <w:szCs w:val="22"/>
          </w:rPr>
          <m:t>γ</m:t>
        </m:r>
      </m:oMath>
      <w:r w:rsidRPr="00CC2F84">
        <w:rPr>
          <w:rFonts w:ascii="Helvetica" w:hAnsi="Helvetica"/>
          <w:sz w:val="22"/>
          <w:szCs w:val="22"/>
        </w:rPr>
        <w:t>). The probability that the susceptible individual is infected before the infectious index case recovers is:</w:t>
      </w:r>
      <w:commentRangeEnd w:id="92"/>
      <w:r w:rsidR="00956CEE" w:rsidRPr="00CC2F84">
        <w:rPr>
          <w:rStyle w:val="CommentReference"/>
          <w:rFonts w:ascii="Helvetica" w:hAnsi="Helvetica"/>
          <w:sz w:val="22"/>
          <w:szCs w:val="22"/>
        </w:rPr>
        <w:commentReference w:id="92"/>
      </w:r>
    </w:p>
    <w:p w14:paraId="5E5B1C21" w14:textId="77777777" w:rsidR="00AB7EBC" w:rsidRPr="00CC2F84" w:rsidRDefault="006B4661">
      <w:pPr>
        <w:pStyle w:val="BodyText"/>
        <w:rPr>
          <w:rFonts w:ascii="Helvetica" w:hAnsi="Helvetica"/>
          <w:sz w:val="22"/>
          <w:szCs w:val="22"/>
        </w:rPr>
      </w:pPr>
      <m:oMathPara>
        <m:oMathParaPr>
          <m:jc m:val="center"/>
        </m:oMathParaPr>
        <m:oMath>
          <m:r>
            <m:rPr>
              <m:nor/>
            </m:rPr>
            <w:rPr>
              <w:rFonts w:ascii="Helvetica" w:hAnsi="Helvetica"/>
              <w:sz w:val="22"/>
              <w:szCs w:val="22"/>
            </w:rPr>
            <m:t>SAR</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τ</m:t>
              </m:r>
            </m:num>
            <m:den>
              <m:r>
                <w:rPr>
                  <w:rFonts w:ascii="Cambria Math" w:hAnsi="Cambria Math"/>
                  <w:sz w:val="22"/>
                  <w:szCs w:val="22"/>
                </w:rPr>
                <m:t>τ</m:t>
              </m:r>
              <m:r>
                <m:rPr>
                  <m:sty m:val="p"/>
                </m:rPr>
                <w:rPr>
                  <w:rFonts w:ascii="Cambria Math" w:hAnsi="Cambria Math"/>
                  <w:sz w:val="22"/>
                  <w:szCs w:val="22"/>
                </w:rPr>
                <m:t>+</m:t>
              </m:r>
              <m:r>
                <w:rPr>
                  <w:rFonts w:ascii="Cambria Math" w:hAnsi="Cambria Math"/>
                  <w:sz w:val="22"/>
                  <w:szCs w:val="22"/>
                </w:rPr>
                <m:t>γ</m:t>
              </m:r>
            </m:den>
          </m:f>
        </m:oMath>
      </m:oMathPara>
    </w:p>
    <w:p w14:paraId="6852FFD8"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Solving for </w:t>
      </w:r>
      <m:oMath>
        <m:r>
          <w:rPr>
            <w:rFonts w:ascii="Cambria Math" w:hAnsi="Cambria Math"/>
            <w:sz w:val="22"/>
            <w:szCs w:val="22"/>
          </w:rPr>
          <m:t>τ</m:t>
        </m:r>
      </m:oMath>
      <w:r w:rsidRPr="00CC2F84">
        <w:rPr>
          <w:rFonts w:ascii="Helvetica" w:hAnsi="Helvetica"/>
          <w:sz w:val="22"/>
          <w:szCs w:val="22"/>
        </w:rPr>
        <w:t>:</w:t>
      </w:r>
    </w:p>
    <w:p w14:paraId="532DE3D9"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nor/>
                </m:rPr>
                <w:rPr>
                  <w:rFonts w:ascii="Helvetica" w:hAnsi="Helvetica"/>
                  <w:sz w:val="22"/>
                  <w:szCs w:val="22"/>
                </w:rPr>
                <m:t>SAR</m:t>
              </m:r>
              <m:r>
                <m:rPr>
                  <m:sty m:val="p"/>
                </m:rPr>
                <w:rPr>
                  <w:rFonts w:ascii="Cambria Math" w:hAnsi="Cambria Math"/>
                  <w:sz w:val="22"/>
                  <w:szCs w:val="22"/>
                </w:rPr>
                <m:t>⋅</m:t>
              </m:r>
              <m:r>
                <w:rPr>
                  <w:rFonts w:ascii="Cambria Math" w:hAnsi="Cambria Math"/>
                  <w:sz w:val="22"/>
                  <w:szCs w:val="22"/>
                </w:rPr>
                <m:t>γ</m:t>
              </m:r>
            </m:num>
            <m:den>
              <m:r>
                <w:rPr>
                  <w:rFonts w:ascii="Cambria Math" w:hAnsi="Cambria Math"/>
                  <w:sz w:val="22"/>
                  <w:szCs w:val="22"/>
                </w:rPr>
                <m:t>1</m:t>
              </m:r>
              <m:r>
                <m:rPr>
                  <m:sty m:val="p"/>
                </m:rPr>
                <w:rPr>
                  <w:rFonts w:ascii="Cambria Math" w:hAnsi="Cambria Math"/>
                  <w:sz w:val="22"/>
                  <w:szCs w:val="22"/>
                </w:rPr>
                <m:t>-</m:t>
              </m:r>
              <m:r>
                <m:rPr>
                  <m:nor/>
                </m:rPr>
                <w:rPr>
                  <w:rFonts w:ascii="Helvetica" w:hAnsi="Helvetica"/>
                  <w:sz w:val="22"/>
                  <w:szCs w:val="22"/>
                </w:rPr>
                <m:t>SAR</m:t>
              </m:r>
            </m:den>
          </m:f>
        </m:oMath>
      </m:oMathPara>
    </w:p>
    <w:p w14:paraId="228AE8A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For the baseline uncrowded SAR of 20% and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5</m:t>
        </m:r>
      </m:oMath>
      <w:r w:rsidRPr="00CC2F84">
        <w:rPr>
          <w:rFonts w:ascii="Helvetica" w:hAnsi="Helvetica"/>
          <w:sz w:val="22"/>
          <w:szCs w:val="22"/>
        </w:rPr>
        <w:t>:</w:t>
      </w:r>
    </w:p>
    <w:p w14:paraId="460B3870"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num>
            <m:den>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0.2</m:t>
              </m:r>
            </m:den>
          </m:f>
          <m:r>
            <m:rPr>
              <m:sty m:val="p"/>
            </m:rPr>
            <w:rPr>
              <w:rFonts w:ascii="Cambria Math" w:hAnsi="Cambria Math"/>
              <w:sz w:val="22"/>
              <w:szCs w:val="22"/>
            </w:rPr>
            <m:t>=</m:t>
          </m:r>
          <m:r>
            <w:rPr>
              <w:rFonts w:ascii="Cambria Math" w:hAnsi="Cambria Math"/>
              <w:sz w:val="22"/>
              <w:szCs w:val="22"/>
            </w:rPr>
            <m:t>0.05</m:t>
          </m:r>
        </m:oMath>
      </m:oMathPara>
    </w:p>
    <w:p w14:paraId="4871695C" w14:textId="77777777" w:rsidR="00A24C90" w:rsidRDefault="006B4661" w:rsidP="00CC2F84">
      <w:pPr>
        <w:pStyle w:val="FirstParagraph"/>
        <w:jc w:val="both"/>
        <w:rPr>
          <w:rFonts w:ascii="Helvetica" w:hAnsi="Helvetica"/>
          <w:sz w:val="22"/>
          <w:szCs w:val="22"/>
        </w:rPr>
      </w:pPr>
      <w:r w:rsidRPr="00CC2F84">
        <w:rPr>
          <w:rFonts w:ascii="Helvetica" w:hAnsi="Helvetica"/>
          <w:sz w:val="22"/>
          <w:szCs w:val="22"/>
        </w:rPr>
        <w:t xml:space="preserve">For crowded households, we computed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oMath>
      <w:r w:rsidRPr="00CC2F84">
        <w:rPr>
          <w:rFonts w:ascii="Helvetica" w:hAnsi="Helvetica"/>
          <w:sz w:val="22"/>
          <w:szCs w:val="22"/>
        </w:rPr>
        <w:t xml:space="preserve"> using the same formula with the crowded SAR, then defined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τ</m:t>
        </m:r>
      </m:oMath>
      <w:r w:rsidRPr="00CC2F84">
        <w:rPr>
          <w:rFonts w:ascii="Helvetica" w:hAnsi="Helvetica"/>
          <w:sz w:val="22"/>
          <w:szCs w:val="22"/>
        </w:rPr>
        <w:t xml:space="preserve">. For the baseline crowded SAR of 40%: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0.40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0.60</m:t>
        </m:r>
        <m:r>
          <m:rPr>
            <m:sty m:val="p"/>
          </m:rPr>
          <w:rPr>
            <w:rFonts w:ascii="Cambria Math" w:hAnsi="Cambria Math"/>
            <w:sz w:val="22"/>
            <w:szCs w:val="22"/>
          </w:rPr>
          <m:t>≈</m:t>
        </m:r>
        <m:r>
          <w:rPr>
            <w:rFonts w:ascii="Cambria Math" w:hAnsi="Cambria Math"/>
            <w:sz w:val="22"/>
            <w:szCs w:val="22"/>
          </w:rPr>
          <m:t>0.133</m:t>
        </m:r>
      </m:oMath>
      <w:r w:rsidRPr="00CC2F84">
        <w:rPr>
          <w:rFonts w:ascii="Helvetica" w:hAnsi="Helvetica"/>
          <w:sz w:val="22"/>
          <w:szCs w:val="22"/>
        </w:rPr>
        <w:t xml:space="preserve"> and thus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0.083</m:t>
        </m:r>
      </m:oMath>
      <w:r w:rsidRPr="00CC2F84">
        <w:rPr>
          <w:rFonts w:ascii="Helvetica" w:hAnsi="Helvetica"/>
          <w:sz w:val="22"/>
          <w:szCs w:val="22"/>
        </w:rPr>
        <w:t>.</w:t>
      </w:r>
      <w:r w:rsidR="00A24C90">
        <w:rPr>
          <w:rFonts w:ascii="Helvetica" w:hAnsi="Helvetica"/>
          <w:sz w:val="22"/>
          <w:szCs w:val="22"/>
        </w:rPr>
        <w:t xml:space="preserve"> </w:t>
      </w:r>
    </w:p>
    <w:p w14:paraId="3780F342" w14:textId="3631423E" w:rsidR="00AB7EBC" w:rsidRPr="00CC2F84" w:rsidRDefault="00A24C90" w:rsidP="00CC2F84">
      <w:pPr>
        <w:pStyle w:val="FirstParagraph"/>
        <w:jc w:val="both"/>
        <w:rPr>
          <w:rFonts w:ascii="Helvetica" w:hAnsi="Helvetica"/>
          <w:sz w:val="22"/>
          <w:szCs w:val="22"/>
        </w:rPr>
      </w:pPr>
      <w:r w:rsidRPr="00A24C90">
        <w:rPr>
          <w:rFonts w:ascii="Helvetica" w:hAnsi="Helvetica"/>
          <w:sz w:val="22"/>
          <w:szCs w:val="22"/>
        </w:rPr>
        <w:t xml:space="preserve">This derivation </w:t>
      </w:r>
      <w:r>
        <w:rPr>
          <w:rFonts w:ascii="Helvetica" w:hAnsi="Helvetica"/>
          <w:sz w:val="22"/>
          <w:szCs w:val="22"/>
        </w:rPr>
        <w:t xml:space="preserve">is based on </w:t>
      </w:r>
      <w:r w:rsidRPr="00A24C90">
        <w:rPr>
          <w:rFonts w:ascii="Helvetica" w:hAnsi="Helvetica"/>
          <w:sz w:val="22"/>
          <w:szCs w:val="22"/>
        </w:rPr>
        <w:t>the pairwise secondary attack rat</w:t>
      </w:r>
      <w:r>
        <w:rPr>
          <w:rFonts w:ascii="Helvetica" w:hAnsi="Helvetica"/>
          <w:sz w:val="22"/>
          <w:szCs w:val="22"/>
        </w:rPr>
        <w:t>e, i.e.,</w:t>
      </w:r>
      <w:r w:rsidRPr="00A24C90">
        <w:rPr>
          <w:rFonts w:ascii="Helvetica" w:hAnsi="Helvetica"/>
          <w:sz w:val="22"/>
          <w:szCs w:val="22"/>
        </w:rPr>
        <w:t xml:space="preserve"> the probability that a single susceptible household member is infected by a single infectious index case. In larger households, multiple generations of within-household transmission can produce realized attack rates that exceed this pairwise value. The simulation captures these dynamics, as the transmission model tracks all within-household infections over the course of an outbreak; the pairwise SAR is used here only to calibrate the within-household transmission rate τ.</w:t>
      </w:r>
    </w:p>
    <w:p w14:paraId="69010B4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Next, we calibrated the between-household transmission rate </w:t>
      </w:r>
      <m:oMath>
        <m:r>
          <w:rPr>
            <w:rFonts w:ascii="Cambria Math" w:hAnsi="Cambria Math"/>
            <w:sz w:val="22"/>
            <w:szCs w:val="22"/>
          </w:rPr>
          <m:t>β</m:t>
        </m:r>
      </m:oMath>
      <w:r w:rsidRPr="00CC2F84">
        <w:rPr>
          <w:rFonts w:ascii="Helvetica" w:hAnsi="Helvetica"/>
          <w:sz w:val="22"/>
          <w:szCs w:val="22"/>
        </w:rPr>
        <w:t xml:space="preserve"> to achieve target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values by running the model at the national level with aggregated ACS household data and systematically varying </w:t>
      </w:r>
      <m:oMath>
        <m:r>
          <w:rPr>
            <w:rFonts w:ascii="Cambria Math" w:hAnsi="Cambria Math"/>
            <w:sz w:val="22"/>
            <w:szCs w:val="22"/>
          </w:rPr>
          <m:t>β</m:t>
        </m:r>
      </m:oMath>
      <w:r w:rsidRPr="00CC2F84">
        <w:rPr>
          <w:rFonts w:ascii="Helvetica" w:hAnsi="Helvetica"/>
          <w:sz w:val="22"/>
          <w:szCs w:val="22"/>
        </w:rPr>
        <w:t xml:space="preserve"> until the final size matched theoretical predictions for the desired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For an SIR model, the relationship between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and final size,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oMath>
      <w:r w:rsidRPr="00CC2F84">
        <w:rPr>
          <w:rFonts w:ascii="Helvetica" w:hAnsi="Helvetica"/>
          <w:sz w:val="22"/>
          <w:szCs w:val="22"/>
        </w:rPr>
        <w:t xml:space="preserve">, is given implicitly by: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sup>
        </m:sSup>
      </m:oMath>
      <w:r w:rsidRPr="00CC2F84">
        <w:rPr>
          <w:rFonts w:ascii="Helvetica" w:hAnsi="Helvetica"/>
          <w:sz w:val="22"/>
          <w:szCs w:val="22"/>
        </w:rPr>
        <w:t xml:space="preserve">. For example,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1.5</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0.58</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3.0</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0.94</m:t>
        </m:r>
      </m:oMath>
      <w:r w:rsidRPr="00CC2F84">
        <w:rPr>
          <w:rFonts w:ascii="Helvetica" w:hAnsi="Helvetica"/>
          <w:sz w:val="22"/>
          <w:szCs w:val="22"/>
        </w:rPr>
        <w:t xml:space="preserve">. We used a bisection search algorithm to find </w:t>
      </w:r>
      <m:oMath>
        <m:r>
          <w:rPr>
            <w:rFonts w:ascii="Cambria Math" w:hAnsi="Cambria Math"/>
            <w:sz w:val="22"/>
            <w:szCs w:val="22"/>
          </w:rPr>
          <m:t>β</m:t>
        </m:r>
      </m:oMath>
      <w:r w:rsidRPr="00CC2F84">
        <w:rPr>
          <w:rFonts w:ascii="Helvetica" w:hAnsi="Helvetica"/>
          <w:sz w:val="22"/>
          <w:szCs w:val="22"/>
        </w:rPr>
        <w:t xml:space="preserve">, converging when the simulated final size was within 0.0005 of the theoretical value. Calibration was performed using a single-population simulation at the national level, with national household distributions computed as population-weighted averages of </w:t>
      </w:r>
      <w:r w:rsidRPr="00CC2F84">
        <w:rPr>
          <w:rFonts w:ascii="Helvetica" w:hAnsi="Helvetica"/>
          <w:sz w:val="22"/>
          <w:szCs w:val="22"/>
        </w:rPr>
        <w:lastRenderedPageBreak/>
        <w:t xml:space="preserve">all county-level ACS data. The calibrated </w:t>
      </w:r>
      <m:oMath>
        <m:r>
          <w:rPr>
            <w:rFonts w:ascii="Cambria Math" w:hAnsi="Cambria Math"/>
            <w:sz w:val="22"/>
            <w:szCs w:val="22"/>
          </w:rPr>
          <m:t>β</m:t>
        </m:r>
      </m:oMath>
      <w:r w:rsidRPr="00CC2F84">
        <w:rPr>
          <w:rFonts w:ascii="Helvetica" w:hAnsi="Helvetica"/>
          <w:sz w:val="22"/>
          <w:szCs w:val="22"/>
        </w:rPr>
        <w:t xml:space="preserve"> values were then used in the regional and county-level simulations. We assumed no difference in </w:t>
      </w:r>
      <m:oMath>
        <m:r>
          <w:rPr>
            <w:rFonts w:ascii="Cambria Math" w:hAnsi="Cambria Math"/>
            <w:sz w:val="22"/>
            <w:szCs w:val="22"/>
          </w:rPr>
          <m:t>β</m:t>
        </m:r>
      </m:oMath>
      <w:r w:rsidRPr="00CC2F84">
        <w:rPr>
          <w:rFonts w:ascii="Helvetica" w:hAnsi="Helvetica"/>
          <w:sz w:val="22"/>
          <w:szCs w:val="22"/>
        </w:rPr>
        <w:t xml:space="preserve"> between agricultural workers and the general community, so that all of the transmission differences in the model would come from differences in household size and crowding.</w:t>
      </w:r>
    </w:p>
    <w:p w14:paraId="6819CC7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We initialized outbreaks by setting 0.1% of individuals in each sub-population as infectious. To distribute these initial infections across household types, we moved a fraction </w:t>
      </w:r>
      <m:oMath>
        <m:r>
          <w:rPr>
            <w:rFonts w:ascii="Cambria Math" w:hAnsi="Cambria Math"/>
            <w:sz w:val="22"/>
            <w:szCs w:val="22"/>
          </w:rPr>
          <m:t>0.001</m:t>
        </m:r>
        <m:r>
          <m:rPr>
            <m:sty m:val="p"/>
          </m:rPr>
          <w:rPr>
            <w:rFonts w:ascii="Cambria Math" w:hAnsi="Cambria Math"/>
            <w:sz w:val="22"/>
            <w:szCs w:val="22"/>
          </w:rPr>
          <m:t>×</m:t>
        </m:r>
        <m:r>
          <w:rPr>
            <w:rFonts w:ascii="Cambria Math" w:hAnsi="Cambria Math"/>
            <w:sz w:val="22"/>
            <w:szCs w:val="22"/>
          </w:rPr>
          <m:t>n</m:t>
        </m:r>
      </m:oMath>
      <w:r w:rsidRPr="00CC2F84">
        <w:rPr>
          <w:rFonts w:ascii="Helvetica" w:hAnsi="Helvetica"/>
          <w:sz w:val="22"/>
          <w:szCs w:val="22"/>
        </w:rPr>
        <w:t xml:space="preserve"> of households of size </w:t>
      </w:r>
      <m:oMath>
        <m:r>
          <w:rPr>
            <w:rFonts w:ascii="Cambria Math" w:hAnsi="Cambria Math"/>
            <w:sz w:val="22"/>
            <w:szCs w:val="22"/>
          </w:rPr>
          <m:t>n</m:t>
        </m:r>
      </m:oMath>
      <w:r w:rsidRPr="00CC2F84">
        <w:rPr>
          <w:rFonts w:ascii="Helvetica" w:hAnsi="Helvetica"/>
          <w:sz w:val="22"/>
          <w:szCs w:val="22"/>
        </w:rPr>
        <w:t xml:space="preserve"> from the fully susceptible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to the single-infection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Because this fraction scales with household size </w:t>
      </w:r>
      <m:oMath>
        <m:r>
          <w:rPr>
            <w:rFonts w:ascii="Cambria Math" w:hAnsi="Cambria Math"/>
            <w:sz w:val="22"/>
            <w:szCs w:val="22"/>
          </w:rPr>
          <m:t>n</m:t>
        </m:r>
      </m:oMath>
      <w:r w:rsidRPr="00CC2F84">
        <w:rPr>
          <w:rFonts w:ascii="Helvetica" w:hAnsi="Helvetica"/>
          <w:sz w:val="22"/>
          <w:szCs w:val="22"/>
        </w:rPr>
        <w:t>, exactly 0.1% of individuals are initially infected regardless of household size, approximating uniform random seeding of infections across the population.</w:t>
      </w:r>
    </w:p>
    <w:p w14:paraId="40C63492" w14:textId="77777777" w:rsidR="00AB7EBC" w:rsidRPr="00CC2F84" w:rsidRDefault="006B4661" w:rsidP="00CC2F84">
      <w:pPr>
        <w:pStyle w:val="Heading4"/>
        <w:jc w:val="both"/>
        <w:rPr>
          <w:rFonts w:ascii="Helvetica" w:hAnsi="Helvetica"/>
          <w:color w:val="auto"/>
          <w:sz w:val="22"/>
          <w:szCs w:val="22"/>
        </w:rPr>
      </w:pPr>
      <w:bookmarkStart w:id="93" w:name="Xd732ef02479be127ca5b9c0151e90c52acbdc64"/>
      <w:bookmarkEnd w:id="91"/>
      <w:r w:rsidRPr="00CC2F84">
        <w:rPr>
          <w:rFonts w:ascii="Helvetica" w:hAnsi="Helvetica"/>
          <w:color w:val="auto"/>
          <w:sz w:val="22"/>
          <w:szCs w:val="22"/>
        </w:rPr>
        <w:t>Symptomatic infection and workforce impact</w:t>
      </w:r>
    </w:p>
    <w:p w14:paraId="0EDB8D2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To translate epidemic dynamics into agricultural workforce availability, we computed the proportion of the agricultural workforce experiencing symptoms on each day. We first calculated the number of new daily infections for each day as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proportion susceptible at time </w:t>
      </w:r>
      <m:oMath>
        <m:r>
          <w:rPr>
            <w:rFonts w:ascii="Cambria Math" w:hAnsi="Cambria Math"/>
            <w:sz w:val="22"/>
            <w:szCs w:val="22"/>
          </w:rPr>
          <m:t>t</m:t>
        </m:r>
      </m:oMath>
      <w:r w:rsidRPr="00CC2F84">
        <w:rPr>
          <w:rFonts w:ascii="Helvetica" w:hAnsi="Helvetica"/>
          <w:sz w:val="22"/>
          <w:szCs w:val="22"/>
        </w:rPr>
        <w:t xml:space="preserve">. We assumed symptoms began one day after infection onset and lasted for three days, so that individuals infected on day </w:t>
      </w:r>
      <m:oMath>
        <m:r>
          <w:rPr>
            <w:rFonts w:ascii="Cambria Math" w:hAnsi="Cambria Math"/>
            <w:sz w:val="22"/>
            <w:szCs w:val="22"/>
          </w:rPr>
          <m:t>t</m:t>
        </m:r>
      </m:oMath>
      <w:r w:rsidRPr="00CC2F84">
        <w:rPr>
          <w:rFonts w:ascii="Helvetica" w:hAnsi="Helvetica"/>
          <w:sz w:val="22"/>
          <w:szCs w:val="22"/>
        </w:rPr>
        <w:t xml:space="preserve"> were symptomatic on days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and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 xml:space="preserve">. The proportion of symptomatic individuals on day </w:t>
      </w:r>
      <m:oMath>
        <m:r>
          <w:rPr>
            <w:rFonts w:ascii="Cambria Math" w:hAnsi="Cambria Math"/>
            <w:sz w:val="22"/>
            <w:szCs w:val="22"/>
          </w:rPr>
          <m:t>t</m:t>
        </m:r>
      </m:oMath>
      <w:r w:rsidRPr="00CC2F84">
        <w:rPr>
          <w:rFonts w:ascii="Helvetica" w:hAnsi="Helvetica"/>
          <w:sz w:val="22"/>
          <w:szCs w:val="22"/>
        </w:rPr>
        <w:t xml:space="preserve"> was then:</w:t>
      </w:r>
    </w:p>
    <w:p w14:paraId="17C1AE10"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nary>
            <m:naryPr>
              <m:chr m:val="∑"/>
              <m:limLoc m:val="undOvr"/>
              <m:ctrlPr>
                <w:rPr>
                  <w:rFonts w:ascii="Cambria Math" w:hAnsi="Cambria Math"/>
                  <w:sz w:val="22"/>
                  <w:szCs w:val="22"/>
                </w:rPr>
              </m:ctrlPr>
            </m:naryPr>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sub>
            <m:sup>
              <m:r>
                <w:rPr>
                  <w:rFonts w:ascii="Cambria Math" w:hAnsi="Cambria Math"/>
                  <w:sz w:val="22"/>
                  <w:szCs w:val="22"/>
                </w:rPr>
                <m:t>3</m:t>
              </m:r>
            </m:sup>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d</m:t>
                  </m:r>
                </m:sub>
              </m:sSub>
            </m:e>
          </m:nary>
        </m:oMath>
      </m:oMathPara>
    </w:p>
    <w:p w14:paraId="7C3F607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oMath>
      <w:r w:rsidRPr="00CC2F84">
        <w:rPr>
          <w:rFonts w:ascii="Helvetica" w:hAnsi="Helvetica"/>
          <w:sz w:val="22"/>
          <w:szCs w:val="22"/>
        </w:rPr>
        <w:t xml:space="preserve"> is the probability that an infection is symptomatic. Daily workforce strength was defined as </w:t>
      </w:r>
      <m:oMath>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oMath>
      <w:r w:rsidRPr="00CC2F84">
        <w:rPr>
          <w:rFonts w:ascii="Helvetica" w:hAnsi="Helvetica"/>
          <w:sz w:val="22"/>
          <w:szCs w:val="22"/>
        </w:rPr>
        <w:t>.</w:t>
      </w:r>
    </w:p>
    <w:p w14:paraId="2663DDF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To assess the impact of epidemic timing on crop production, we shifted the epidemic curve so that the community symptomatic peak aligned with each day of the calendar year. For each epidemic curve, we calculated the outbreak-adjusted harvest volume for each crop on each day as </w:t>
      </w:r>
      <m:oMath>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mean harvest volume on day </w:t>
      </w:r>
      <m:oMath>
        <m:r>
          <w:rPr>
            <w:rFonts w:ascii="Cambria Math" w:hAnsi="Cambria Math"/>
            <w:sz w:val="22"/>
            <w:szCs w:val="22"/>
          </w:rPr>
          <m:t>t</m:t>
        </m:r>
      </m:oMath>
      <w:r w:rsidRPr="00CC2F84">
        <w:rPr>
          <w:rFonts w:ascii="Helvetica" w:hAnsi="Helvetica"/>
          <w:sz w:val="22"/>
          <w:szCs w:val="22"/>
        </w:rPr>
        <w:t xml:space="preserve">. The total production loss for that epidemic curve, expressed as a percentage, was </w:t>
      </w:r>
      <m:oMath>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r>
              <w:rPr>
                <w:rFonts w:ascii="Cambria Math" w:hAnsi="Cambria Math"/>
                <w:sz w:val="22"/>
                <w:szCs w:val="22"/>
              </w:rPr>
              <m:t>V</m:t>
            </m:r>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100</m:t>
        </m:r>
        <m:r>
          <m:rPr>
            <m:sty m:val="p"/>
          </m:rPr>
          <w:rPr>
            <w:rFonts w:ascii="Cambria Math" w:hAnsi="Cambria Math"/>
            <w:sz w:val="22"/>
            <w:szCs w:val="22"/>
          </w:rPr>
          <m:t>%</m:t>
        </m:r>
      </m:oMath>
      <w:r w:rsidRPr="00CC2F84">
        <w:rPr>
          <w:rFonts w:ascii="Helvetica" w:hAnsi="Helvetica"/>
          <w:sz w:val="22"/>
          <w:szCs w:val="22"/>
        </w:rPr>
        <w:t>. We repeated this calculation for epidemics peaking on each day of the year.</w:t>
      </w:r>
    </w:p>
    <w:p w14:paraId="597B208F" w14:textId="77777777" w:rsidR="003C64F0" w:rsidRPr="00CC2F84" w:rsidRDefault="003C64F0">
      <w:pPr>
        <w:rPr>
          <w:rFonts w:ascii="Helvetica" w:eastAsiaTheme="majorEastAsia" w:hAnsi="Helvetica" w:cstheme="majorBidi"/>
          <w:sz w:val="28"/>
          <w:szCs w:val="28"/>
        </w:rPr>
      </w:pPr>
      <w:bookmarkStart w:id="94" w:name="supplementary-figures"/>
      <w:bookmarkEnd w:id="83"/>
      <w:bookmarkEnd w:id="93"/>
      <w:r w:rsidRPr="00CC2F84">
        <w:rPr>
          <w:rFonts w:ascii="Helvetica" w:hAnsi="Helvetica"/>
        </w:rPr>
        <w:br w:type="page"/>
      </w:r>
    </w:p>
    <w:p w14:paraId="60462903" w14:textId="43922AA7" w:rsidR="00AB7EBC" w:rsidRPr="00CC2F84" w:rsidRDefault="006B4661">
      <w:pPr>
        <w:pStyle w:val="Heading3"/>
        <w:rPr>
          <w:rFonts w:ascii="Helvetica" w:hAnsi="Helvetica"/>
          <w:color w:val="auto"/>
        </w:rPr>
      </w:pPr>
      <w:r w:rsidRPr="00CC2F84">
        <w:rPr>
          <w:rFonts w:ascii="Helvetica" w:hAnsi="Helvetica"/>
          <w:color w:val="auto"/>
        </w:rPr>
        <w:lastRenderedPageBreak/>
        <w:t>Supplementary Figures</w:t>
      </w:r>
    </w:p>
    <w:p w14:paraId="6351E180" w14:textId="77777777" w:rsidR="00AB7EBC" w:rsidRPr="00CC2F84" w:rsidRDefault="006B4661">
      <w:pPr>
        <w:pStyle w:val="CaptionedFigure"/>
        <w:rPr>
          <w:rFonts w:ascii="Helvetica" w:hAnsi="Helvetica"/>
        </w:rPr>
      </w:pPr>
      <w:r w:rsidRPr="00CC2F84">
        <w:rPr>
          <w:rFonts w:ascii="Helvetica" w:hAnsi="Helvetica"/>
          <w:noProof/>
        </w:rPr>
        <w:drawing>
          <wp:inline distT="0" distB="0" distL="0" distR="0" wp14:anchorId="08DAAAE8" wp14:editId="47DB376F">
            <wp:extent cx="5334000" cy="4528143"/>
            <wp:effectExtent l="0" t="0" r="0" b="0"/>
            <wp:docPr id="106" name="Picture" descr="Model structure"/>
            <wp:cNvGraphicFramePr/>
            <a:graphic xmlns:a="http://schemas.openxmlformats.org/drawingml/2006/main">
              <a:graphicData uri="http://schemas.openxmlformats.org/drawingml/2006/picture">
                <pic:pic xmlns:pic="http://schemas.openxmlformats.org/drawingml/2006/picture">
                  <pic:nvPicPr>
                    <pic:cNvPr id="107" name="Picture" descr="../../figures/modelstructure.png"/>
                    <pic:cNvPicPr>
                      <a:picLocks noChangeAspect="1" noChangeArrowheads="1"/>
                    </pic:cNvPicPr>
                  </pic:nvPicPr>
                  <pic:blipFill>
                    <a:blip r:embed="rId13"/>
                    <a:stretch>
                      <a:fillRect/>
                    </a:stretch>
                  </pic:blipFill>
                  <pic:spPr bwMode="auto">
                    <a:xfrm>
                      <a:off x="0" y="0"/>
                      <a:ext cx="5334000" cy="4528143"/>
                    </a:xfrm>
                    <a:prstGeom prst="rect">
                      <a:avLst/>
                    </a:prstGeom>
                    <a:noFill/>
                    <a:ln w="9525">
                      <a:noFill/>
                      <a:headEnd/>
                      <a:tailEnd/>
                    </a:ln>
                  </pic:spPr>
                </pic:pic>
              </a:graphicData>
            </a:graphic>
          </wp:inline>
        </w:drawing>
      </w:r>
    </w:p>
    <w:p w14:paraId="188B7ACC" w14:textId="77777777" w:rsidR="003C64F0" w:rsidRPr="00CC2F84" w:rsidRDefault="003C64F0" w:rsidP="00CC2F84">
      <w:pPr>
        <w:jc w:val="both"/>
        <w:rPr>
          <w:rFonts w:ascii="Helvetica" w:hAnsi="Helvetica"/>
          <w:b/>
          <w:bCs/>
          <w:sz w:val="20"/>
          <w:szCs w:val="20"/>
        </w:rPr>
      </w:pPr>
      <w:r w:rsidRPr="00CC2F84">
        <w:rPr>
          <w:rFonts w:ascii="Helvetica" w:hAnsi="Helvetica"/>
          <w:b/>
          <w:bCs/>
          <w:sz w:val="20"/>
          <w:szCs w:val="20"/>
        </w:rPr>
        <w:t>Figure S1. Schematic of the disease transmission model for a household of size 3.</w:t>
      </w:r>
      <w:r w:rsidRPr="00CC2F84">
        <w:rPr>
          <w:rFonts w:ascii="Helvetica" w:hAnsi="Helvetica"/>
          <w:sz w:val="20"/>
          <w:szCs w:val="20"/>
        </w:rPr>
        <w:t xml:space="preserve"> An uncrowded agricultural household of size 3 that begins with all members (discs) susceptible (black) is represented as </w:t>
      </w:r>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A</m:t>
            </m:r>
          </m:sub>
        </m:sSub>
        <m:r>
          <m:rPr>
            <m:sty m:val="p"/>
          </m:rPr>
          <w:rPr>
            <w:rFonts w:ascii="Cambria Math" w:hAnsi="Cambria Math"/>
            <w:sz w:val="20"/>
            <w:szCs w:val="20"/>
          </w:rPr>
          <m:t>(</m:t>
        </m:r>
        <m:r>
          <w:rPr>
            <w:rFonts w:ascii="Cambria Math" w:hAnsi="Cambria Math"/>
            <w:sz w:val="20"/>
            <w:szCs w:val="20"/>
          </w:rPr>
          <m:t>3</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oMath>
      <w:r w:rsidRPr="00CC2F84">
        <w:rPr>
          <w:rFonts w:ascii="Helvetica" w:hAnsi="Helvetica"/>
          <w:sz w:val="20"/>
          <w:szCs w:val="20"/>
        </w:rPr>
        <w:t xml:space="preserve"> (top-most household). New infections (downward movements; red discs) can occur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but since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0</m:t>
        </m:r>
      </m:oMath>
      <w:r w:rsidRPr="00CC2F84">
        <w:rPr>
          <w:rFonts w:ascii="Helvetica" w:hAnsi="Helvetica"/>
          <w:sz w:val="20"/>
          <w:szCs w:val="20"/>
        </w:rPr>
        <w:t xml:space="preserve">, the force of infection is given fully by the between-household force of infection, </w:t>
      </w:r>
      <m:oMath>
        <m:r>
          <w:rPr>
            <w:rFonts w:ascii="Cambria Math" w:hAnsi="Cambria Math"/>
            <w:sz w:val="20"/>
            <w:szCs w:val="20"/>
          </w:rPr>
          <m:t>βIx</m:t>
        </m:r>
      </m:oMath>
      <w:r w:rsidRPr="00CC2F84">
        <w:rPr>
          <w:rFonts w:ascii="Helvetica" w:hAnsi="Helvetica"/>
          <w:sz w:val="20"/>
          <w:szCs w:val="20"/>
        </w:rPr>
        <w:t xml:space="preserve">. Once an infection occurs within the household, either a new household member can become infected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(downward movement), or the initially infected individual can recover (left-to-right movement; blue discs) at rate </w:t>
      </w:r>
      <m:oMath>
        <m:r>
          <w:rPr>
            <w:rFonts w:ascii="Cambria Math" w:hAnsi="Cambria Math"/>
            <w:sz w:val="20"/>
            <w:szCs w:val="20"/>
          </w:rPr>
          <m:t>γy</m:t>
        </m:r>
      </m:oMath>
      <w:r w:rsidRPr="00CC2F84">
        <w:rPr>
          <w:rFonts w:ascii="Helvetica" w:hAnsi="Helvetica"/>
          <w:sz w:val="20"/>
          <w:szCs w:val="20"/>
        </w:rPr>
        <w:t>.</w:t>
      </w:r>
    </w:p>
    <w:p w14:paraId="4D81B5FE" w14:textId="77777777" w:rsidR="003C64F0" w:rsidRPr="00CC2F84" w:rsidRDefault="003C64F0">
      <w:pPr>
        <w:rPr>
          <w:rFonts w:ascii="Helvetica" w:hAnsi="Helvetica"/>
          <w:b/>
          <w:bCs/>
        </w:rPr>
      </w:pPr>
      <w:r w:rsidRPr="00CC2F84">
        <w:rPr>
          <w:rFonts w:ascii="Helvetica" w:hAnsi="Helvetica"/>
          <w:b/>
          <w:bCs/>
        </w:rPr>
        <w:br w:type="page"/>
      </w:r>
    </w:p>
    <w:p w14:paraId="429D372B" w14:textId="77777777" w:rsidR="003C64F0"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3FEA7D28" wp14:editId="091858A5">
            <wp:extent cx="5080000" cy="2501900"/>
            <wp:effectExtent l="0" t="0" r="0" b="0"/>
            <wp:docPr id="109" name="Picture" descr="Crowding distributions imputed additive"/>
            <wp:cNvGraphicFramePr/>
            <a:graphic xmlns:a="http://schemas.openxmlformats.org/drawingml/2006/main">
              <a:graphicData uri="http://schemas.openxmlformats.org/drawingml/2006/picture">
                <pic:pic xmlns:pic="http://schemas.openxmlformats.org/drawingml/2006/picture">
                  <pic:nvPicPr>
                    <pic:cNvPr id="110" name="Picture" descr="../../figures/crowding_distribution_additive.png"/>
                    <pic:cNvPicPr>
                      <a:picLocks noChangeAspect="1" noChangeArrowheads="1"/>
                    </pic:cNvPicPr>
                  </pic:nvPicPr>
                  <pic:blipFill>
                    <a:blip r:embed="rId14"/>
                    <a:stretch>
                      <a:fillRect/>
                    </a:stretch>
                  </pic:blipFill>
                  <pic:spPr bwMode="auto">
                    <a:xfrm>
                      <a:off x="0" y="0"/>
                      <a:ext cx="5080000" cy="2501900"/>
                    </a:xfrm>
                    <a:prstGeom prst="rect">
                      <a:avLst/>
                    </a:prstGeom>
                    <a:noFill/>
                    <a:ln w="9525">
                      <a:noFill/>
                      <a:headEnd/>
                      <a:tailEnd/>
                    </a:ln>
                  </pic:spPr>
                </pic:pic>
              </a:graphicData>
            </a:graphic>
          </wp:inline>
        </w:drawing>
      </w:r>
      <w:r w:rsidRPr="00CC2F84">
        <w:rPr>
          <w:rFonts w:ascii="Helvetica" w:hAnsi="Helvetica"/>
        </w:rPr>
        <w:t xml:space="preserve"> </w:t>
      </w:r>
    </w:p>
    <w:p w14:paraId="384D9785" w14:textId="77777777" w:rsidR="003C64F0"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4F3D361A" wp14:editId="2FC6249F">
            <wp:extent cx="5156200" cy="2489200"/>
            <wp:effectExtent l="0" t="0" r="0" b="0"/>
            <wp:docPr id="112" name="Picture" descr="Crowding distributions imputed multiplicative"/>
            <wp:cNvGraphicFramePr/>
            <a:graphic xmlns:a="http://schemas.openxmlformats.org/drawingml/2006/main">
              <a:graphicData uri="http://schemas.openxmlformats.org/drawingml/2006/picture">
                <pic:pic xmlns:pic="http://schemas.openxmlformats.org/drawingml/2006/picture">
                  <pic:nvPicPr>
                    <pic:cNvPr id="113" name="Picture" descr="../../figures/crowding_distribution_multiplicative.png"/>
                    <pic:cNvPicPr>
                      <a:picLocks noChangeAspect="1" noChangeArrowheads="1"/>
                    </pic:cNvPicPr>
                  </pic:nvPicPr>
                  <pic:blipFill>
                    <a:blip r:embed="rId15"/>
                    <a:stretch>
                      <a:fillRect/>
                    </a:stretch>
                  </pic:blipFill>
                  <pic:spPr bwMode="auto">
                    <a:xfrm>
                      <a:off x="0" y="0"/>
                      <a:ext cx="5156200" cy="2489200"/>
                    </a:xfrm>
                    <a:prstGeom prst="rect">
                      <a:avLst/>
                    </a:prstGeom>
                    <a:noFill/>
                    <a:ln w="9525">
                      <a:noFill/>
                      <a:headEnd/>
                      <a:tailEnd/>
                    </a:ln>
                  </pic:spPr>
                </pic:pic>
              </a:graphicData>
            </a:graphic>
          </wp:inline>
        </w:drawing>
      </w:r>
      <w:r w:rsidRPr="00CC2F84">
        <w:rPr>
          <w:rFonts w:ascii="Helvetica" w:hAnsi="Helvetica"/>
        </w:rPr>
        <w:t xml:space="preserve"> </w:t>
      </w:r>
    </w:p>
    <w:p w14:paraId="6F4BE0A9" w14:textId="7E4E9CF3" w:rsidR="00AB7EBC" w:rsidRPr="00CC2F84" w:rsidRDefault="006B4661" w:rsidP="003C64F0">
      <w:pPr>
        <w:pStyle w:val="BodyText"/>
        <w:rPr>
          <w:rFonts w:ascii="Helvetica" w:hAnsi="Helvetica"/>
          <w:b/>
          <w:bCs/>
        </w:rPr>
      </w:pPr>
      <w:r w:rsidRPr="00CC2F84">
        <w:rPr>
          <w:rFonts w:ascii="Helvetica" w:hAnsi="Helvetica"/>
          <w:b/>
          <w:bCs/>
        </w:rPr>
        <w:t>(C)</w:t>
      </w:r>
      <w:r w:rsidRPr="00CC2F84">
        <w:rPr>
          <w:rFonts w:ascii="Helvetica" w:hAnsi="Helvetica"/>
          <w:noProof/>
        </w:rPr>
        <w:drawing>
          <wp:inline distT="0" distB="0" distL="0" distR="0" wp14:anchorId="2134CB82" wp14:editId="77B5C955">
            <wp:extent cx="5054600" cy="2438400"/>
            <wp:effectExtent l="0" t="0" r="0" b="0"/>
            <wp:docPr id="115" name="Picture" descr="Crowding distributions imputed none"/>
            <wp:cNvGraphicFramePr/>
            <a:graphic xmlns:a="http://schemas.openxmlformats.org/drawingml/2006/main">
              <a:graphicData uri="http://schemas.openxmlformats.org/drawingml/2006/picture">
                <pic:pic xmlns:pic="http://schemas.openxmlformats.org/drawingml/2006/picture">
                  <pic:nvPicPr>
                    <pic:cNvPr id="116" name="Picture" descr="../../figures/crowding_distribution_none.png"/>
                    <pic:cNvPicPr>
                      <a:picLocks noChangeAspect="1" noChangeArrowheads="1"/>
                    </pic:cNvPicPr>
                  </pic:nvPicPr>
                  <pic:blipFill>
                    <a:blip r:embed="rId16"/>
                    <a:stretch>
                      <a:fillRect/>
                    </a:stretch>
                  </pic:blipFill>
                  <pic:spPr bwMode="auto">
                    <a:xfrm>
                      <a:off x="0" y="0"/>
                      <a:ext cx="5054600" cy="2438400"/>
                    </a:xfrm>
                    <a:prstGeom prst="rect">
                      <a:avLst/>
                    </a:prstGeom>
                    <a:noFill/>
                    <a:ln w="9525">
                      <a:noFill/>
                      <a:headEnd/>
                      <a:tailEnd/>
                    </a:ln>
                  </pic:spPr>
                </pic:pic>
              </a:graphicData>
            </a:graphic>
          </wp:inline>
        </w:drawing>
      </w:r>
    </w:p>
    <w:p w14:paraId="6B40B054" w14:textId="77777777" w:rsidR="003C64F0" w:rsidRPr="00CC2F84" w:rsidRDefault="003C64F0">
      <w:pPr>
        <w:pStyle w:val="BodyText"/>
        <w:rPr>
          <w:rFonts w:ascii="Helvetica" w:hAnsi="Helvetica"/>
          <w:b/>
          <w:bCs/>
        </w:rPr>
      </w:pPr>
    </w:p>
    <w:p w14:paraId="2BB97124"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lastRenderedPageBreak/>
        <w:t>Figure S2. County-level household crowding distributions for agricultural workers and the general community under three imputation methods</w:t>
      </w:r>
      <w:r w:rsidRPr="00CC2F84">
        <w:rPr>
          <w:rFonts w:ascii="Helvetica" w:hAnsi="Helvetica"/>
          <w:sz w:val="20"/>
          <w:szCs w:val="20"/>
        </w:rPr>
        <w:t xml:space="preserve"> Histograms depict the proportion of households crowded in counties within each of the six NAWS regions, for agricultural workers (blue) and the general community (red). County-level crowding rates for the general community are taken from the ACS. County-level crowding rates for agricultural workers are imputed using three different methods: (A) an additive adjustment, where county-level crowding rates for agricultural workers are shifted by the difference between county-level and regional mean ACS values; (B) a multiplicative adjustment, where county-level crowding rates for agricultural workers are shifted by the ratio between county-level and regional mean ACS values; and (C) no adjustment, where crowding rates across counties for agricultural workers are equal to the regional mean. Red dashed vertical lines indicate the regional ACS mean, and blue dashed vertical lines indicate the regional NAWS estimate for agricultural workers.</w:t>
      </w:r>
    </w:p>
    <w:p w14:paraId="2F08EAB4" w14:textId="0420CCB1" w:rsidR="003C64F0" w:rsidRPr="00CC2F84" w:rsidRDefault="003C64F0">
      <w:pPr>
        <w:rPr>
          <w:rFonts w:ascii="Helvetica" w:hAnsi="Helvetica"/>
        </w:rPr>
      </w:pPr>
      <w:r w:rsidRPr="00CC2F84">
        <w:rPr>
          <w:rFonts w:ascii="Helvetica" w:hAnsi="Helvetica"/>
        </w:rPr>
        <w:br w:type="page"/>
      </w:r>
    </w:p>
    <w:p w14:paraId="795958D8" w14:textId="77777777" w:rsidR="003C64F0" w:rsidRPr="00CC2F84" w:rsidRDefault="003C64F0" w:rsidP="003C64F0">
      <w:pPr>
        <w:pStyle w:val="BodyText"/>
        <w:rPr>
          <w:rFonts w:ascii="Helvetica" w:hAnsi="Helvetica"/>
        </w:rPr>
      </w:pPr>
    </w:p>
    <w:p w14:paraId="35D81148" w14:textId="77777777" w:rsidR="003C64F0" w:rsidRPr="00CC2F84" w:rsidRDefault="006B4661">
      <w:pPr>
        <w:pStyle w:val="BodyText"/>
        <w:rPr>
          <w:rFonts w:ascii="Helvetica" w:hAnsi="Helvetica"/>
        </w:rPr>
      </w:pPr>
      <w:r w:rsidRPr="00CC2F84">
        <w:rPr>
          <w:rFonts w:ascii="Helvetica" w:hAnsi="Helvetica"/>
          <w:b/>
          <w:bCs/>
        </w:rPr>
        <w:t>(A)</w:t>
      </w:r>
      <w:r w:rsidRPr="00CC2F84">
        <w:rPr>
          <w:rFonts w:ascii="Helvetica" w:hAnsi="Helvetica"/>
        </w:rPr>
        <w:t xml:space="preserve"> </w:t>
      </w:r>
      <w:r w:rsidRPr="00CC2F84">
        <w:rPr>
          <w:rFonts w:ascii="Helvetica" w:hAnsi="Helvetica"/>
          <w:noProof/>
        </w:rPr>
        <w:drawing>
          <wp:inline distT="0" distB="0" distL="0" distR="0" wp14:anchorId="41DBB793" wp14:editId="251E5D98">
            <wp:extent cx="5334000" cy="4445000"/>
            <wp:effectExtent l="0" t="0" r="0" b="0"/>
            <wp:docPr id="118" name="Picture" descr="Mean and four plus household size distributions imputed additive"/>
            <wp:cNvGraphicFramePr/>
            <a:graphic xmlns:a="http://schemas.openxmlformats.org/drawingml/2006/main">
              <a:graphicData uri="http://schemas.openxmlformats.org/drawingml/2006/picture">
                <pic:pic xmlns:pic="http://schemas.openxmlformats.org/drawingml/2006/picture">
                  <pic:nvPicPr>
                    <pic:cNvPr id="119" name="Picture" descr="../../figures/hhsize_distribution_additive.png"/>
                    <pic:cNvPicPr>
                      <a:picLocks noChangeAspect="1" noChangeArrowheads="1"/>
                    </pic:cNvPicPr>
                  </pic:nvPicPr>
                  <pic:blipFill>
                    <a:blip r:embed="rId17"/>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6FD730AD" w14:textId="77777777" w:rsidR="003C64F0" w:rsidRPr="00CC2F84" w:rsidRDefault="006B4661">
      <w:pPr>
        <w:pStyle w:val="BodyText"/>
        <w:rPr>
          <w:rFonts w:ascii="Helvetica" w:hAnsi="Helvetica"/>
        </w:rPr>
      </w:pPr>
      <w:r w:rsidRPr="00CC2F84">
        <w:rPr>
          <w:rFonts w:ascii="Helvetica" w:hAnsi="Helvetica"/>
          <w:b/>
          <w:bCs/>
        </w:rPr>
        <w:lastRenderedPageBreak/>
        <w:t>(B)</w:t>
      </w:r>
      <w:r w:rsidRPr="00CC2F84">
        <w:rPr>
          <w:rFonts w:ascii="Helvetica" w:hAnsi="Helvetica"/>
        </w:rPr>
        <w:t xml:space="preserve"> </w:t>
      </w:r>
      <w:r w:rsidRPr="00CC2F84">
        <w:rPr>
          <w:rFonts w:ascii="Helvetica" w:hAnsi="Helvetica"/>
          <w:noProof/>
        </w:rPr>
        <w:drawing>
          <wp:inline distT="0" distB="0" distL="0" distR="0" wp14:anchorId="18F95156" wp14:editId="2FB1FDCD">
            <wp:extent cx="5334000" cy="4445000"/>
            <wp:effectExtent l="0" t="0" r="0" b="0"/>
            <wp:docPr id="121" name="Picture" descr="Mean and four plus household size distributions imputed multiplicative"/>
            <wp:cNvGraphicFramePr/>
            <a:graphic xmlns:a="http://schemas.openxmlformats.org/drawingml/2006/main">
              <a:graphicData uri="http://schemas.openxmlformats.org/drawingml/2006/picture">
                <pic:pic xmlns:pic="http://schemas.openxmlformats.org/drawingml/2006/picture">
                  <pic:nvPicPr>
                    <pic:cNvPr id="122" name="Picture" descr="../../figures/hhsize_distribution_multiplicative.png"/>
                    <pic:cNvPicPr>
                      <a:picLocks noChangeAspect="1" noChangeArrowheads="1"/>
                    </pic:cNvPicPr>
                  </pic:nvPicPr>
                  <pic:blipFill>
                    <a:blip r:embed="rId18"/>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2F1868F9" w14:textId="3D1BD56B"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5A6265BB" wp14:editId="0BE5A2FC">
            <wp:extent cx="5334000" cy="4445000"/>
            <wp:effectExtent l="0" t="0" r="0" b="0"/>
            <wp:docPr id="124" name="Picture" descr="Mean and four plus household size distributions imputed none"/>
            <wp:cNvGraphicFramePr/>
            <a:graphic xmlns:a="http://schemas.openxmlformats.org/drawingml/2006/main">
              <a:graphicData uri="http://schemas.openxmlformats.org/drawingml/2006/picture">
                <pic:pic xmlns:pic="http://schemas.openxmlformats.org/drawingml/2006/picture">
                  <pic:nvPicPr>
                    <pic:cNvPr id="125" name="Picture" descr="../../figures/hhsize_distribution_none.png"/>
                    <pic:cNvPicPr>
                      <a:picLocks noChangeAspect="1" noChangeArrowheads="1"/>
                    </pic:cNvPicPr>
                  </pic:nvPicPr>
                  <pic:blipFill>
                    <a:blip r:embed="rId19"/>
                    <a:stretch>
                      <a:fillRect/>
                    </a:stretch>
                  </pic:blipFill>
                  <pic:spPr bwMode="auto">
                    <a:xfrm>
                      <a:off x="0" y="0"/>
                      <a:ext cx="5334000" cy="4445000"/>
                    </a:xfrm>
                    <a:prstGeom prst="rect">
                      <a:avLst/>
                    </a:prstGeom>
                    <a:noFill/>
                    <a:ln w="9525">
                      <a:noFill/>
                      <a:headEnd/>
                      <a:tailEnd/>
                    </a:ln>
                  </pic:spPr>
                </pic:pic>
              </a:graphicData>
            </a:graphic>
          </wp:inline>
        </w:drawing>
      </w:r>
    </w:p>
    <w:p w14:paraId="66322F0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S3. County-level household size distributions for agricultural workers and the general community under three imputation methods.</w:t>
      </w:r>
      <w:r w:rsidRPr="00CC2F84">
        <w:rPr>
          <w:rFonts w:ascii="Helvetica" w:hAnsi="Helvetica"/>
          <w:sz w:val="20"/>
          <w:szCs w:val="20"/>
        </w:rPr>
        <w:t xml:space="preserve"> Histograms depict the mean household size (A, C, E) and the proportion of households with 4 or more occupants (B, D, F) in counties within each of the six NAWS regions, for agricultural workers (blue) and the general community (red). County-level household size distributions are taken from the ACS. County-level household size distributions for agricultural workers are imputed using three different methods: (A) an additive adjustment, where county-level household size distributions for agricultural workers are shifted by the difference between county-level and regional mean ACS values and re-normalized; (B) a multiplicative adjustment, where county-level household size distributions for agricultural workers are shifted by the ratio between county-level and regional mean ACS values and re-normalized; and (C) no adjustment, where household size distributions across counties for agricultural workers are equal to the regional mean. Red dashed vertical lines indicate the regional ACS mean, and blue dashed vertical lines indicate the regional NAWS estimate for agricultural workers.</w:t>
      </w:r>
    </w:p>
    <w:p w14:paraId="0E3018C0" w14:textId="77777777" w:rsidR="003C64F0" w:rsidRPr="00CC2F84" w:rsidRDefault="003C64F0">
      <w:pPr>
        <w:pStyle w:val="BodyText"/>
        <w:rPr>
          <w:rFonts w:ascii="Helvetica" w:hAnsi="Helvetica"/>
        </w:rPr>
      </w:pPr>
    </w:p>
    <w:p w14:paraId="3BC3048B" w14:textId="77777777" w:rsidR="003C64F0" w:rsidRPr="00CC2F84" w:rsidRDefault="003C64F0">
      <w:pPr>
        <w:rPr>
          <w:rFonts w:ascii="Helvetica" w:hAnsi="Helvetica"/>
          <w:b/>
          <w:bCs/>
        </w:rPr>
      </w:pPr>
      <w:r w:rsidRPr="00CC2F84">
        <w:rPr>
          <w:rFonts w:ascii="Helvetica" w:hAnsi="Helvetica"/>
          <w:b/>
          <w:bCs/>
        </w:rPr>
        <w:br w:type="page"/>
      </w:r>
    </w:p>
    <w:p w14:paraId="0126B156"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03AA4E2E" wp14:editId="0ADB7BB1">
            <wp:extent cx="5334000" cy="22225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7" name="Picture"/>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46DD2D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765E0BE" wp14:editId="2340DFEE">
            <wp:extent cx="5334000" cy="22225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0" name="Picture"/>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43F189D" w14:textId="77777777" w:rsidR="00AB7EBC" w:rsidRPr="00CC2F84" w:rsidRDefault="006B4661">
      <w:pPr>
        <w:pStyle w:val="BodyText"/>
        <w:rPr>
          <w:rFonts w:ascii="Helvetica" w:hAnsi="Helvetica"/>
        </w:rPr>
      </w:pPr>
      <w:r w:rsidRPr="00CC2F84">
        <w:rPr>
          <w:rFonts w:ascii="Helvetica" w:hAnsi="Helvetica"/>
          <w:b/>
          <w:bCs/>
        </w:rPr>
        <w:t>(C)</w:t>
      </w:r>
      <w:r w:rsidRPr="00CC2F84">
        <w:rPr>
          <w:rFonts w:ascii="Helvetica" w:hAnsi="Helvetica"/>
        </w:rPr>
        <w:t xml:space="preserve"> </w:t>
      </w:r>
      <w:r w:rsidRPr="00CC2F84">
        <w:rPr>
          <w:rFonts w:ascii="Helvetica" w:hAnsi="Helvetica"/>
          <w:noProof/>
        </w:rPr>
        <w:drawing>
          <wp:inline distT="0" distB="0" distL="0" distR="0" wp14:anchorId="5CD9E693" wp14:editId="40B96412">
            <wp:extent cx="5334000" cy="22225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3A02A68" w14:textId="77777777" w:rsidR="00AB7EBC" w:rsidRPr="00CC2F84" w:rsidRDefault="006B4661">
      <w:pPr>
        <w:pStyle w:val="BodyText"/>
        <w:rPr>
          <w:rFonts w:ascii="Helvetica" w:hAnsi="Helvetica"/>
        </w:rPr>
      </w:pPr>
      <w:r w:rsidRPr="00CC2F84">
        <w:rPr>
          <w:rFonts w:ascii="Helvetica" w:hAnsi="Helvetica"/>
          <w:b/>
          <w:bCs/>
        </w:rPr>
        <w:lastRenderedPageBreak/>
        <w:t>(D)</w:t>
      </w:r>
      <w:r w:rsidRPr="00CC2F84">
        <w:rPr>
          <w:rFonts w:ascii="Helvetica" w:hAnsi="Helvetica"/>
        </w:rPr>
        <w:t xml:space="preserve"> </w:t>
      </w:r>
      <w:r w:rsidRPr="00CC2F84">
        <w:rPr>
          <w:rFonts w:ascii="Helvetica" w:hAnsi="Helvetica"/>
          <w:noProof/>
        </w:rPr>
        <w:drawing>
          <wp:inline distT="0" distB="0" distL="0" distR="0" wp14:anchorId="04534BF7" wp14:editId="4630299E">
            <wp:extent cx="5334000" cy="22225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6" name="Picture"/>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6D32EEEE" w14:textId="466EAEAC" w:rsidR="003C64F0" w:rsidRPr="003A5FC8" w:rsidRDefault="003C64F0" w:rsidP="00CC2F84">
      <w:pPr>
        <w:pStyle w:val="BodyText"/>
        <w:jc w:val="both"/>
        <w:rPr>
          <w:rFonts w:ascii="Helvetica" w:hAnsi="Helvetica"/>
          <w:sz w:val="20"/>
          <w:szCs w:val="20"/>
        </w:rPr>
      </w:pPr>
      <w:r w:rsidRPr="00CC2F84">
        <w:rPr>
          <w:rFonts w:ascii="Helvetica" w:hAnsi="Helvetica"/>
          <w:b/>
          <w:bCs/>
          <w:sz w:val="20"/>
          <w:szCs w:val="20"/>
        </w:rPr>
        <w:t>Figure S4. Sensitivity of epidemic summary statistics to key parameters.</w:t>
      </w:r>
      <w:r w:rsidRPr="00CC2F84">
        <w:rPr>
          <w:rFonts w:ascii="Helvetica" w:hAnsi="Helvetica"/>
          <w:sz w:val="20"/>
          <w:szCs w:val="20"/>
        </w:rPr>
        <w:t xml:space="preserve"> Panels depict the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assortativity (</w:t>
      </w:r>
      <m:oMath>
        <m:r>
          <w:rPr>
            <w:rFonts w:ascii="Cambria Math" w:hAnsi="Cambria Math"/>
            <w:sz w:val="20"/>
            <w:szCs w:val="20"/>
          </w:rPr>
          <m:t>η</m:t>
        </m:r>
      </m:oMath>
      <w:r w:rsidRPr="00CC2F84">
        <w:rPr>
          <w:rFonts w:ascii="Helvetica" w:hAnsi="Helvetica"/>
          <w:sz w:val="20"/>
          <w:szCs w:val="20"/>
        </w:rPr>
        <w:t>), secondary attack rate (SAR) in crowded households, fold-difference in crowding rates between households of size 2 and households of size 7+ (</w:t>
      </w:r>
      <m:oMath>
        <m:r>
          <w:rPr>
            <w:rFonts w:ascii="Cambria Math" w:hAnsi="Cambria Math"/>
            <w:sz w:val="20"/>
            <w:szCs w:val="20"/>
          </w:rPr>
          <m:t>d</m:t>
        </m:r>
      </m:oMath>
      <w:r w:rsidRPr="00CC2F84">
        <w:rPr>
          <w:rFonts w:ascii="Helvetica" w:hAnsi="Helvetica"/>
          <w:sz w:val="20"/>
          <w:szCs w:val="20"/>
        </w:rPr>
        <w:t>)</w:t>
      </w:r>
      <w:r w:rsidR="003A5FC8">
        <w:rPr>
          <w:rFonts w:ascii="Helvetica" w:hAnsi="Helvetica"/>
          <w:sz w:val="20"/>
          <w:szCs w:val="20"/>
        </w:rPr>
        <w:t>, and infectious period (1/</w:t>
      </w:r>
      <m:oMath>
        <m:r>
          <m:rPr>
            <m:sty m:val="p"/>
          </m:rPr>
          <w:rPr>
            <w:rFonts w:ascii="Cambria Math" w:hAnsi="Cambria Math"/>
            <w:sz w:val="20"/>
            <w:szCs w:val="20"/>
          </w:rPr>
          <m:t>γ</m:t>
        </m:r>
      </m:oMath>
      <w:r w:rsidR="003A5FC8">
        <w:rPr>
          <w:rFonts w:ascii="Helvetica" w:hAnsi="Helvetica"/>
          <w:sz w:val="20"/>
          <w:szCs w:val="20"/>
        </w:rPr>
        <w:t>)</w:t>
      </w:r>
      <w:r w:rsidRPr="00CC2F84">
        <w:rPr>
          <w:rFonts w:ascii="Helvetica" w:hAnsi="Helvetica"/>
          <w:sz w:val="20"/>
          <w:szCs w:val="20"/>
        </w:rPr>
        <w:t xml:space="preserve"> on (A) the ratio of final sizes, (B) the ratio of peak sizes, (C) the time difference between peaks, and (D) the maximum prevalence ratio between agricultural workers and the general community. All parameter values are held at their baseline values (</w:t>
      </w:r>
      <w:r w:rsidRPr="00CC2F84">
        <w:rPr>
          <w:rFonts w:ascii="Helvetica" w:hAnsi="Helvetica"/>
          <w:b/>
          <w:bCs/>
          <w:sz w:val="20"/>
          <w:szCs w:val="20"/>
        </w:rPr>
        <w:t>Supplementary Table S2</w:t>
      </w:r>
      <w:r w:rsidRPr="00CC2F84">
        <w:rPr>
          <w:rFonts w:ascii="Helvetica" w:hAnsi="Helvetica"/>
          <w:sz w:val="20"/>
          <w:szCs w:val="20"/>
        </w:rPr>
        <w:t>) except for the one being varied in the panel. Colors represent the various NAWS regions. Dashed horizontal lines mark the value indicating “no difference”.</w:t>
      </w:r>
    </w:p>
    <w:p w14:paraId="348BAB2F" w14:textId="56051DE4" w:rsidR="003C64F0" w:rsidRPr="00CC2F84" w:rsidRDefault="003C64F0">
      <w:pPr>
        <w:rPr>
          <w:rFonts w:ascii="Helvetica" w:hAnsi="Helvetica"/>
        </w:rPr>
      </w:pPr>
      <w:r w:rsidRPr="00CC2F84">
        <w:rPr>
          <w:rFonts w:ascii="Helvetica" w:hAnsi="Helvetica"/>
        </w:rPr>
        <w:br w:type="page"/>
      </w:r>
    </w:p>
    <w:p w14:paraId="5C623F2A" w14:textId="6BD1B81D" w:rsidR="00AB7EBC" w:rsidRPr="00CC2F84" w:rsidRDefault="006B4661">
      <w:pPr>
        <w:pStyle w:val="CaptionedFigure"/>
        <w:rPr>
          <w:rFonts w:ascii="Helvetica" w:hAnsi="Helvetica"/>
        </w:rPr>
      </w:pPr>
      <w:commentRangeStart w:id="95"/>
      <w:commentRangeStart w:id="96"/>
      <w:r w:rsidRPr="00CC2F84">
        <w:rPr>
          <w:rFonts w:ascii="Helvetica" w:hAnsi="Helvetica"/>
          <w:noProof/>
        </w:rPr>
        <w:lastRenderedPageBreak/>
        <w:drawing>
          <wp:inline distT="0" distB="0" distL="0" distR="0" wp14:anchorId="37D0ACE2" wp14:editId="67912472">
            <wp:extent cx="5334000" cy="3556000"/>
            <wp:effectExtent l="0" t="0" r="0" b="0"/>
            <wp:docPr id="139" name="Picture" descr="Sensitivity R0 cumulative"/>
            <wp:cNvGraphicFramePr/>
            <a:graphic xmlns:a="http://schemas.openxmlformats.org/drawingml/2006/main">
              <a:graphicData uri="http://schemas.openxmlformats.org/drawingml/2006/picture">
                <pic:pic xmlns:pic="http://schemas.openxmlformats.org/drawingml/2006/picture">
                  <pic:nvPicPr>
                    <pic:cNvPr id="140" name="Picture" descr="../../figures/sensitivity_r0_cumulative_all_regions.png"/>
                    <pic:cNvPicPr>
                      <a:picLocks noChangeAspect="1" noChangeArrowheads="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commentRangeEnd w:id="95"/>
      <w:r w:rsidR="00956CEE" w:rsidRPr="00CC2F84">
        <w:rPr>
          <w:rStyle w:val="CommentReference"/>
          <w:rFonts w:ascii="Helvetica" w:hAnsi="Helvetica"/>
          <w:sz w:val="24"/>
          <w:szCs w:val="24"/>
        </w:rPr>
        <w:commentReference w:id="95"/>
      </w:r>
      <w:commentRangeEnd w:id="96"/>
      <w:r w:rsidRPr="00CC2F84">
        <w:rPr>
          <w:rStyle w:val="CommentReference"/>
          <w:rFonts w:ascii="Helvetica" w:hAnsi="Helvetica"/>
          <w:sz w:val="24"/>
          <w:szCs w:val="24"/>
        </w:rPr>
        <w:commentReference w:id="96"/>
      </w:r>
    </w:p>
    <w:p w14:paraId="2ADC5EDA"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S5.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xml:space="preserve"> values (colors).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6ED70E60"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1C580211" wp14:editId="77540929">
            <wp:extent cx="5334000" cy="3556000"/>
            <wp:effectExtent l="0" t="0" r="0" b="0"/>
            <wp:docPr id="142" name="Picture" descr="Sensitivity eps cumulative"/>
            <wp:cNvGraphicFramePr/>
            <a:graphic xmlns:a="http://schemas.openxmlformats.org/drawingml/2006/main">
              <a:graphicData uri="http://schemas.openxmlformats.org/drawingml/2006/picture">
                <pic:pic xmlns:pic="http://schemas.openxmlformats.org/drawingml/2006/picture">
                  <pic:nvPicPr>
                    <pic:cNvPr id="143" name="Picture" descr="../../figures/sensitivity_eps_cumulative_all_regions.png"/>
                    <pic:cNvPicPr>
                      <a:picLocks noChangeAspect="1" noChangeArrowheads="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14:paraId="4C0DAA18"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S6. Impact of assortativity (</w:t>
      </w:r>
      <m:oMath>
        <m:r>
          <w:rPr>
            <w:rFonts w:ascii="Cambria Math" w:hAnsi="Cambria Math"/>
            <w:sz w:val="20"/>
            <w:szCs w:val="20"/>
          </w:rPr>
          <m:t>η</m:t>
        </m:r>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assortativity parameter </w:t>
      </w:r>
      <m:oMath>
        <m:r>
          <w:rPr>
            <w:rFonts w:ascii="Cambria Math" w:hAnsi="Cambria Math"/>
            <w:sz w:val="20"/>
            <w:szCs w:val="20"/>
          </w:rPr>
          <m:t>η</m:t>
        </m:r>
      </m:oMath>
      <w:r w:rsidRPr="00CC2F84">
        <w:rPr>
          <w:rFonts w:ascii="Helvetica" w:hAnsi="Helvetica"/>
          <w:sz w:val="20"/>
          <w:szCs w:val="20"/>
        </w:rPr>
        <w:t xml:space="preserve"> (colors), where larger </w:t>
      </w:r>
      <m:oMath>
        <m:r>
          <w:rPr>
            <w:rFonts w:ascii="Cambria Math" w:hAnsi="Cambria Math"/>
            <w:sz w:val="20"/>
            <w:szCs w:val="20"/>
          </w:rPr>
          <m:t>η</m:t>
        </m:r>
      </m:oMath>
      <w:r w:rsidRPr="00CC2F84">
        <w:rPr>
          <w:rFonts w:ascii="Helvetica" w:hAnsi="Helvetica"/>
          <w:sz w:val="20"/>
          <w:szCs w:val="20"/>
        </w:rPr>
        <w:t xml:space="preserve"> corresponds to more within-group mixing.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5DE7B8E5"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6DF05291" wp14:editId="379C7B70">
            <wp:extent cx="5334000" cy="3556000"/>
            <wp:effectExtent l="0" t="0" r="0" b="0"/>
            <wp:docPr id="145" name="Picture" descr="Sensitivity SAR cumulative"/>
            <wp:cNvGraphicFramePr/>
            <a:graphic xmlns:a="http://schemas.openxmlformats.org/drawingml/2006/main">
              <a:graphicData uri="http://schemas.openxmlformats.org/drawingml/2006/picture">
                <pic:pic xmlns:pic="http://schemas.openxmlformats.org/drawingml/2006/picture">
                  <pic:nvPicPr>
                    <pic:cNvPr id="146" name="Picture" descr="../../figures/sensitivity_sar_cumulative_all_regions.png"/>
                    <pic:cNvPicPr>
                      <a:picLocks noChangeAspect="1" noChangeArrowheads="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14:paraId="1F9881A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S7. Impact of the secondary attack rate (SAR) in crowded households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secondary attack rate (SAR) in crowded households. All other parameter values are held at baseline; note that the SAR in uncrowded households was held fixed at 0.2. (</w:t>
      </w:r>
      <w:r w:rsidRPr="00CC2F84">
        <w:rPr>
          <w:rFonts w:ascii="Helvetica" w:hAnsi="Helvetica"/>
          <w:b/>
          <w:bCs/>
          <w:sz w:val="20"/>
          <w:szCs w:val="20"/>
        </w:rPr>
        <w:t>Supplementary Table S2</w:t>
      </w:r>
      <w:r w:rsidRPr="00CC2F84">
        <w:rPr>
          <w:rFonts w:ascii="Helvetica" w:hAnsi="Helvetica"/>
          <w:sz w:val="20"/>
          <w:szCs w:val="20"/>
        </w:rPr>
        <w:t>).</w:t>
      </w:r>
    </w:p>
    <w:p w14:paraId="2C8CC5C4"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09384DC9" wp14:editId="500CC02E">
            <wp:extent cx="5334000" cy="3556000"/>
            <wp:effectExtent l="0" t="0" r="0" b="0"/>
            <wp:docPr id="148" name="Picture" descr="Sensitivity fold cumulative"/>
            <wp:cNvGraphicFramePr/>
            <a:graphic xmlns:a="http://schemas.openxmlformats.org/drawingml/2006/main">
              <a:graphicData uri="http://schemas.openxmlformats.org/drawingml/2006/picture">
                <pic:pic xmlns:pic="http://schemas.openxmlformats.org/drawingml/2006/picture">
                  <pic:nvPicPr>
                    <pic:cNvPr id="149" name="Picture" descr="../../figures/sensitivity_fold_cumulative_all_regions.png"/>
                    <pic:cNvPicPr>
                      <a:picLocks noChangeAspect="1" noChangeArrowheads="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14:paraId="2E899272" w14:textId="04846B41" w:rsidR="00164C64" w:rsidRDefault="003C64F0" w:rsidP="00CC2F84">
      <w:pPr>
        <w:pStyle w:val="BodyText"/>
        <w:jc w:val="both"/>
        <w:rPr>
          <w:rFonts w:ascii="Helvetica" w:hAnsi="Helvetica"/>
          <w:sz w:val="20"/>
          <w:szCs w:val="20"/>
        </w:rPr>
      </w:pPr>
      <w:r w:rsidRPr="00CC2F84">
        <w:rPr>
          <w:rFonts w:ascii="Helvetica" w:hAnsi="Helvetica"/>
          <w:b/>
          <w:bCs/>
          <w:sz w:val="20"/>
          <w:szCs w:val="20"/>
        </w:rPr>
        <w:t xml:space="preserve">Figure S8. Impact of the crowding fold difference parameter </w:t>
      </w:r>
      <m:oMath>
        <m:r>
          <w:rPr>
            <w:rFonts w:ascii="Cambria Math" w:hAnsi="Cambria Math"/>
            <w:sz w:val="20"/>
            <w:szCs w:val="20"/>
          </w:rPr>
          <m:t>d</m:t>
        </m:r>
      </m:oMath>
      <w:r w:rsidRPr="00CC2F84">
        <w:rPr>
          <w:rFonts w:ascii="Helvetica" w:hAnsi="Helvetica"/>
          <w:b/>
          <w:bCs/>
          <w:sz w:val="20"/>
          <w:szCs w:val="20"/>
        </w:rPr>
        <w:t xml:space="preserve">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crowding fold-difference parameter </w:t>
      </w:r>
      <m:oMath>
        <m:r>
          <w:rPr>
            <w:rFonts w:ascii="Cambria Math" w:hAnsi="Cambria Math"/>
            <w:sz w:val="20"/>
            <w:szCs w:val="20"/>
          </w:rPr>
          <m:t>d</m:t>
        </m:r>
      </m:oMath>
      <w:r w:rsidRPr="00CC2F84">
        <w:rPr>
          <w:rFonts w:ascii="Helvetica" w:hAnsi="Helvetica"/>
          <w:sz w:val="20"/>
          <w:szCs w:val="20"/>
        </w:rPr>
        <w:t xml:space="preserve"> (colors), which represents how much more likely a household of size 7+ is to be crowded than a household of size 2.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67134991" w14:textId="77777777" w:rsidR="00164C64" w:rsidRDefault="00164C64">
      <w:pPr>
        <w:spacing w:after="200"/>
        <w:rPr>
          <w:rFonts w:ascii="Helvetica" w:eastAsiaTheme="minorEastAsia" w:hAnsi="Helvetica" w:cstheme="minorBidi"/>
          <w:sz w:val="20"/>
          <w:szCs w:val="20"/>
          <w:lang w:eastAsia="zh-CN"/>
        </w:rPr>
      </w:pPr>
      <w:r>
        <w:rPr>
          <w:rFonts w:ascii="Helvetica" w:hAnsi="Helvetica"/>
          <w:sz w:val="20"/>
          <w:szCs w:val="20"/>
        </w:rPr>
        <w:br w:type="page"/>
      </w:r>
    </w:p>
    <w:p w14:paraId="35D7177D" w14:textId="30C63B46" w:rsidR="008240B4" w:rsidRDefault="008240B4" w:rsidP="00164C64">
      <w:pPr>
        <w:pStyle w:val="BodyText"/>
        <w:jc w:val="both"/>
        <w:rPr>
          <w:rFonts w:ascii="Helvetica" w:hAnsi="Helvetica"/>
          <w:b/>
          <w:bCs/>
          <w:sz w:val="20"/>
          <w:szCs w:val="20"/>
        </w:rPr>
      </w:pPr>
      <w:r>
        <w:rPr>
          <w:rFonts w:ascii="Helvetica" w:hAnsi="Helvetica"/>
          <w:b/>
          <w:bCs/>
          <w:noProof/>
          <w:sz w:val="20"/>
          <w:szCs w:val="20"/>
        </w:rPr>
        <w:lastRenderedPageBreak/>
        <w:drawing>
          <wp:inline distT="0" distB="0" distL="0" distR="0" wp14:anchorId="3FDCAE4B" wp14:editId="316AB9F4">
            <wp:extent cx="5943600" cy="3962400"/>
            <wp:effectExtent l="0" t="0" r="0" b="0"/>
            <wp:docPr id="344809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09515" name="Picture 3448095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4B0FF93F" w14:textId="780D6B37" w:rsidR="00164C64" w:rsidRPr="00164C64" w:rsidRDefault="00164C64" w:rsidP="00164C64">
      <w:pPr>
        <w:pStyle w:val="BodyText"/>
        <w:jc w:val="both"/>
        <w:rPr>
          <w:rFonts w:ascii="Helvetica" w:hAnsi="Helvetica"/>
          <w:sz w:val="20"/>
          <w:szCs w:val="20"/>
        </w:rPr>
      </w:pPr>
      <w:r w:rsidRPr="00CC2F84">
        <w:rPr>
          <w:rFonts w:ascii="Helvetica" w:hAnsi="Helvetica"/>
          <w:b/>
          <w:bCs/>
          <w:sz w:val="20"/>
          <w:szCs w:val="20"/>
        </w:rPr>
        <w:t>Figure S8</w:t>
      </w:r>
      <w:r>
        <w:rPr>
          <w:rFonts w:ascii="Helvetica" w:hAnsi="Helvetica"/>
          <w:b/>
          <w:bCs/>
          <w:sz w:val="20"/>
          <w:szCs w:val="20"/>
        </w:rPr>
        <w:t>.1</w:t>
      </w:r>
      <w:r w:rsidRPr="00CC2F84">
        <w:rPr>
          <w:rFonts w:ascii="Helvetica" w:hAnsi="Helvetica"/>
          <w:b/>
          <w:bCs/>
          <w:sz w:val="20"/>
          <w:szCs w:val="20"/>
        </w:rPr>
        <w:t xml:space="preserve">. Impact of the </w:t>
      </w:r>
      <w:r>
        <w:rPr>
          <w:rFonts w:ascii="Helvetica" w:hAnsi="Helvetica"/>
          <w:b/>
          <w:bCs/>
          <w:sz w:val="20"/>
          <w:szCs w:val="20"/>
        </w:rPr>
        <w:t>infectious period</w:t>
      </w:r>
      <w:r w:rsidRPr="00CC2F84">
        <w:rPr>
          <w:rFonts w:ascii="Helvetica" w:hAnsi="Helvetica"/>
          <w:b/>
          <w:bCs/>
          <w:sz w:val="20"/>
          <w:szCs w:val="20"/>
        </w:rPr>
        <w:t xml:space="preserve"> </w:t>
      </w:r>
      <m:oMath>
        <m:r>
          <w:rPr>
            <w:rFonts w:ascii="Cambria Math" w:hAnsi="Cambria Math"/>
            <w:sz w:val="20"/>
            <w:szCs w:val="20"/>
          </w:rPr>
          <m:t>1</m:t>
        </m:r>
        <m:r>
          <m:rPr>
            <m:lit/>
          </m:rPr>
          <w:rPr>
            <w:rFonts w:ascii="Cambria Math" w:hAnsi="Cambria Math"/>
            <w:sz w:val="20"/>
            <w:szCs w:val="20"/>
          </w:rPr>
          <m:t>/</m:t>
        </m:r>
        <m:r>
          <m:rPr>
            <m:sty m:val="p"/>
          </m:rPr>
          <w:rPr>
            <w:rFonts w:ascii="Cambria Math" w:hAnsi="Cambria Math"/>
            <w:sz w:val="20"/>
            <w:szCs w:val="20"/>
          </w:rPr>
          <m:t>γ</m:t>
        </m:r>
      </m:oMath>
      <w:r>
        <w:rPr>
          <w:rFonts w:ascii="Helvetica" w:hAnsi="Helvetica"/>
          <w:sz w:val="20"/>
          <w:szCs w:val="20"/>
        </w:rPr>
        <w:t xml:space="preserve"> </w:t>
      </w:r>
      <w:r w:rsidRPr="00CC2F84">
        <w:rPr>
          <w:rFonts w:ascii="Helvetica" w:hAnsi="Helvetica"/>
          <w:b/>
          <w:bCs/>
          <w:sz w:val="20"/>
          <w:szCs w:val="20"/>
        </w:rPr>
        <w:t>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w:t>
      </w:r>
      <w:r>
        <w:rPr>
          <w:rFonts w:ascii="Helvetica" w:hAnsi="Helvetica"/>
          <w:sz w:val="20"/>
          <w:szCs w:val="20"/>
        </w:rPr>
        <w:t xml:space="preserve">infections period </w:t>
      </w:r>
      <m:oMath>
        <m:r>
          <w:rPr>
            <w:rFonts w:ascii="Cambria Math" w:hAnsi="Cambria Math"/>
            <w:sz w:val="20"/>
            <w:szCs w:val="20"/>
          </w:rPr>
          <m:t>1</m:t>
        </m:r>
        <m:r>
          <m:rPr>
            <m:lit/>
          </m:rPr>
          <w:rPr>
            <w:rFonts w:ascii="Cambria Math" w:hAnsi="Cambria Math"/>
            <w:sz w:val="20"/>
            <w:szCs w:val="20"/>
          </w:rPr>
          <m:t>/</m:t>
        </m:r>
        <m:r>
          <m:rPr>
            <m:sty m:val="p"/>
          </m:rPr>
          <w:rPr>
            <w:rFonts w:ascii="Cambria Math" w:hAnsi="Cambria Math"/>
            <w:sz w:val="20"/>
            <w:szCs w:val="20"/>
          </w:rPr>
          <m:t>γ</m:t>
        </m:r>
      </m:oMath>
      <w:r w:rsidRPr="00CC2F84">
        <w:rPr>
          <w:rFonts w:ascii="Helvetica" w:hAnsi="Helvetica"/>
          <w:sz w:val="20"/>
          <w:szCs w:val="20"/>
        </w:rPr>
        <w:t xml:space="preserve"> (colors</w:t>
      </w:r>
      <w:r>
        <w:rPr>
          <w:rFonts w:ascii="Helvetica" w:hAnsi="Helvetica"/>
          <w:sz w:val="20"/>
          <w:szCs w:val="20"/>
        </w:rPr>
        <w:t>)</w:t>
      </w:r>
      <w:r w:rsidRPr="00CC2F84">
        <w:rPr>
          <w:rFonts w:ascii="Helvetica" w:hAnsi="Helvetica"/>
          <w:sz w:val="20"/>
          <w:szCs w:val="20"/>
        </w:rPr>
        <w:t>.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05D98308" w14:textId="7C692AFB" w:rsidR="00164C64" w:rsidRDefault="00164C64">
      <w:pPr>
        <w:spacing w:after="200"/>
        <w:rPr>
          <w:rFonts w:ascii="Helvetica" w:eastAsiaTheme="minorEastAsia" w:hAnsi="Helvetica" w:cstheme="minorBidi"/>
          <w:sz w:val="20"/>
          <w:szCs w:val="20"/>
          <w:lang w:eastAsia="zh-CN"/>
        </w:rPr>
      </w:pPr>
      <w:r>
        <w:rPr>
          <w:rFonts w:ascii="Helvetica" w:hAnsi="Helvetica"/>
          <w:sz w:val="20"/>
          <w:szCs w:val="20"/>
        </w:rPr>
        <w:br w:type="page"/>
      </w:r>
    </w:p>
    <w:p w14:paraId="69A2EAC6" w14:textId="77777777" w:rsidR="003C64F0" w:rsidRPr="00CC2F84" w:rsidRDefault="003C64F0" w:rsidP="00CC2F84">
      <w:pPr>
        <w:pStyle w:val="BodyText"/>
        <w:jc w:val="both"/>
        <w:rPr>
          <w:rFonts w:ascii="Helvetica" w:hAnsi="Helvetica"/>
          <w:sz w:val="20"/>
          <w:szCs w:val="20"/>
        </w:rPr>
      </w:pPr>
    </w:p>
    <w:p w14:paraId="4E5FBF6D" w14:textId="77777777" w:rsidR="00AB7EBC" w:rsidRPr="00CC2F84" w:rsidRDefault="006B4661">
      <w:pPr>
        <w:pStyle w:val="BodyText"/>
        <w:rPr>
          <w:rFonts w:ascii="Helvetica" w:hAnsi="Helvetica"/>
        </w:rPr>
      </w:pPr>
      <w:r w:rsidRPr="00CC2F84">
        <w:rPr>
          <w:rFonts w:ascii="Helvetica" w:hAnsi="Helvetica"/>
          <w:b/>
          <w:bCs/>
        </w:rPr>
        <w:t>(A)</w:t>
      </w:r>
      <w:r w:rsidRPr="00CC2F84">
        <w:rPr>
          <w:rFonts w:ascii="Helvetica" w:hAnsi="Helvetica"/>
        </w:rPr>
        <w:t xml:space="preserve"> </w:t>
      </w:r>
      <w:r w:rsidRPr="00CC2F84">
        <w:rPr>
          <w:rFonts w:ascii="Helvetica" w:hAnsi="Helvetica"/>
          <w:noProof/>
        </w:rPr>
        <w:drawing>
          <wp:inline distT="0" distB="0" distL="0" distR="0" wp14:anchorId="14358C57" wp14:editId="6555A119">
            <wp:extent cx="5334000" cy="3556000"/>
            <wp:effectExtent l="0" t="0" r="0" b="0"/>
            <wp:docPr id="151" name="Picture" descr="Epidemic multiplicative"/>
            <wp:cNvGraphicFramePr/>
            <a:graphic xmlns:a="http://schemas.openxmlformats.org/drawingml/2006/main">
              <a:graphicData uri="http://schemas.openxmlformats.org/drawingml/2006/picture">
                <pic:pic xmlns:pic="http://schemas.openxmlformats.org/drawingml/2006/picture">
                  <pic:nvPicPr>
                    <pic:cNvPr id="152" name="Picture" descr="../../figures/main_overlay_multiplicative.png"/>
                    <pic:cNvPicPr>
                      <a:picLocks noChangeAspect="1" noChangeArrowheads="1"/>
                    </pic:cNvPicPr>
                  </pic:nvPicPr>
                  <pic:blipFill>
                    <a:blip r:embed="rId29"/>
                    <a:stretch>
                      <a:fillRect/>
                    </a:stretch>
                  </pic:blipFill>
                  <pic:spPr bwMode="auto">
                    <a:xfrm>
                      <a:off x="0" y="0"/>
                      <a:ext cx="5334000" cy="3556000"/>
                    </a:xfrm>
                    <a:prstGeom prst="rect">
                      <a:avLst/>
                    </a:prstGeom>
                    <a:noFill/>
                    <a:ln w="9525">
                      <a:noFill/>
                      <a:headEnd/>
                      <a:tailEnd/>
                    </a:ln>
                  </pic:spPr>
                </pic:pic>
              </a:graphicData>
            </a:graphic>
          </wp:inline>
        </w:drawing>
      </w:r>
    </w:p>
    <w:p w14:paraId="4A3F92B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1121E77" wp14:editId="4F2781AA">
            <wp:extent cx="5334000" cy="3556000"/>
            <wp:effectExtent l="0" t="0" r="0" b="0"/>
            <wp:docPr id="154" name="Picture" descr="Cumulative infections multiplicative"/>
            <wp:cNvGraphicFramePr/>
            <a:graphic xmlns:a="http://schemas.openxmlformats.org/drawingml/2006/main">
              <a:graphicData uri="http://schemas.openxmlformats.org/drawingml/2006/picture">
                <pic:pic xmlns:pic="http://schemas.openxmlformats.org/drawingml/2006/picture">
                  <pic:nvPicPr>
                    <pic:cNvPr id="155" name="Picture" descr="../../figures/main_cumulative_multiplicative.png"/>
                    <pic:cNvPicPr>
                      <a:picLocks noChangeAspect="1" noChangeArrowheads="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14:paraId="03ED23D9"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39A626B5" wp14:editId="3627C053">
            <wp:extent cx="5334000" cy="3556000"/>
            <wp:effectExtent l="0" t="0" r="0" b="0"/>
            <wp:docPr id="157" name="Picture" descr="Relative infections multiplicative"/>
            <wp:cNvGraphicFramePr/>
            <a:graphic xmlns:a="http://schemas.openxmlformats.org/drawingml/2006/main">
              <a:graphicData uri="http://schemas.openxmlformats.org/drawingml/2006/picture">
                <pic:pic xmlns:pic="http://schemas.openxmlformats.org/drawingml/2006/picture">
                  <pic:nvPicPr>
                    <pic:cNvPr id="158" name="Picture" descr="../../figures/main_relative_infection_multiplicative.png"/>
                    <pic:cNvPicPr>
                      <a:picLocks noChangeAspect="1" noChangeArrowheads="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14:paraId="02893133"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S9. Epidemic trajectories under the multiplicative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“multiplicative” method, in which regional NAWS household attributes are adjusted by the ratio between the county-level ACS values and the regional ACS mean.</w:t>
      </w:r>
    </w:p>
    <w:p w14:paraId="7DBACE4C" w14:textId="77777777" w:rsidR="00C40D09" w:rsidRPr="00CC2F84" w:rsidRDefault="00C40D09">
      <w:pPr>
        <w:pStyle w:val="BodyText"/>
        <w:rPr>
          <w:rFonts w:ascii="Helvetica" w:hAnsi="Helvetica"/>
        </w:rPr>
      </w:pPr>
    </w:p>
    <w:p w14:paraId="7353D899"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2E0A1070" wp14:editId="53255BD3">
            <wp:extent cx="5334000" cy="3556000"/>
            <wp:effectExtent l="0" t="0" r="0" b="0"/>
            <wp:docPr id="160" name="Picture" descr="Epidemic none"/>
            <wp:cNvGraphicFramePr/>
            <a:graphic xmlns:a="http://schemas.openxmlformats.org/drawingml/2006/main">
              <a:graphicData uri="http://schemas.openxmlformats.org/drawingml/2006/picture">
                <pic:pic xmlns:pic="http://schemas.openxmlformats.org/drawingml/2006/picture">
                  <pic:nvPicPr>
                    <pic:cNvPr id="161" name="Picture" descr="../../figures/main_overlay_none.png"/>
                    <pic:cNvPicPr>
                      <a:picLocks noChangeAspect="1" noChangeArrowheads="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p>
    <w:p w14:paraId="72A9499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5B407DE6" wp14:editId="542ACF00">
            <wp:extent cx="5334000" cy="3556000"/>
            <wp:effectExtent l="0" t="0" r="0" b="0"/>
            <wp:docPr id="163" name="Picture" descr="Cumulative infections none"/>
            <wp:cNvGraphicFramePr/>
            <a:graphic xmlns:a="http://schemas.openxmlformats.org/drawingml/2006/main">
              <a:graphicData uri="http://schemas.openxmlformats.org/drawingml/2006/picture">
                <pic:pic xmlns:pic="http://schemas.openxmlformats.org/drawingml/2006/picture">
                  <pic:nvPicPr>
                    <pic:cNvPr id="164" name="Picture" descr="../../figures/main_cumulative_none.png"/>
                    <pic:cNvPicPr>
                      <a:picLocks noChangeAspect="1" noChangeArrowheads="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14:paraId="6379D264"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095402CD" wp14:editId="76FC371B">
            <wp:extent cx="5334000" cy="3556000"/>
            <wp:effectExtent l="0" t="0" r="0" b="0"/>
            <wp:docPr id="166" name="Picture" descr="Relative infections none"/>
            <wp:cNvGraphicFramePr/>
            <a:graphic xmlns:a="http://schemas.openxmlformats.org/drawingml/2006/main">
              <a:graphicData uri="http://schemas.openxmlformats.org/drawingml/2006/picture">
                <pic:pic xmlns:pic="http://schemas.openxmlformats.org/drawingml/2006/picture">
                  <pic:nvPicPr>
                    <pic:cNvPr id="167" name="Picture" descr="../../figures/main_relative_infection_none.png"/>
                    <pic:cNvPicPr>
                      <a:picLocks noChangeAspect="1" noChangeArrowheads="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14:paraId="13D0EA60"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S10. Epidemic trajectories under the “null”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“null” method, in which county-level household attributes for agricultural workers are taken to be equal to the regional NAWS value, with no adjustment.</w:t>
      </w:r>
    </w:p>
    <w:p w14:paraId="032DEC5A" w14:textId="77777777" w:rsidR="00C40D09" w:rsidRPr="00CC2F84" w:rsidRDefault="00C40D09">
      <w:pPr>
        <w:pStyle w:val="BodyText"/>
        <w:rPr>
          <w:rFonts w:ascii="Helvetica" w:hAnsi="Helvetica"/>
        </w:rPr>
      </w:pPr>
    </w:p>
    <w:p w14:paraId="51DFBE0C" w14:textId="77777777" w:rsidR="00AB7EBC" w:rsidRPr="00CC2F84" w:rsidRDefault="006B4661" w:rsidP="00FE37B8">
      <w:pPr>
        <w:pStyle w:val="CaptionedFigure"/>
        <w:jc w:val="center"/>
        <w:rPr>
          <w:rFonts w:ascii="Helvetica" w:hAnsi="Helvetica"/>
        </w:rPr>
      </w:pPr>
      <w:r w:rsidRPr="00CC2F84">
        <w:rPr>
          <w:rFonts w:ascii="Helvetica" w:hAnsi="Helvetica"/>
          <w:noProof/>
        </w:rPr>
        <w:lastRenderedPageBreak/>
        <w:drawing>
          <wp:inline distT="0" distB="0" distL="0" distR="0" wp14:anchorId="44DAEF55" wp14:editId="1E1C78B5">
            <wp:extent cx="5334000" cy="2667000"/>
            <wp:effectExtent l="0" t="0" r="0" b="0"/>
            <wp:docPr id="169" name="Picture" descr="Crop movements"/>
            <wp:cNvGraphicFramePr/>
            <a:graphic xmlns:a="http://schemas.openxmlformats.org/drawingml/2006/main">
              <a:graphicData uri="http://schemas.openxmlformats.org/drawingml/2006/picture">
                <pic:pic xmlns:pic="http://schemas.openxmlformats.org/drawingml/2006/picture">
                  <pic:nvPicPr>
                    <pic:cNvPr id="170" name="Picture" descr="../../figures/crop_movements_raw.png"/>
                    <pic:cNvPicPr>
                      <a:picLocks noChangeAspect="1" noChangeArrowheads="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14:paraId="37C79E33" w14:textId="77777777" w:rsidR="00C40D09" w:rsidRPr="00CC2F84" w:rsidRDefault="00C40D09" w:rsidP="00CC2F84">
      <w:pPr>
        <w:pStyle w:val="BodyText"/>
        <w:jc w:val="both"/>
        <w:rPr>
          <w:rFonts w:ascii="Helvetica" w:hAnsi="Helvetica"/>
          <w:sz w:val="20"/>
          <w:szCs w:val="20"/>
        </w:rPr>
      </w:pPr>
      <w:commentRangeStart w:id="97"/>
      <w:r w:rsidRPr="00CC2F84">
        <w:rPr>
          <w:rFonts w:ascii="Helvetica" w:hAnsi="Helvetica"/>
          <w:b/>
          <w:bCs/>
          <w:sz w:val="20"/>
          <w:szCs w:val="20"/>
        </w:rPr>
        <w:t>Figure S11. Weekly crop movements for three labor-intensive California crops</w:t>
      </w:r>
      <w:r w:rsidRPr="00CC2F84">
        <w:rPr>
          <w:rFonts w:ascii="Helvetica" w:hAnsi="Helvetica"/>
          <w:sz w:val="20"/>
          <w:szCs w:val="20"/>
        </w:rPr>
        <w:t xml:space="preserve"> Weekly point-to-point crop shipments (in million pounds) originating in California for iceberg lettuce (blue), oranges (orange), and strawberries (magenta), from 2018–2024.</w:t>
      </w:r>
      <w:commentRangeEnd w:id="97"/>
      <w:r w:rsidR="00956CEE" w:rsidRPr="00CC2F84">
        <w:rPr>
          <w:rStyle w:val="CommentReference"/>
          <w:rFonts w:ascii="Helvetica" w:hAnsi="Helvetica"/>
          <w:sz w:val="20"/>
          <w:szCs w:val="20"/>
        </w:rPr>
        <w:commentReference w:id="97"/>
      </w:r>
    </w:p>
    <w:p w14:paraId="5E532BE3" w14:textId="06EA1B1F" w:rsidR="00C40D09" w:rsidRPr="00CC2F84" w:rsidRDefault="00C40D09">
      <w:pPr>
        <w:rPr>
          <w:rFonts w:ascii="Helvetica" w:hAnsi="Helvetica"/>
        </w:rPr>
      </w:pPr>
      <w:r w:rsidRPr="00CC2F84">
        <w:rPr>
          <w:rFonts w:ascii="Helvetica" w:hAnsi="Helvetica"/>
        </w:rPr>
        <w:br w:type="page"/>
      </w:r>
    </w:p>
    <w:p w14:paraId="5E1F2723" w14:textId="77777777" w:rsidR="00C40D09" w:rsidRPr="00CC2F84" w:rsidRDefault="00C40D09">
      <w:pPr>
        <w:pStyle w:val="CaptionedFigure"/>
        <w:rPr>
          <w:rFonts w:ascii="Helvetica" w:hAnsi="Helvetica"/>
        </w:rPr>
      </w:pPr>
    </w:p>
    <w:p w14:paraId="170B2914"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454F6FA7" wp14:editId="137B207A">
            <wp:extent cx="5334000" cy="3200399"/>
            <wp:effectExtent l="0" t="0" r="0" b="0"/>
            <wp:docPr id="172" name="Picture" descr="Crop movements validated"/>
            <wp:cNvGraphicFramePr/>
            <a:graphic xmlns:a="http://schemas.openxmlformats.org/drawingml/2006/main">
              <a:graphicData uri="http://schemas.openxmlformats.org/drawingml/2006/picture">
                <pic:pic xmlns:pic="http://schemas.openxmlformats.org/drawingml/2006/picture">
                  <pic:nvPicPr>
                    <pic:cNvPr id="173" name="Picture" descr="../../figures/crop_movements_validated.png"/>
                    <pic:cNvPicPr>
                      <a:picLocks noChangeAspect="1" noChangeArrowheads="1"/>
                    </pic:cNvPicPr>
                  </pic:nvPicPr>
                  <pic:blipFill>
                    <a:blip r:embed="rId36"/>
                    <a:stretch>
                      <a:fillRect/>
                    </a:stretch>
                  </pic:blipFill>
                  <pic:spPr bwMode="auto">
                    <a:xfrm>
                      <a:off x="0" y="0"/>
                      <a:ext cx="5334000" cy="3200399"/>
                    </a:xfrm>
                    <a:prstGeom prst="rect">
                      <a:avLst/>
                    </a:prstGeom>
                    <a:noFill/>
                    <a:ln w="9525">
                      <a:noFill/>
                      <a:headEnd/>
                      <a:tailEnd/>
                    </a:ln>
                  </pic:spPr>
                </pic:pic>
              </a:graphicData>
            </a:graphic>
          </wp:inline>
        </w:drawing>
      </w:r>
    </w:p>
    <w:p w14:paraId="07D95347" w14:textId="7777777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S12. Average weekly crop movements with known harvesting patterns.</w:t>
      </w:r>
      <w:r w:rsidRPr="00CC2F84">
        <w:rPr>
          <w:rFonts w:ascii="Helvetica" w:hAnsi="Helvetica"/>
          <w:sz w:val="20"/>
          <w:szCs w:val="20"/>
        </w:rPr>
        <w:t xml:space="preserve"> Comparison of normalized average weekly crop movements (proportion of total annual volume from 2018-2024; solid lines) with harvest information from University of California Agriculture and Natural Resources Cooperative Extension reports (dashed line, semi-transparent bars) for iceberg lettuce (blue), oranges (orange), and strawberries (magenta) in California. For strawberries, the University of California report gives explicit monthly harvest proportions, which are re-scaled to approximate weekly harvest volumes (dashed magenta line). For oranges, the reported harvest season runs from November to June (semi-transparent orange bar). For iceberg lettuce, the planting season runs from late December to mid-August (lighter semi-transparent blue bar). We computed an approximate harvest season (darker semi-transparent blue bar) by shifting the planting window forward by 100 days at the cool-season (December) end and by 50 days at the warm-season end (August) to account for reported seasonal differences in maturation time.</w:t>
      </w:r>
    </w:p>
    <w:p w14:paraId="237CDA8F" w14:textId="375C8E87" w:rsidR="00C40D09" w:rsidRPr="00CC2F84" w:rsidRDefault="00C40D09">
      <w:pPr>
        <w:rPr>
          <w:rFonts w:ascii="Helvetica" w:hAnsi="Helvetica"/>
        </w:rPr>
      </w:pPr>
      <w:r w:rsidRPr="00CC2F84">
        <w:rPr>
          <w:rFonts w:ascii="Helvetica" w:hAnsi="Helvetica"/>
        </w:rPr>
        <w:br w:type="page"/>
      </w:r>
    </w:p>
    <w:p w14:paraId="74D4B2AC" w14:textId="77777777" w:rsidR="00C40D09" w:rsidRPr="00CC2F84" w:rsidRDefault="00C40D09">
      <w:pPr>
        <w:pStyle w:val="CaptionedFigure"/>
        <w:rPr>
          <w:rFonts w:ascii="Helvetica" w:hAnsi="Helvetica"/>
        </w:rPr>
      </w:pPr>
    </w:p>
    <w:p w14:paraId="6F3F9FC9"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7599B4BF" wp14:editId="24B7E7B8">
            <wp:extent cx="5334000" cy="2667000"/>
            <wp:effectExtent l="0" t="0" r="0" b="0"/>
            <wp:docPr id="175" name="Picture" descr="Crop impact by peak day"/>
            <wp:cNvGraphicFramePr/>
            <a:graphic xmlns:a="http://schemas.openxmlformats.org/drawingml/2006/main">
              <a:graphicData uri="http://schemas.openxmlformats.org/drawingml/2006/picture">
                <pic:pic xmlns:pic="http://schemas.openxmlformats.org/drawingml/2006/picture">
                  <pic:nvPicPr>
                    <pic:cNvPr id="176" name="Picture" descr="../../figures/crop_impact_by_peakday.png"/>
                    <pic:cNvPicPr>
                      <a:picLocks noChangeAspect="1" noChangeArrowheads="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p w14:paraId="3F476861" w14:textId="317C2FF3"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S13. Estimated crop production loss as a function of epidemic peak timing when all infections are symptomatic.</w:t>
      </w:r>
      <w:r w:rsidRPr="00CC2F84">
        <w:rPr>
          <w:rFonts w:ascii="Helvetica" w:hAnsi="Helvetica"/>
          <w:sz w:val="20"/>
          <w:szCs w:val="20"/>
        </w:rPr>
        <w:t xml:space="preserve"> Simulated percent of total harvest volume impacted by outbreak-induced labor shortages for iceberg lettuce (blue), strawberries (magenta), and oranges (orange) under baseline parameter values and symptomatic proportion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1</m:t>
        </m:r>
      </m:oMath>
      <w:r w:rsidRPr="00CC2F84">
        <w:rPr>
          <w:rFonts w:ascii="Helvetica" w:hAnsi="Helvetica"/>
          <w:sz w:val="20"/>
          <w:szCs w:val="20"/>
        </w:rPr>
        <w:t xml:space="preserve">. The horizontal axis represents the day of the year on which infection prevalence peaks in the general community (peak infections among agricultural workers occur a few days earlier). Production losses for other symptomatic probabilities can be derived by re-scaling these curves by the desired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oMath>
      <w:r w:rsidRPr="00CC2F84">
        <w:rPr>
          <w:rFonts w:ascii="Helvetica" w:hAnsi="Helvetica"/>
          <w:sz w:val="20"/>
          <w:szCs w:val="20"/>
        </w:rPr>
        <w:t>.</w:t>
      </w:r>
      <w:bookmarkStart w:id="98" w:name="supplementary-tables"/>
      <w:bookmarkEnd w:id="94"/>
      <w:r w:rsidRPr="00CC2F84">
        <w:rPr>
          <w:rFonts w:ascii="Helvetica" w:hAnsi="Helvetica"/>
          <w:sz w:val="20"/>
          <w:szCs w:val="20"/>
        </w:rPr>
        <w:br w:type="page"/>
      </w:r>
    </w:p>
    <w:p w14:paraId="4F8B9AAA" w14:textId="24E34E81" w:rsidR="00AB7EBC" w:rsidRPr="00CC2F84" w:rsidRDefault="006B4661">
      <w:pPr>
        <w:pStyle w:val="Heading3"/>
        <w:rPr>
          <w:rFonts w:ascii="Helvetica" w:hAnsi="Helvetica"/>
          <w:b/>
          <w:bCs/>
          <w:color w:val="auto"/>
          <w:sz w:val="22"/>
          <w:szCs w:val="22"/>
        </w:rPr>
      </w:pPr>
      <w:r w:rsidRPr="00CC2F84">
        <w:rPr>
          <w:rFonts w:ascii="Helvetica" w:hAnsi="Helvetica"/>
          <w:b/>
          <w:bCs/>
          <w:color w:val="auto"/>
          <w:sz w:val="22"/>
          <w:szCs w:val="22"/>
        </w:rPr>
        <w:lastRenderedPageBreak/>
        <w:t>Supplementary Tables</w:t>
      </w:r>
    </w:p>
    <w:p w14:paraId="39B94F30" w14:textId="77777777" w:rsidR="00AB7EBC" w:rsidRPr="00CC2F84" w:rsidRDefault="006B4661" w:rsidP="00CC2F84">
      <w:pPr>
        <w:pStyle w:val="FirstParagraph"/>
        <w:jc w:val="both"/>
        <w:rPr>
          <w:rFonts w:ascii="Helvetica" w:hAnsi="Helvetica"/>
          <w:sz w:val="20"/>
          <w:szCs w:val="20"/>
        </w:rPr>
      </w:pPr>
      <w:r w:rsidRPr="00CC2F84">
        <w:rPr>
          <w:rFonts w:ascii="Helvetica" w:hAnsi="Helvetica"/>
          <w:b/>
          <w:bCs/>
          <w:sz w:val="20"/>
          <w:szCs w:val="20"/>
        </w:rPr>
        <w:t>Table S1. Household characteristics by region for agricultural workers and the general community.</w:t>
      </w:r>
      <w:r w:rsidRPr="00CC2F84">
        <w:rPr>
          <w:rFonts w:ascii="Helvetica" w:hAnsi="Helvetica"/>
          <w:sz w:val="20"/>
          <w:szCs w:val="20"/>
        </w:rPr>
        <w:t xml:space="preserve"> Mean household size is the population-weighted average across household sizes 1–7+. Crowding proportion is the fraction of households with more than 1 occupant per room. Agricultural worker data are from the National Agricultural Workers Survey (NAWS), and general community data are from the American Community Survey (ACS), aggregated to the regional level using population-weighted averages.</w:t>
      </w:r>
    </w:p>
    <w:tbl>
      <w:tblPr>
        <w:tblStyle w:val="Table"/>
        <w:tblW w:w="5000" w:type="pct"/>
        <w:tblLayout w:type="fixed"/>
        <w:tblLook w:val="0020" w:firstRow="1" w:lastRow="0" w:firstColumn="0" w:lastColumn="0" w:noHBand="0" w:noVBand="0"/>
      </w:tblPr>
      <w:tblGrid>
        <w:gridCol w:w="1100"/>
        <w:gridCol w:w="1376"/>
        <w:gridCol w:w="1376"/>
        <w:gridCol w:w="1377"/>
        <w:gridCol w:w="1377"/>
        <w:gridCol w:w="1377"/>
        <w:gridCol w:w="1377"/>
      </w:tblGrid>
      <w:tr w:rsidR="003C64F0" w:rsidRPr="00CC2F84" w14:paraId="75EC87C4"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31" w:type="dxa"/>
          </w:tcPr>
          <w:p w14:paraId="151FBFB4"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164" w:type="dxa"/>
          </w:tcPr>
          <w:p w14:paraId="7E0A1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Mean household size</w:t>
            </w:r>
          </w:p>
        </w:tc>
        <w:tc>
          <w:tcPr>
            <w:tcW w:w="1164" w:type="dxa"/>
          </w:tcPr>
          <w:p w14:paraId="646E398A" w14:textId="77777777" w:rsidR="00AB7EBC" w:rsidRPr="00A84C1C" w:rsidRDefault="00AB7EBC">
            <w:pPr>
              <w:pStyle w:val="Compact"/>
              <w:rPr>
                <w:rFonts w:ascii="Helvetica" w:hAnsi="Helvetica"/>
                <w:sz w:val="18"/>
                <w:szCs w:val="18"/>
              </w:rPr>
            </w:pPr>
          </w:p>
        </w:tc>
        <w:tc>
          <w:tcPr>
            <w:tcW w:w="1164" w:type="dxa"/>
          </w:tcPr>
          <w:p w14:paraId="73A25E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Prop. of households size 4+</w:t>
            </w:r>
          </w:p>
        </w:tc>
        <w:tc>
          <w:tcPr>
            <w:tcW w:w="1164" w:type="dxa"/>
          </w:tcPr>
          <w:p w14:paraId="371D33AD" w14:textId="77777777" w:rsidR="00AB7EBC" w:rsidRPr="00A84C1C" w:rsidRDefault="00AB7EBC">
            <w:pPr>
              <w:pStyle w:val="Compact"/>
              <w:rPr>
                <w:rFonts w:ascii="Helvetica" w:hAnsi="Helvetica"/>
                <w:sz w:val="18"/>
                <w:szCs w:val="18"/>
              </w:rPr>
            </w:pPr>
          </w:p>
        </w:tc>
        <w:tc>
          <w:tcPr>
            <w:tcW w:w="1164" w:type="dxa"/>
          </w:tcPr>
          <w:p w14:paraId="765437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Crowding proportion</w:t>
            </w:r>
          </w:p>
        </w:tc>
        <w:tc>
          <w:tcPr>
            <w:tcW w:w="1164" w:type="dxa"/>
          </w:tcPr>
          <w:p w14:paraId="17F3901E" w14:textId="77777777" w:rsidR="00AB7EBC" w:rsidRPr="00A84C1C" w:rsidRDefault="00AB7EBC">
            <w:pPr>
              <w:pStyle w:val="Compact"/>
              <w:rPr>
                <w:rFonts w:ascii="Helvetica" w:hAnsi="Helvetica"/>
                <w:sz w:val="18"/>
                <w:szCs w:val="18"/>
              </w:rPr>
            </w:pPr>
          </w:p>
        </w:tc>
      </w:tr>
      <w:tr w:rsidR="003C64F0" w:rsidRPr="00CC2F84" w14:paraId="734A643D" w14:textId="77777777">
        <w:tc>
          <w:tcPr>
            <w:tcW w:w="931" w:type="dxa"/>
          </w:tcPr>
          <w:p w14:paraId="0E21653D" w14:textId="77777777" w:rsidR="00AB7EBC" w:rsidRPr="00A84C1C" w:rsidRDefault="00AB7EBC">
            <w:pPr>
              <w:pStyle w:val="Compact"/>
              <w:rPr>
                <w:rFonts w:ascii="Helvetica" w:hAnsi="Helvetica"/>
                <w:sz w:val="18"/>
                <w:szCs w:val="18"/>
              </w:rPr>
            </w:pPr>
          </w:p>
        </w:tc>
        <w:tc>
          <w:tcPr>
            <w:tcW w:w="1164" w:type="dxa"/>
          </w:tcPr>
          <w:p w14:paraId="32359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4C3D56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681BF1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1311F9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338FCE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2EFB21B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0CB57F4C" w14:textId="77777777">
        <w:tc>
          <w:tcPr>
            <w:tcW w:w="931" w:type="dxa"/>
          </w:tcPr>
          <w:p w14:paraId="07F47FC9"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164" w:type="dxa"/>
          </w:tcPr>
          <w:p w14:paraId="49D6EC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5541AA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3264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54.7%</w:t>
            </w:r>
          </w:p>
        </w:tc>
        <w:tc>
          <w:tcPr>
            <w:tcW w:w="1164" w:type="dxa"/>
          </w:tcPr>
          <w:p w14:paraId="7DAB47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21.7%</w:t>
            </w:r>
          </w:p>
        </w:tc>
        <w:tc>
          <w:tcPr>
            <w:tcW w:w="1164" w:type="dxa"/>
          </w:tcPr>
          <w:p w14:paraId="2ED58E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20.3%</w:t>
            </w:r>
          </w:p>
        </w:tc>
        <w:tc>
          <w:tcPr>
            <w:tcW w:w="1164" w:type="dxa"/>
          </w:tcPr>
          <w:p w14:paraId="51D5A8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r>
      <w:tr w:rsidR="003C64F0" w:rsidRPr="00CC2F84" w14:paraId="62EB6C7C" w14:textId="77777777">
        <w:tc>
          <w:tcPr>
            <w:tcW w:w="931" w:type="dxa"/>
          </w:tcPr>
          <w:p w14:paraId="29E136C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164" w:type="dxa"/>
          </w:tcPr>
          <w:p w14:paraId="3FFFB5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4FDD32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73F8C5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52.3%</w:t>
            </w:r>
          </w:p>
        </w:tc>
        <w:tc>
          <w:tcPr>
            <w:tcW w:w="1164" w:type="dxa"/>
          </w:tcPr>
          <w:p w14:paraId="29AE90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20.6%</w:t>
            </w:r>
          </w:p>
        </w:tc>
        <w:tc>
          <w:tcPr>
            <w:tcW w:w="1164" w:type="dxa"/>
          </w:tcPr>
          <w:p w14:paraId="28E7639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22.4%</w:t>
            </w:r>
          </w:p>
        </w:tc>
        <w:tc>
          <w:tcPr>
            <w:tcW w:w="1164" w:type="dxa"/>
          </w:tcPr>
          <w:p w14:paraId="4FE36D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r>
      <w:tr w:rsidR="003C64F0" w:rsidRPr="00CC2F84" w14:paraId="6DD6CC78" w14:textId="77777777">
        <w:tc>
          <w:tcPr>
            <w:tcW w:w="931" w:type="dxa"/>
          </w:tcPr>
          <w:p w14:paraId="7CADAD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164" w:type="dxa"/>
          </w:tcPr>
          <w:p w14:paraId="2DE073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16C9F6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D05209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41.1%</w:t>
            </w:r>
          </w:p>
        </w:tc>
        <w:tc>
          <w:tcPr>
            <w:tcW w:w="1164" w:type="dxa"/>
          </w:tcPr>
          <w:p w14:paraId="28C054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20.7%</w:t>
            </w:r>
          </w:p>
        </w:tc>
        <w:tc>
          <w:tcPr>
            <w:tcW w:w="1164" w:type="dxa"/>
          </w:tcPr>
          <w:p w14:paraId="7566CD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11.2%</w:t>
            </w:r>
          </w:p>
        </w:tc>
        <w:tc>
          <w:tcPr>
            <w:tcW w:w="1164" w:type="dxa"/>
          </w:tcPr>
          <w:p w14:paraId="03DDC4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r>
      <w:tr w:rsidR="003C64F0" w:rsidRPr="00CC2F84" w14:paraId="16A87BE8" w14:textId="77777777">
        <w:tc>
          <w:tcPr>
            <w:tcW w:w="931" w:type="dxa"/>
          </w:tcPr>
          <w:p w14:paraId="646F048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164" w:type="dxa"/>
          </w:tcPr>
          <w:p w14:paraId="120E00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3E238A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164" w:type="dxa"/>
          </w:tcPr>
          <w:p w14:paraId="74778E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45.1%</w:t>
            </w:r>
          </w:p>
        </w:tc>
        <w:tc>
          <w:tcPr>
            <w:tcW w:w="1164" w:type="dxa"/>
          </w:tcPr>
          <w:p w14:paraId="29A19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25.5%</w:t>
            </w:r>
          </w:p>
        </w:tc>
        <w:tc>
          <w:tcPr>
            <w:tcW w:w="1164" w:type="dxa"/>
          </w:tcPr>
          <w:p w14:paraId="37ADA1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14.8%</w:t>
            </w:r>
          </w:p>
        </w:tc>
        <w:tc>
          <w:tcPr>
            <w:tcW w:w="1164" w:type="dxa"/>
          </w:tcPr>
          <w:p w14:paraId="1B2933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r>
      <w:tr w:rsidR="003C64F0" w:rsidRPr="00CC2F84" w14:paraId="47EA9152" w14:textId="77777777">
        <w:tc>
          <w:tcPr>
            <w:tcW w:w="931" w:type="dxa"/>
          </w:tcPr>
          <w:p w14:paraId="58A629AE"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164" w:type="dxa"/>
          </w:tcPr>
          <w:p w14:paraId="7999CD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1C5E56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w:t>
            </w:r>
          </w:p>
        </w:tc>
        <w:tc>
          <w:tcPr>
            <w:tcW w:w="1164" w:type="dxa"/>
          </w:tcPr>
          <w:p w14:paraId="6A39C5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58.6%</w:t>
            </w:r>
          </w:p>
        </w:tc>
        <w:tc>
          <w:tcPr>
            <w:tcW w:w="1164" w:type="dxa"/>
          </w:tcPr>
          <w:p w14:paraId="4552D0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23.4%</w:t>
            </w:r>
          </w:p>
        </w:tc>
        <w:tc>
          <w:tcPr>
            <w:tcW w:w="1164" w:type="dxa"/>
          </w:tcPr>
          <w:p w14:paraId="15147F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27.3%</w:t>
            </w:r>
          </w:p>
        </w:tc>
        <w:tc>
          <w:tcPr>
            <w:tcW w:w="1164" w:type="dxa"/>
          </w:tcPr>
          <w:p w14:paraId="4E7DB73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r>
      <w:tr w:rsidR="003C64F0" w:rsidRPr="00CC2F84" w14:paraId="1AB684CA" w14:textId="77777777">
        <w:tc>
          <w:tcPr>
            <w:tcW w:w="931" w:type="dxa"/>
          </w:tcPr>
          <w:p w14:paraId="0CD5D68D"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164" w:type="dxa"/>
          </w:tcPr>
          <w:p w14:paraId="029497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164" w:type="dxa"/>
          </w:tcPr>
          <w:p w14:paraId="1995E5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164" w:type="dxa"/>
          </w:tcPr>
          <w:p w14:paraId="2697D6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61.7%</w:t>
            </w:r>
          </w:p>
        </w:tc>
        <w:tc>
          <w:tcPr>
            <w:tcW w:w="1164" w:type="dxa"/>
          </w:tcPr>
          <w:p w14:paraId="2A16F6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29.3%</w:t>
            </w:r>
          </w:p>
        </w:tc>
        <w:tc>
          <w:tcPr>
            <w:tcW w:w="1164" w:type="dxa"/>
          </w:tcPr>
          <w:p w14:paraId="4DF373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32.8%</w:t>
            </w:r>
          </w:p>
        </w:tc>
        <w:tc>
          <w:tcPr>
            <w:tcW w:w="1164" w:type="dxa"/>
          </w:tcPr>
          <w:p w14:paraId="0FB48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r>
    </w:tbl>
    <w:p w14:paraId="63ED0678" w14:textId="77777777" w:rsidR="00C40D09" w:rsidRPr="00CC2F84" w:rsidRDefault="00C40D09">
      <w:pPr>
        <w:pStyle w:val="BodyText"/>
        <w:rPr>
          <w:rFonts w:ascii="Helvetica" w:hAnsi="Helvetica"/>
          <w:b/>
          <w:bCs/>
        </w:rPr>
      </w:pPr>
    </w:p>
    <w:p w14:paraId="775F3502" w14:textId="77777777" w:rsidR="00C40D09" w:rsidRPr="00CC2F84" w:rsidRDefault="00C40D09">
      <w:pPr>
        <w:rPr>
          <w:rFonts w:ascii="Helvetica" w:hAnsi="Helvetica"/>
          <w:b/>
          <w:bCs/>
        </w:rPr>
      </w:pPr>
      <w:r w:rsidRPr="00CC2F84">
        <w:rPr>
          <w:rFonts w:ascii="Helvetica" w:hAnsi="Helvetica"/>
          <w:b/>
          <w:bCs/>
        </w:rPr>
        <w:br w:type="page"/>
      </w:r>
    </w:p>
    <w:p w14:paraId="671101FC" w14:textId="171E102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S2. Baseline and sensitivity analysis parameter values for the disease transmission model.</w:t>
      </w:r>
      <w:r w:rsidRPr="00A84C1C">
        <w:rPr>
          <w:rFonts w:ascii="Helvetica" w:hAnsi="Helvetica"/>
          <w:sz w:val="20"/>
          <w:szCs w:val="20"/>
        </w:rPr>
        <w:t xml:space="preserve"> Each sensitivity analysis varies one parameter at a time while holding all others at baseline values (first row). Bold values indicate the parameter(s) being varied in each row.</w:t>
      </w:r>
    </w:p>
    <w:tbl>
      <w:tblPr>
        <w:tblStyle w:val="Table"/>
        <w:tblW w:w="5000" w:type="pct"/>
        <w:tblLayout w:type="fixed"/>
        <w:tblLook w:val="0020" w:firstRow="1" w:lastRow="0" w:firstColumn="0" w:lastColumn="0" w:noHBand="0" w:noVBand="0"/>
      </w:tblPr>
      <w:tblGrid>
        <w:gridCol w:w="1170"/>
        <w:gridCol w:w="1170"/>
        <w:gridCol w:w="1170"/>
        <w:gridCol w:w="1170"/>
        <w:gridCol w:w="1170"/>
        <w:gridCol w:w="1170"/>
        <w:gridCol w:w="1170"/>
        <w:gridCol w:w="1170"/>
      </w:tblGrid>
      <w:tr w:rsidR="003C64F0" w:rsidRPr="00CC2F84" w14:paraId="5C97DA29"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90" w:type="dxa"/>
          </w:tcPr>
          <w:p w14:paraId="12862120"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m:oMathPara>
          </w:p>
        </w:tc>
        <w:tc>
          <w:tcPr>
            <w:tcW w:w="990" w:type="dxa"/>
          </w:tcPr>
          <w:p w14:paraId="3EB196C7"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η</m:t>
                </m:r>
              </m:oMath>
            </m:oMathPara>
          </w:p>
        </w:tc>
        <w:tc>
          <w:tcPr>
            <w:tcW w:w="990" w:type="dxa"/>
          </w:tcPr>
          <w:p w14:paraId="3DF215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SAR (crowded)</w:t>
            </w:r>
          </w:p>
        </w:tc>
        <w:tc>
          <w:tcPr>
            <w:tcW w:w="990" w:type="dxa"/>
          </w:tcPr>
          <w:p w14:paraId="0B1F70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Fold diff. (</w:t>
            </w:r>
            <m:oMath>
              <m:r>
                <w:rPr>
                  <w:rFonts w:ascii="Cambria Math" w:hAnsi="Cambria Math"/>
                  <w:sz w:val="18"/>
                  <w:szCs w:val="18"/>
                </w:rPr>
                <m:t>d</m:t>
              </m:r>
            </m:oMath>
            <w:r w:rsidRPr="00A84C1C">
              <w:rPr>
                <w:rFonts w:ascii="Helvetica" w:hAnsi="Helvetica"/>
                <w:sz w:val="18"/>
                <w:szCs w:val="18"/>
              </w:rPr>
              <w:t>)</w:t>
            </w:r>
          </w:p>
        </w:tc>
        <w:tc>
          <w:tcPr>
            <w:tcW w:w="990" w:type="dxa"/>
          </w:tcPr>
          <w:p w14:paraId="5026804B"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τ</m:t>
                </m:r>
              </m:oMath>
            </m:oMathPara>
          </w:p>
        </w:tc>
        <w:tc>
          <w:tcPr>
            <w:tcW w:w="990" w:type="dxa"/>
          </w:tcPr>
          <w:p w14:paraId="70149549"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τ</m:t>
                    </m:r>
                  </m:e>
                  <m:sub>
                    <m:r>
                      <m:rPr>
                        <m:nor/>
                      </m:rPr>
                      <w:rPr>
                        <w:rFonts w:ascii="Helvetica" w:hAnsi="Helvetica"/>
                        <w:sz w:val="18"/>
                        <w:szCs w:val="18"/>
                      </w:rPr>
                      <m:t>boost</m:t>
                    </m:r>
                  </m:sub>
                </m:sSub>
              </m:oMath>
            </m:oMathPara>
          </w:p>
        </w:tc>
        <w:tc>
          <w:tcPr>
            <w:tcW w:w="990" w:type="dxa"/>
          </w:tcPr>
          <w:p w14:paraId="60AFFBC4"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β</m:t>
                </m:r>
              </m:oMath>
            </m:oMathPara>
          </w:p>
        </w:tc>
        <w:tc>
          <w:tcPr>
            <w:tcW w:w="990" w:type="dxa"/>
          </w:tcPr>
          <w:p w14:paraId="5A5A7DC5"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γ</m:t>
                </m:r>
              </m:oMath>
            </m:oMathPara>
          </w:p>
        </w:tc>
      </w:tr>
      <w:tr w:rsidR="003C64F0" w:rsidRPr="00CC2F84" w14:paraId="4B798C55" w14:textId="77777777">
        <w:tc>
          <w:tcPr>
            <w:tcW w:w="990" w:type="dxa"/>
          </w:tcPr>
          <w:p w14:paraId="4899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3CBDB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13A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DC826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268CE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79B7FF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2C1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7B06B5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AA65887" w14:textId="77777777">
        <w:tc>
          <w:tcPr>
            <w:tcW w:w="990" w:type="dxa"/>
          </w:tcPr>
          <w:p w14:paraId="1109735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1.2</w:t>
            </w:r>
          </w:p>
        </w:tc>
        <w:tc>
          <w:tcPr>
            <w:tcW w:w="990" w:type="dxa"/>
          </w:tcPr>
          <w:p w14:paraId="3299CD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6CC6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506BAD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E39B9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079C6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532BD74"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0.1546</w:t>
            </w:r>
          </w:p>
        </w:tc>
        <w:tc>
          <w:tcPr>
            <w:tcW w:w="990" w:type="dxa"/>
          </w:tcPr>
          <w:p w14:paraId="569AC5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D969721" w14:textId="77777777">
        <w:tc>
          <w:tcPr>
            <w:tcW w:w="990" w:type="dxa"/>
          </w:tcPr>
          <w:p w14:paraId="2A9EFC5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3042C8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D0D1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ABDCF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6EC2D4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6517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8530842"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0.3078</w:t>
            </w:r>
          </w:p>
        </w:tc>
        <w:tc>
          <w:tcPr>
            <w:tcW w:w="990" w:type="dxa"/>
          </w:tcPr>
          <w:p w14:paraId="447091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54C6DBEB" w14:textId="77777777">
        <w:tc>
          <w:tcPr>
            <w:tcW w:w="990" w:type="dxa"/>
          </w:tcPr>
          <w:p w14:paraId="05309A2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34971A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23E225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5D12B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7DA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27FEC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090B8D9"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0.5054</w:t>
            </w:r>
          </w:p>
        </w:tc>
        <w:tc>
          <w:tcPr>
            <w:tcW w:w="990" w:type="dxa"/>
          </w:tcPr>
          <w:p w14:paraId="1B1020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DBD7598" w14:textId="77777777">
        <w:tc>
          <w:tcPr>
            <w:tcW w:w="990" w:type="dxa"/>
          </w:tcPr>
          <w:p w14:paraId="6BEFAD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4ED31C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0.75</w:t>
            </w:r>
          </w:p>
        </w:tc>
        <w:tc>
          <w:tcPr>
            <w:tcW w:w="990" w:type="dxa"/>
          </w:tcPr>
          <w:p w14:paraId="7A9A7D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13C89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084F1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7427F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D3429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52DEB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E161A34" w14:textId="77777777">
        <w:tc>
          <w:tcPr>
            <w:tcW w:w="990" w:type="dxa"/>
          </w:tcPr>
          <w:p w14:paraId="3854FD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F908A1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w:t>
            </w:r>
          </w:p>
        </w:tc>
        <w:tc>
          <w:tcPr>
            <w:tcW w:w="990" w:type="dxa"/>
          </w:tcPr>
          <w:p w14:paraId="570EE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72A30B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3EF71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D839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92100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621F83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A5476D5" w14:textId="77777777">
        <w:tc>
          <w:tcPr>
            <w:tcW w:w="990" w:type="dxa"/>
          </w:tcPr>
          <w:p w14:paraId="60F832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CBD055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0.33</w:t>
            </w:r>
          </w:p>
        </w:tc>
        <w:tc>
          <w:tcPr>
            <w:tcW w:w="990" w:type="dxa"/>
          </w:tcPr>
          <w:p w14:paraId="6A83BD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B19A0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013DE7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ED3D0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EE82A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0BA4B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6FDF67F" w14:textId="77777777">
        <w:tc>
          <w:tcPr>
            <w:tcW w:w="990" w:type="dxa"/>
          </w:tcPr>
          <w:p w14:paraId="255F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26CBC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w:t>
            </w:r>
          </w:p>
        </w:tc>
        <w:tc>
          <w:tcPr>
            <w:tcW w:w="990" w:type="dxa"/>
          </w:tcPr>
          <w:p w14:paraId="0095C0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0BFA55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D9D40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4C1E6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0DBA88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806C6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01FF31D" w14:textId="77777777">
        <w:tc>
          <w:tcPr>
            <w:tcW w:w="990" w:type="dxa"/>
          </w:tcPr>
          <w:p w14:paraId="17E641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77068A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w:t>
            </w:r>
          </w:p>
        </w:tc>
        <w:tc>
          <w:tcPr>
            <w:tcW w:w="990" w:type="dxa"/>
          </w:tcPr>
          <w:p w14:paraId="2E6B73C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B44B0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52181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17CF1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1413B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5E8B46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F5AA9AB" w14:textId="77777777">
        <w:tc>
          <w:tcPr>
            <w:tcW w:w="990" w:type="dxa"/>
          </w:tcPr>
          <w:p w14:paraId="04BE54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14B729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BD634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6995D6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4B6D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CBFB719"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0.000</w:t>
            </w:r>
          </w:p>
        </w:tc>
        <w:tc>
          <w:tcPr>
            <w:tcW w:w="990" w:type="dxa"/>
          </w:tcPr>
          <w:p w14:paraId="71E01651"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0.2142</w:t>
            </w:r>
          </w:p>
        </w:tc>
        <w:tc>
          <w:tcPr>
            <w:tcW w:w="990" w:type="dxa"/>
          </w:tcPr>
          <w:p w14:paraId="3CC512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A0C82" w14:textId="77777777">
        <w:tc>
          <w:tcPr>
            <w:tcW w:w="990" w:type="dxa"/>
          </w:tcPr>
          <w:p w14:paraId="042C05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7E37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BA0137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2718BF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B6D4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96F2561"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0.036</w:t>
            </w:r>
          </w:p>
        </w:tc>
        <w:tc>
          <w:tcPr>
            <w:tcW w:w="990" w:type="dxa"/>
          </w:tcPr>
          <w:p w14:paraId="27F9BE33"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0.2122</w:t>
            </w:r>
          </w:p>
        </w:tc>
        <w:tc>
          <w:tcPr>
            <w:tcW w:w="990" w:type="dxa"/>
          </w:tcPr>
          <w:p w14:paraId="33027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4A7CD3B" w14:textId="77777777">
        <w:tc>
          <w:tcPr>
            <w:tcW w:w="990" w:type="dxa"/>
          </w:tcPr>
          <w:p w14:paraId="452E84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4A8D7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C57B64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50%</w:t>
            </w:r>
          </w:p>
        </w:tc>
        <w:tc>
          <w:tcPr>
            <w:tcW w:w="990" w:type="dxa"/>
          </w:tcPr>
          <w:p w14:paraId="4BF99D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214CAC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2B3D710"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0.150</w:t>
            </w:r>
          </w:p>
        </w:tc>
        <w:tc>
          <w:tcPr>
            <w:tcW w:w="990" w:type="dxa"/>
          </w:tcPr>
          <w:p w14:paraId="384E3F14"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0.2096</w:t>
            </w:r>
          </w:p>
        </w:tc>
        <w:tc>
          <w:tcPr>
            <w:tcW w:w="990" w:type="dxa"/>
          </w:tcPr>
          <w:p w14:paraId="2CD6B9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1C8FBDE4" w14:textId="77777777">
        <w:tc>
          <w:tcPr>
            <w:tcW w:w="990" w:type="dxa"/>
          </w:tcPr>
          <w:p w14:paraId="74792E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7EFEA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9FA581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60%</w:t>
            </w:r>
          </w:p>
        </w:tc>
        <w:tc>
          <w:tcPr>
            <w:tcW w:w="990" w:type="dxa"/>
          </w:tcPr>
          <w:p w14:paraId="141339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094FC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E9FAA0E"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0.250</w:t>
            </w:r>
          </w:p>
        </w:tc>
        <w:tc>
          <w:tcPr>
            <w:tcW w:w="990" w:type="dxa"/>
          </w:tcPr>
          <w:p w14:paraId="3E4BA8A3"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0.2086</w:t>
            </w:r>
          </w:p>
        </w:tc>
        <w:tc>
          <w:tcPr>
            <w:tcW w:w="990" w:type="dxa"/>
          </w:tcPr>
          <w:p w14:paraId="77914E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6D148" w14:textId="77777777">
        <w:tc>
          <w:tcPr>
            <w:tcW w:w="990" w:type="dxa"/>
          </w:tcPr>
          <w:p w14:paraId="51748B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F0746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2A0D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95A7A56"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w:t>
            </w:r>
          </w:p>
        </w:tc>
        <w:tc>
          <w:tcPr>
            <w:tcW w:w="990" w:type="dxa"/>
          </w:tcPr>
          <w:p w14:paraId="2F1417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0DDF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4F0376CA"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0.2113</w:t>
            </w:r>
          </w:p>
        </w:tc>
        <w:tc>
          <w:tcPr>
            <w:tcW w:w="990" w:type="dxa"/>
          </w:tcPr>
          <w:p w14:paraId="52F0F65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33A31D49" w14:textId="77777777">
        <w:tc>
          <w:tcPr>
            <w:tcW w:w="990" w:type="dxa"/>
          </w:tcPr>
          <w:p w14:paraId="49376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D44E3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6C79E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321FF9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w:t>
            </w:r>
          </w:p>
        </w:tc>
        <w:tc>
          <w:tcPr>
            <w:tcW w:w="990" w:type="dxa"/>
          </w:tcPr>
          <w:p w14:paraId="3A574D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25354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1D13F55"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0.2103</w:t>
            </w:r>
          </w:p>
        </w:tc>
        <w:tc>
          <w:tcPr>
            <w:tcW w:w="990" w:type="dxa"/>
          </w:tcPr>
          <w:p w14:paraId="237752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EE2CEC" w:rsidRPr="00CC2F84" w14:paraId="62E0B8F5" w14:textId="77777777">
        <w:tc>
          <w:tcPr>
            <w:tcW w:w="990" w:type="dxa"/>
          </w:tcPr>
          <w:p w14:paraId="3BF817E3" w14:textId="26278CD7" w:rsidR="00EE2CEC" w:rsidRPr="00A84C1C" w:rsidRDefault="00EE2CEC">
            <w:pPr>
              <w:pStyle w:val="Compact"/>
              <w:jc w:val="center"/>
              <w:rPr>
                <w:rFonts w:ascii="Helvetica" w:hAnsi="Helvetica"/>
                <w:sz w:val="18"/>
                <w:szCs w:val="18"/>
              </w:rPr>
            </w:pPr>
            <w:r>
              <w:rPr>
                <w:rFonts w:ascii="Helvetica" w:hAnsi="Helvetica"/>
                <w:sz w:val="18"/>
                <w:szCs w:val="18"/>
              </w:rPr>
              <w:t>1.5</w:t>
            </w:r>
          </w:p>
        </w:tc>
        <w:tc>
          <w:tcPr>
            <w:tcW w:w="990" w:type="dxa"/>
          </w:tcPr>
          <w:p w14:paraId="37B93D0D" w14:textId="751EC4BC" w:rsidR="00EE2CEC" w:rsidRPr="00A84C1C" w:rsidRDefault="00EE2CEC">
            <w:pPr>
              <w:pStyle w:val="Compact"/>
              <w:jc w:val="center"/>
              <w:rPr>
                <w:rFonts w:ascii="Helvetica" w:hAnsi="Helvetica"/>
                <w:sz w:val="18"/>
                <w:szCs w:val="18"/>
              </w:rPr>
            </w:pPr>
            <w:r>
              <w:rPr>
                <w:rFonts w:ascii="Helvetica" w:hAnsi="Helvetica"/>
                <w:sz w:val="18"/>
                <w:szCs w:val="18"/>
              </w:rPr>
              <w:t>0.67</w:t>
            </w:r>
          </w:p>
        </w:tc>
        <w:tc>
          <w:tcPr>
            <w:tcW w:w="990" w:type="dxa"/>
          </w:tcPr>
          <w:p w14:paraId="5867F08A" w14:textId="278D0F1A" w:rsidR="00EE2CEC" w:rsidRPr="00A84C1C" w:rsidRDefault="00EE2CEC">
            <w:pPr>
              <w:pStyle w:val="Compact"/>
              <w:jc w:val="center"/>
              <w:rPr>
                <w:rFonts w:ascii="Helvetica" w:hAnsi="Helvetica"/>
                <w:sz w:val="18"/>
                <w:szCs w:val="18"/>
              </w:rPr>
            </w:pPr>
            <w:r>
              <w:rPr>
                <w:rFonts w:ascii="Helvetica" w:hAnsi="Helvetica"/>
                <w:sz w:val="18"/>
                <w:szCs w:val="18"/>
              </w:rPr>
              <w:t>40%</w:t>
            </w:r>
          </w:p>
        </w:tc>
        <w:tc>
          <w:tcPr>
            <w:tcW w:w="990" w:type="dxa"/>
          </w:tcPr>
          <w:p w14:paraId="2683CFA7" w14:textId="69892219" w:rsidR="00EE2CEC" w:rsidRPr="00EE2CEC" w:rsidRDefault="00EE2CEC">
            <w:pPr>
              <w:pStyle w:val="Compact"/>
              <w:jc w:val="center"/>
              <w:rPr>
                <w:rFonts w:ascii="Helvetica" w:hAnsi="Helvetica"/>
                <w:sz w:val="18"/>
                <w:szCs w:val="18"/>
              </w:rPr>
            </w:pPr>
            <w:r w:rsidRPr="00EE2CEC">
              <w:rPr>
                <w:rFonts w:ascii="Helvetica" w:hAnsi="Helvetica"/>
                <w:sz w:val="18"/>
                <w:szCs w:val="18"/>
              </w:rPr>
              <w:t>2</w:t>
            </w:r>
          </w:p>
        </w:tc>
        <w:tc>
          <w:tcPr>
            <w:tcW w:w="990" w:type="dxa"/>
          </w:tcPr>
          <w:p w14:paraId="29C1F443" w14:textId="72A2AACB" w:rsidR="00EE2CEC" w:rsidRPr="00A84C1C" w:rsidRDefault="00EE2CEC">
            <w:pPr>
              <w:pStyle w:val="Compact"/>
              <w:jc w:val="center"/>
              <w:rPr>
                <w:rFonts w:ascii="Helvetica" w:hAnsi="Helvetica"/>
                <w:sz w:val="18"/>
                <w:szCs w:val="18"/>
              </w:rPr>
            </w:pPr>
            <w:r>
              <w:rPr>
                <w:rFonts w:ascii="Helvetica" w:hAnsi="Helvetica"/>
                <w:sz w:val="18"/>
                <w:szCs w:val="18"/>
              </w:rPr>
              <w:t>0.083</w:t>
            </w:r>
          </w:p>
        </w:tc>
        <w:tc>
          <w:tcPr>
            <w:tcW w:w="990" w:type="dxa"/>
          </w:tcPr>
          <w:p w14:paraId="10C489D5" w14:textId="5AF56CA7" w:rsidR="00EE2CEC" w:rsidRPr="00A84C1C" w:rsidRDefault="00EE2CEC">
            <w:pPr>
              <w:pStyle w:val="Compact"/>
              <w:jc w:val="center"/>
              <w:rPr>
                <w:rFonts w:ascii="Helvetica" w:hAnsi="Helvetica"/>
                <w:sz w:val="18"/>
                <w:szCs w:val="18"/>
              </w:rPr>
            </w:pPr>
            <w:r>
              <w:rPr>
                <w:rFonts w:ascii="Helvetica" w:hAnsi="Helvetica"/>
                <w:sz w:val="18"/>
                <w:szCs w:val="18"/>
              </w:rPr>
              <w:t>0.139</w:t>
            </w:r>
          </w:p>
        </w:tc>
        <w:tc>
          <w:tcPr>
            <w:tcW w:w="990" w:type="dxa"/>
          </w:tcPr>
          <w:p w14:paraId="5EE85B89" w14:textId="5C3FEDD6" w:rsidR="00EE2CEC" w:rsidRPr="00EE2CEC" w:rsidRDefault="00EE2CEC">
            <w:pPr>
              <w:pStyle w:val="Compact"/>
              <w:jc w:val="center"/>
              <w:rPr>
                <w:rFonts w:ascii="Helvetica" w:hAnsi="Helvetica"/>
                <w:sz w:val="18"/>
                <w:szCs w:val="18"/>
              </w:rPr>
            </w:pPr>
            <w:r w:rsidRPr="00EE2CEC">
              <w:rPr>
                <w:rFonts w:ascii="Helvetica" w:hAnsi="Helvetica"/>
                <w:sz w:val="18"/>
                <w:szCs w:val="18"/>
              </w:rPr>
              <w:t>0.3513</w:t>
            </w:r>
          </w:p>
        </w:tc>
        <w:tc>
          <w:tcPr>
            <w:tcW w:w="990" w:type="dxa"/>
          </w:tcPr>
          <w:p w14:paraId="130C8897" w14:textId="04565993" w:rsidR="00EE2CEC" w:rsidRPr="00EE2CEC" w:rsidRDefault="00EE2CEC">
            <w:pPr>
              <w:pStyle w:val="Compact"/>
              <w:jc w:val="center"/>
              <w:rPr>
                <w:rFonts w:ascii="Helvetica" w:hAnsi="Helvetica"/>
                <w:b/>
                <w:bCs/>
                <w:sz w:val="18"/>
                <w:szCs w:val="18"/>
              </w:rPr>
            </w:pPr>
            <w:r w:rsidRPr="00EE2CEC">
              <w:rPr>
                <w:rFonts w:ascii="Helvetica" w:hAnsi="Helvetica"/>
                <w:b/>
                <w:bCs/>
                <w:sz w:val="18"/>
                <w:szCs w:val="18"/>
              </w:rPr>
              <w:t>0.333</w:t>
            </w:r>
          </w:p>
        </w:tc>
      </w:tr>
      <w:tr w:rsidR="00EE2CEC" w:rsidRPr="00CC2F84" w14:paraId="6C5EDAA7" w14:textId="77777777">
        <w:tc>
          <w:tcPr>
            <w:tcW w:w="990" w:type="dxa"/>
          </w:tcPr>
          <w:p w14:paraId="381162B0" w14:textId="1CB2F871" w:rsidR="00EE2CEC" w:rsidRPr="00A84C1C" w:rsidRDefault="00EE2CEC">
            <w:pPr>
              <w:pStyle w:val="Compact"/>
              <w:jc w:val="center"/>
              <w:rPr>
                <w:rFonts w:ascii="Helvetica" w:hAnsi="Helvetica"/>
                <w:sz w:val="18"/>
                <w:szCs w:val="18"/>
              </w:rPr>
            </w:pPr>
            <w:r>
              <w:rPr>
                <w:rFonts w:ascii="Helvetica" w:hAnsi="Helvetica"/>
                <w:sz w:val="18"/>
                <w:szCs w:val="18"/>
              </w:rPr>
              <w:t>1.5</w:t>
            </w:r>
          </w:p>
        </w:tc>
        <w:tc>
          <w:tcPr>
            <w:tcW w:w="990" w:type="dxa"/>
          </w:tcPr>
          <w:p w14:paraId="0E03D2E1" w14:textId="1304459B" w:rsidR="00EE2CEC" w:rsidRPr="00A84C1C" w:rsidRDefault="00EE2CEC">
            <w:pPr>
              <w:pStyle w:val="Compact"/>
              <w:jc w:val="center"/>
              <w:rPr>
                <w:rFonts w:ascii="Helvetica" w:hAnsi="Helvetica"/>
                <w:sz w:val="18"/>
                <w:szCs w:val="18"/>
              </w:rPr>
            </w:pPr>
            <w:r>
              <w:rPr>
                <w:rFonts w:ascii="Helvetica" w:hAnsi="Helvetica"/>
                <w:sz w:val="18"/>
                <w:szCs w:val="18"/>
              </w:rPr>
              <w:t>0.67</w:t>
            </w:r>
          </w:p>
        </w:tc>
        <w:tc>
          <w:tcPr>
            <w:tcW w:w="990" w:type="dxa"/>
          </w:tcPr>
          <w:p w14:paraId="43BDCC84" w14:textId="3F112D6C" w:rsidR="00EE2CEC" w:rsidRPr="00A84C1C" w:rsidRDefault="00EE2CEC">
            <w:pPr>
              <w:pStyle w:val="Compact"/>
              <w:jc w:val="center"/>
              <w:rPr>
                <w:rFonts w:ascii="Helvetica" w:hAnsi="Helvetica"/>
                <w:sz w:val="18"/>
                <w:szCs w:val="18"/>
              </w:rPr>
            </w:pPr>
            <w:r>
              <w:rPr>
                <w:rFonts w:ascii="Helvetica" w:hAnsi="Helvetica"/>
                <w:sz w:val="18"/>
                <w:szCs w:val="18"/>
              </w:rPr>
              <w:t>40%</w:t>
            </w:r>
          </w:p>
        </w:tc>
        <w:tc>
          <w:tcPr>
            <w:tcW w:w="990" w:type="dxa"/>
          </w:tcPr>
          <w:p w14:paraId="635BC86E" w14:textId="11085B7C" w:rsidR="00EE2CEC" w:rsidRPr="00EE2CEC" w:rsidRDefault="00EE2CEC">
            <w:pPr>
              <w:pStyle w:val="Compact"/>
              <w:jc w:val="center"/>
              <w:rPr>
                <w:rFonts w:ascii="Helvetica" w:hAnsi="Helvetica"/>
                <w:sz w:val="18"/>
                <w:szCs w:val="18"/>
              </w:rPr>
            </w:pPr>
            <w:r w:rsidRPr="00EE2CEC">
              <w:rPr>
                <w:rFonts w:ascii="Helvetica" w:hAnsi="Helvetica"/>
                <w:sz w:val="18"/>
                <w:szCs w:val="18"/>
              </w:rPr>
              <w:t>2</w:t>
            </w:r>
          </w:p>
        </w:tc>
        <w:tc>
          <w:tcPr>
            <w:tcW w:w="990" w:type="dxa"/>
          </w:tcPr>
          <w:p w14:paraId="5325140E" w14:textId="62E7B4D3" w:rsidR="00EE2CEC" w:rsidRPr="00A84C1C" w:rsidRDefault="00EE2CEC">
            <w:pPr>
              <w:pStyle w:val="Compact"/>
              <w:jc w:val="center"/>
              <w:rPr>
                <w:rFonts w:ascii="Helvetica" w:hAnsi="Helvetica"/>
                <w:sz w:val="18"/>
                <w:szCs w:val="18"/>
              </w:rPr>
            </w:pPr>
            <w:r>
              <w:rPr>
                <w:rFonts w:ascii="Helvetica" w:hAnsi="Helvetica"/>
                <w:sz w:val="18"/>
                <w:szCs w:val="18"/>
              </w:rPr>
              <w:t>0.025</w:t>
            </w:r>
          </w:p>
        </w:tc>
        <w:tc>
          <w:tcPr>
            <w:tcW w:w="990" w:type="dxa"/>
          </w:tcPr>
          <w:p w14:paraId="507F2CBC" w14:textId="24CCF517" w:rsidR="00EE2CEC" w:rsidRPr="00A84C1C" w:rsidRDefault="00EE2CEC">
            <w:pPr>
              <w:pStyle w:val="Compact"/>
              <w:jc w:val="center"/>
              <w:rPr>
                <w:rFonts w:ascii="Helvetica" w:hAnsi="Helvetica"/>
                <w:sz w:val="18"/>
                <w:szCs w:val="18"/>
              </w:rPr>
            </w:pPr>
            <w:r>
              <w:rPr>
                <w:rFonts w:ascii="Helvetica" w:hAnsi="Helvetica"/>
                <w:sz w:val="18"/>
                <w:szCs w:val="18"/>
              </w:rPr>
              <w:t>0.042</w:t>
            </w:r>
          </w:p>
        </w:tc>
        <w:tc>
          <w:tcPr>
            <w:tcW w:w="990" w:type="dxa"/>
          </w:tcPr>
          <w:p w14:paraId="39E4055C" w14:textId="73CB1788" w:rsidR="00EE2CEC" w:rsidRPr="00EE2CEC" w:rsidRDefault="00EE2CEC">
            <w:pPr>
              <w:pStyle w:val="Compact"/>
              <w:jc w:val="center"/>
              <w:rPr>
                <w:rFonts w:ascii="Helvetica" w:hAnsi="Helvetica"/>
                <w:sz w:val="18"/>
                <w:szCs w:val="18"/>
              </w:rPr>
            </w:pPr>
            <w:r w:rsidRPr="00EE2CEC">
              <w:rPr>
                <w:rFonts w:ascii="Helvetica" w:hAnsi="Helvetica"/>
                <w:sz w:val="18"/>
                <w:szCs w:val="18"/>
              </w:rPr>
              <w:t>0.1054</w:t>
            </w:r>
          </w:p>
        </w:tc>
        <w:tc>
          <w:tcPr>
            <w:tcW w:w="990" w:type="dxa"/>
          </w:tcPr>
          <w:p w14:paraId="7BAE64D3" w14:textId="12288B60" w:rsidR="00EE2CEC" w:rsidRPr="00EE2CEC" w:rsidRDefault="00EE2CEC">
            <w:pPr>
              <w:pStyle w:val="Compact"/>
              <w:jc w:val="center"/>
              <w:rPr>
                <w:rFonts w:ascii="Helvetica" w:hAnsi="Helvetica"/>
                <w:b/>
                <w:bCs/>
                <w:sz w:val="18"/>
                <w:szCs w:val="18"/>
              </w:rPr>
            </w:pPr>
            <w:r w:rsidRPr="00EE2CEC">
              <w:rPr>
                <w:rFonts w:ascii="Helvetica" w:hAnsi="Helvetica"/>
                <w:b/>
                <w:bCs/>
                <w:sz w:val="18"/>
                <w:szCs w:val="18"/>
              </w:rPr>
              <w:t>0.100</w:t>
            </w:r>
          </w:p>
        </w:tc>
      </w:tr>
    </w:tbl>
    <w:p w14:paraId="759C474F" w14:textId="77777777" w:rsidR="00C40D09" w:rsidRPr="00CC2F84" w:rsidRDefault="00C40D09">
      <w:pPr>
        <w:pStyle w:val="BodyText"/>
        <w:rPr>
          <w:rFonts w:ascii="Helvetica" w:hAnsi="Helvetica"/>
          <w:b/>
          <w:bCs/>
        </w:rPr>
      </w:pPr>
    </w:p>
    <w:p w14:paraId="554B7EC0" w14:textId="77777777" w:rsidR="00C40D09" w:rsidRPr="00CC2F84" w:rsidRDefault="00C40D09">
      <w:pPr>
        <w:rPr>
          <w:rFonts w:ascii="Helvetica" w:hAnsi="Helvetica"/>
          <w:b/>
          <w:bCs/>
        </w:rPr>
      </w:pPr>
      <w:r w:rsidRPr="00CC2F84">
        <w:rPr>
          <w:rFonts w:ascii="Helvetica" w:hAnsi="Helvetica"/>
          <w:b/>
          <w:bCs/>
        </w:rPr>
        <w:br w:type="page"/>
      </w:r>
    </w:p>
    <w:p w14:paraId="13A737A3" w14:textId="0768A9E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S3. Summary statistics for simulated epidemics across regions and parameter sets.</w:t>
      </w:r>
      <w:r w:rsidRPr="00A84C1C">
        <w:rPr>
          <w:rFonts w:ascii="Helvetica" w:hAnsi="Helvetica"/>
          <w:sz w:val="20"/>
          <w:szCs w:val="20"/>
        </w:rPr>
        <w:t xml:space="preserve"> Simulated peak prevalence, time to epidemic peak, and final size for agricultural workers (A) and the general community (C).</w:t>
      </w:r>
    </w:p>
    <w:tbl>
      <w:tblPr>
        <w:tblStyle w:val="Table"/>
        <w:tblW w:w="5058" w:type="pct"/>
        <w:tblLayout w:type="fixed"/>
        <w:tblLook w:val="0020" w:firstRow="1" w:lastRow="0" w:firstColumn="0" w:lastColumn="0" w:noHBand="0" w:noVBand="0"/>
      </w:tblPr>
      <w:tblGrid>
        <w:gridCol w:w="1157"/>
        <w:gridCol w:w="979"/>
        <w:gridCol w:w="1223"/>
        <w:gridCol w:w="1222"/>
        <w:gridCol w:w="1222"/>
        <w:gridCol w:w="1222"/>
        <w:gridCol w:w="1222"/>
        <w:gridCol w:w="1222"/>
      </w:tblGrid>
      <w:tr w:rsidR="003C64F0" w:rsidRPr="00CC2F84" w14:paraId="629720B2" w14:textId="77777777" w:rsidTr="0094789D">
        <w:trPr>
          <w:cnfStyle w:val="100000000000" w:firstRow="1" w:lastRow="0" w:firstColumn="0" w:lastColumn="0" w:oddVBand="0" w:evenVBand="0" w:oddHBand="0" w:evenHBand="0" w:firstRowFirstColumn="0" w:firstRowLastColumn="0" w:lastRowFirstColumn="0" w:lastRowLastColumn="0"/>
          <w:tblHeader/>
        </w:trPr>
        <w:tc>
          <w:tcPr>
            <w:tcW w:w="1157" w:type="dxa"/>
          </w:tcPr>
          <w:p w14:paraId="110E31F3" w14:textId="77777777" w:rsidR="00AB7EBC" w:rsidRPr="00A84C1C" w:rsidRDefault="006B4661">
            <w:pPr>
              <w:pStyle w:val="Compact"/>
              <w:rPr>
                <w:rFonts w:ascii="Helvetica" w:hAnsi="Helvetica"/>
                <w:sz w:val="18"/>
                <w:szCs w:val="18"/>
              </w:rPr>
            </w:pPr>
            <w:r w:rsidRPr="00A84C1C">
              <w:rPr>
                <w:rFonts w:ascii="Helvetica" w:hAnsi="Helvetica"/>
                <w:sz w:val="18"/>
                <w:szCs w:val="18"/>
              </w:rPr>
              <w:t>Parameter set</w:t>
            </w:r>
          </w:p>
        </w:tc>
        <w:tc>
          <w:tcPr>
            <w:tcW w:w="979" w:type="dxa"/>
          </w:tcPr>
          <w:p w14:paraId="689EE090"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223" w:type="dxa"/>
          </w:tcPr>
          <w:p w14:paraId="3219D160" w14:textId="5295366C" w:rsidR="00AB7EBC" w:rsidRPr="00A84C1C" w:rsidRDefault="006B4661">
            <w:pPr>
              <w:pStyle w:val="Compact"/>
              <w:jc w:val="center"/>
              <w:rPr>
                <w:rFonts w:ascii="Helvetica" w:hAnsi="Helvetica"/>
                <w:sz w:val="18"/>
                <w:szCs w:val="18"/>
              </w:rPr>
            </w:pPr>
            <w:r w:rsidRPr="00A84C1C">
              <w:rPr>
                <w:rFonts w:ascii="Helvetica" w:hAnsi="Helvetica"/>
                <w:sz w:val="18"/>
                <w:szCs w:val="18"/>
              </w:rPr>
              <w:t xml:space="preserve">Peak </w:t>
            </w:r>
            <w:r w:rsidR="00A84C1C">
              <w:rPr>
                <w:rFonts w:ascii="Helvetica" w:hAnsi="Helvetica"/>
                <w:sz w:val="18"/>
                <w:szCs w:val="18"/>
              </w:rPr>
              <w:br/>
            </w:r>
            <w:r w:rsidRPr="00A84C1C">
              <w:rPr>
                <w:rFonts w:ascii="Helvetica" w:hAnsi="Helvetica"/>
                <w:sz w:val="18"/>
                <w:szCs w:val="18"/>
              </w:rPr>
              <w:t>prevalence</w:t>
            </w:r>
          </w:p>
        </w:tc>
        <w:tc>
          <w:tcPr>
            <w:tcW w:w="1222" w:type="dxa"/>
          </w:tcPr>
          <w:p w14:paraId="23821A48" w14:textId="77777777" w:rsidR="00AB7EBC" w:rsidRPr="00A84C1C" w:rsidRDefault="00AB7EBC">
            <w:pPr>
              <w:pStyle w:val="Compact"/>
              <w:rPr>
                <w:rFonts w:ascii="Helvetica" w:hAnsi="Helvetica"/>
                <w:sz w:val="18"/>
                <w:szCs w:val="18"/>
              </w:rPr>
            </w:pPr>
          </w:p>
        </w:tc>
        <w:tc>
          <w:tcPr>
            <w:tcW w:w="1222" w:type="dxa"/>
          </w:tcPr>
          <w:p w14:paraId="5136FD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Time to peak (days)</w:t>
            </w:r>
          </w:p>
        </w:tc>
        <w:tc>
          <w:tcPr>
            <w:tcW w:w="1222" w:type="dxa"/>
          </w:tcPr>
          <w:p w14:paraId="45B33315" w14:textId="77777777" w:rsidR="00AB7EBC" w:rsidRPr="00A84C1C" w:rsidRDefault="00AB7EBC">
            <w:pPr>
              <w:pStyle w:val="Compact"/>
              <w:rPr>
                <w:rFonts w:ascii="Helvetica" w:hAnsi="Helvetica"/>
                <w:sz w:val="18"/>
                <w:szCs w:val="18"/>
              </w:rPr>
            </w:pPr>
          </w:p>
        </w:tc>
        <w:tc>
          <w:tcPr>
            <w:tcW w:w="1222" w:type="dxa"/>
          </w:tcPr>
          <w:p w14:paraId="06BB7A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Final size</w:t>
            </w:r>
          </w:p>
        </w:tc>
        <w:tc>
          <w:tcPr>
            <w:tcW w:w="1222" w:type="dxa"/>
          </w:tcPr>
          <w:p w14:paraId="6153B016" w14:textId="77777777" w:rsidR="00AB7EBC" w:rsidRPr="00A84C1C" w:rsidRDefault="00AB7EBC">
            <w:pPr>
              <w:pStyle w:val="Compact"/>
              <w:rPr>
                <w:rFonts w:ascii="Helvetica" w:hAnsi="Helvetica"/>
                <w:sz w:val="18"/>
                <w:szCs w:val="18"/>
              </w:rPr>
            </w:pPr>
          </w:p>
        </w:tc>
      </w:tr>
      <w:tr w:rsidR="003C64F0" w:rsidRPr="00CC2F84" w14:paraId="1340469E" w14:textId="77777777" w:rsidTr="0094789D">
        <w:tc>
          <w:tcPr>
            <w:tcW w:w="1157" w:type="dxa"/>
          </w:tcPr>
          <w:p w14:paraId="5ACE2B4C" w14:textId="77777777" w:rsidR="00AB7EBC" w:rsidRPr="00A84C1C" w:rsidRDefault="00AB7EBC">
            <w:pPr>
              <w:pStyle w:val="Compact"/>
              <w:rPr>
                <w:rFonts w:ascii="Helvetica" w:hAnsi="Helvetica"/>
                <w:sz w:val="18"/>
                <w:szCs w:val="18"/>
              </w:rPr>
            </w:pPr>
          </w:p>
        </w:tc>
        <w:tc>
          <w:tcPr>
            <w:tcW w:w="979" w:type="dxa"/>
          </w:tcPr>
          <w:p w14:paraId="325FEC42" w14:textId="77777777" w:rsidR="00AB7EBC" w:rsidRPr="00A84C1C" w:rsidRDefault="00AB7EBC">
            <w:pPr>
              <w:pStyle w:val="Compact"/>
              <w:rPr>
                <w:rFonts w:ascii="Helvetica" w:hAnsi="Helvetica"/>
                <w:sz w:val="18"/>
                <w:szCs w:val="18"/>
              </w:rPr>
            </w:pPr>
          </w:p>
        </w:tc>
        <w:tc>
          <w:tcPr>
            <w:tcW w:w="1223" w:type="dxa"/>
          </w:tcPr>
          <w:p w14:paraId="24F77E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45AFD1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22" w:type="dxa"/>
          </w:tcPr>
          <w:p w14:paraId="04F57C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58BB10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22" w:type="dxa"/>
          </w:tcPr>
          <w:p w14:paraId="1B72A4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182660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4CBE1FCD" w14:textId="77777777" w:rsidTr="0094789D">
        <w:tc>
          <w:tcPr>
            <w:tcW w:w="1157" w:type="dxa"/>
          </w:tcPr>
          <w:p w14:paraId="23E1D818" w14:textId="77777777" w:rsidR="00AB7EBC" w:rsidRPr="00A84C1C" w:rsidRDefault="006B4661">
            <w:pPr>
              <w:pStyle w:val="Compact"/>
              <w:rPr>
                <w:rFonts w:ascii="Helvetica" w:hAnsi="Helvetica"/>
                <w:sz w:val="18"/>
                <w:szCs w:val="18"/>
              </w:rPr>
            </w:pPr>
            <w:r w:rsidRPr="00A84C1C">
              <w:rPr>
                <w:rFonts w:ascii="Helvetica" w:hAnsi="Helvetica"/>
                <w:sz w:val="18"/>
                <w:szCs w:val="18"/>
              </w:rPr>
              <w:t>Baseline</w:t>
            </w:r>
          </w:p>
        </w:tc>
        <w:tc>
          <w:tcPr>
            <w:tcW w:w="979" w:type="dxa"/>
          </w:tcPr>
          <w:p w14:paraId="2A2BC924"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CD03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0B7FCE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4131CE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2EB9FF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094F90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72.1%</w:t>
            </w:r>
          </w:p>
        </w:tc>
        <w:tc>
          <w:tcPr>
            <w:tcW w:w="1222" w:type="dxa"/>
          </w:tcPr>
          <w:p w14:paraId="5E21AB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02E3481" w14:textId="77777777" w:rsidTr="0094789D">
        <w:tc>
          <w:tcPr>
            <w:tcW w:w="1157" w:type="dxa"/>
          </w:tcPr>
          <w:p w14:paraId="34D6D96F" w14:textId="77777777" w:rsidR="00AB7EBC" w:rsidRPr="00A84C1C" w:rsidRDefault="00AB7EBC">
            <w:pPr>
              <w:pStyle w:val="Compact"/>
              <w:rPr>
                <w:rFonts w:ascii="Helvetica" w:hAnsi="Helvetica"/>
                <w:sz w:val="18"/>
                <w:szCs w:val="18"/>
              </w:rPr>
            </w:pPr>
          </w:p>
        </w:tc>
        <w:tc>
          <w:tcPr>
            <w:tcW w:w="979" w:type="dxa"/>
          </w:tcPr>
          <w:p w14:paraId="3160489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5CED8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7B5B21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219EA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73E8F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62425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72.3%</w:t>
            </w:r>
          </w:p>
        </w:tc>
        <w:tc>
          <w:tcPr>
            <w:tcW w:w="1222" w:type="dxa"/>
          </w:tcPr>
          <w:p w14:paraId="13C463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6A4B481E" w14:textId="77777777" w:rsidTr="0094789D">
        <w:tc>
          <w:tcPr>
            <w:tcW w:w="1157" w:type="dxa"/>
          </w:tcPr>
          <w:p w14:paraId="37A13B17" w14:textId="77777777" w:rsidR="00AB7EBC" w:rsidRPr="00A84C1C" w:rsidRDefault="00AB7EBC">
            <w:pPr>
              <w:pStyle w:val="Compact"/>
              <w:rPr>
                <w:rFonts w:ascii="Helvetica" w:hAnsi="Helvetica"/>
                <w:sz w:val="18"/>
                <w:szCs w:val="18"/>
              </w:rPr>
            </w:pPr>
          </w:p>
        </w:tc>
        <w:tc>
          <w:tcPr>
            <w:tcW w:w="979" w:type="dxa"/>
          </w:tcPr>
          <w:p w14:paraId="3F64AF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4A813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0EF816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5E8073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00DD5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5F4AF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65.9%</w:t>
            </w:r>
          </w:p>
        </w:tc>
        <w:tc>
          <w:tcPr>
            <w:tcW w:w="1222" w:type="dxa"/>
          </w:tcPr>
          <w:p w14:paraId="56ED57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678E5FB" w14:textId="77777777" w:rsidTr="0094789D">
        <w:tc>
          <w:tcPr>
            <w:tcW w:w="1157" w:type="dxa"/>
          </w:tcPr>
          <w:p w14:paraId="651AA706" w14:textId="77777777" w:rsidR="00AB7EBC" w:rsidRPr="00A84C1C" w:rsidRDefault="00AB7EBC">
            <w:pPr>
              <w:pStyle w:val="Compact"/>
              <w:rPr>
                <w:rFonts w:ascii="Helvetica" w:hAnsi="Helvetica"/>
                <w:sz w:val="18"/>
                <w:szCs w:val="18"/>
              </w:rPr>
            </w:pPr>
          </w:p>
        </w:tc>
        <w:tc>
          <w:tcPr>
            <w:tcW w:w="979" w:type="dxa"/>
          </w:tcPr>
          <w:p w14:paraId="4A86823F"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53F886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11607E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3DF15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6F057D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409FB9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22" w:type="dxa"/>
          </w:tcPr>
          <w:p w14:paraId="4AA13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3B74552B" w14:textId="77777777" w:rsidTr="0094789D">
        <w:tc>
          <w:tcPr>
            <w:tcW w:w="1157" w:type="dxa"/>
          </w:tcPr>
          <w:p w14:paraId="071B8FE6" w14:textId="77777777" w:rsidR="00AB7EBC" w:rsidRPr="00A84C1C" w:rsidRDefault="00AB7EBC">
            <w:pPr>
              <w:pStyle w:val="Compact"/>
              <w:rPr>
                <w:rFonts w:ascii="Helvetica" w:hAnsi="Helvetica"/>
                <w:sz w:val="18"/>
                <w:szCs w:val="18"/>
              </w:rPr>
            </w:pPr>
          </w:p>
        </w:tc>
        <w:tc>
          <w:tcPr>
            <w:tcW w:w="979" w:type="dxa"/>
          </w:tcPr>
          <w:p w14:paraId="476C297F"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1B80B6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33F152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4BF40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6ACEC2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190F9F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73.6%</w:t>
            </w:r>
          </w:p>
        </w:tc>
        <w:tc>
          <w:tcPr>
            <w:tcW w:w="1222" w:type="dxa"/>
          </w:tcPr>
          <w:p w14:paraId="07574E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3D821C2" w14:textId="77777777" w:rsidTr="0094789D">
        <w:tc>
          <w:tcPr>
            <w:tcW w:w="1157" w:type="dxa"/>
          </w:tcPr>
          <w:p w14:paraId="78F42869" w14:textId="77777777" w:rsidR="00AB7EBC" w:rsidRPr="00A84C1C" w:rsidRDefault="00AB7EBC">
            <w:pPr>
              <w:pStyle w:val="Compact"/>
              <w:rPr>
                <w:rFonts w:ascii="Helvetica" w:hAnsi="Helvetica"/>
                <w:sz w:val="18"/>
                <w:szCs w:val="18"/>
              </w:rPr>
            </w:pPr>
          </w:p>
        </w:tc>
        <w:tc>
          <w:tcPr>
            <w:tcW w:w="979" w:type="dxa"/>
          </w:tcPr>
          <w:p w14:paraId="49BF438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98E3D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11.4%</w:t>
            </w:r>
          </w:p>
        </w:tc>
        <w:tc>
          <w:tcPr>
            <w:tcW w:w="1222" w:type="dxa"/>
          </w:tcPr>
          <w:p w14:paraId="70D75E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22" w:type="dxa"/>
          </w:tcPr>
          <w:p w14:paraId="1162A71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22" w:type="dxa"/>
          </w:tcPr>
          <w:p w14:paraId="10B1A9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0ABB97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76.7%</w:t>
            </w:r>
          </w:p>
        </w:tc>
        <w:tc>
          <w:tcPr>
            <w:tcW w:w="1222" w:type="dxa"/>
          </w:tcPr>
          <w:p w14:paraId="59A82D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2150B6FC" w14:textId="77777777" w:rsidTr="0094789D">
        <w:tc>
          <w:tcPr>
            <w:tcW w:w="1157" w:type="dxa"/>
          </w:tcPr>
          <w:p w14:paraId="3593CFFE"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1.2</w:t>
            </w:r>
          </w:p>
        </w:tc>
        <w:tc>
          <w:tcPr>
            <w:tcW w:w="979" w:type="dxa"/>
          </w:tcPr>
          <w:p w14:paraId="029F05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29AEB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2F592D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w:t>
            </w:r>
          </w:p>
        </w:tc>
        <w:tc>
          <w:tcPr>
            <w:tcW w:w="1222" w:type="dxa"/>
          </w:tcPr>
          <w:p w14:paraId="0B391D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291E92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99</w:t>
            </w:r>
          </w:p>
        </w:tc>
        <w:tc>
          <w:tcPr>
            <w:tcW w:w="1222" w:type="dxa"/>
          </w:tcPr>
          <w:p w14:paraId="14F6E9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22" w:type="dxa"/>
          </w:tcPr>
          <w:p w14:paraId="5F642E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29.5%</w:t>
            </w:r>
          </w:p>
        </w:tc>
      </w:tr>
      <w:tr w:rsidR="003C64F0" w:rsidRPr="00CC2F84" w14:paraId="23CD3860" w14:textId="77777777" w:rsidTr="0094789D">
        <w:tc>
          <w:tcPr>
            <w:tcW w:w="1157" w:type="dxa"/>
          </w:tcPr>
          <w:p w14:paraId="30889CD1" w14:textId="77777777" w:rsidR="00AB7EBC" w:rsidRPr="00A84C1C" w:rsidRDefault="00AB7EBC">
            <w:pPr>
              <w:pStyle w:val="Compact"/>
              <w:rPr>
                <w:rFonts w:ascii="Helvetica" w:hAnsi="Helvetica"/>
                <w:sz w:val="18"/>
                <w:szCs w:val="18"/>
              </w:rPr>
            </w:pPr>
          </w:p>
        </w:tc>
        <w:tc>
          <w:tcPr>
            <w:tcW w:w="979" w:type="dxa"/>
          </w:tcPr>
          <w:p w14:paraId="03F4CB6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12C01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70376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22" w:type="dxa"/>
          </w:tcPr>
          <w:p w14:paraId="18E2E0F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52DD8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100</w:t>
            </w:r>
          </w:p>
        </w:tc>
        <w:tc>
          <w:tcPr>
            <w:tcW w:w="1222" w:type="dxa"/>
          </w:tcPr>
          <w:p w14:paraId="16CD65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22" w:type="dxa"/>
          </w:tcPr>
          <w:p w14:paraId="60C5E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28.4%</w:t>
            </w:r>
          </w:p>
        </w:tc>
      </w:tr>
      <w:tr w:rsidR="003C64F0" w:rsidRPr="00CC2F84" w14:paraId="49CE84B0" w14:textId="77777777" w:rsidTr="0094789D">
        <w:tc>
          <w:tcPr>
            <w:tcW w:w="1157" w:type="dxa"/>
          </w:tcPr>
          <w:p w14:paraId="12F8916C" w14:textId="77777777" w:rsidR="00AB7EBC" w:rsidRPr="00A84C1C" w:rsidRDefault="00AB7EBC">
            <w:pPr>
              <w:pStyle w:val="Compact"/>
              <w:rPr>
                <w:rFonts w:ascii="Helvetica" w:hAnsi="Helvetica"/>
                <w:sz w:val="18"/>
                <w:szCs w:val="18"/>
              </w:rPr>
            </w:pPr>
          </w:p>
        </w:tc>
        <w:tc>
          <w:tcPr>
            <w:tcW w:w="979" w:type="dxa"/>
          </w:tcPr>
          <w:p w14:paraId="64EF87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543B3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22" w:type="dxa"/>
          </w:tcPr>
          <w:p w14:paraId="7EEE52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22" w:type="dxa"/>
          </w:tcPr>
          <w:p w14:paraId="17D654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14828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22" w:type="dxa"/>
          </w:tcPr>
          <w:p w14:paraId="6E73173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40.3%</w:t>
            </w:r>
          </w:p>
        </w:tc>
        <w:tc>
          <w:tcPr>
            <w:tcW w:w="1222" w:type="dxa"/>
          </w:tcPr>
          <w:p w14:paraId="504D8A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28.3%</w:t>
            </w:r>
          </w:p>
        </w:tc>
      </w:tr>
      <w:tr w:rsidR="003C64F0" w:rsidRPr="00CC2F84" w14:paraId="0939EF8E" w14:textId="77777777" w:rsidTr="0094789D">
        <w:tc>
          <w:tcPr>
            <w:tcW w:w="1157" w:type="dxa"/>
          </w:tcPr>
          <w:p w14:paraId="12C52C5B" w14:textId="77777777" w:rsidR="00AB7EBC" w:rsidRPr="00A84C1C" w:rsidRDefault="00AB7EBC">
            <w:pPr>
              <w:pStyle w:val="Compact"/>
              <w:rPr>
                <w:rFonts w:ascii="Helvetica" w:hAnsi="Helvetica"/>
                <w:sz w:val="18"/>
                <w:szCs w:val="18"/>
              </w:rPr>
            </w:pPr>
          </w:p>
        </w:tc>
        <w:tc>
          <w:tcPr>
            <w:tcW w:w="979" w:type="dxa"/>
          </w:tcPr>
          <w:p w14:paraId="31435F6C"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0B08D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1025A4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22" w:type="dxa"/>
          </w:tcPr>
          <w:p w14:paraId="0F29C3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50308E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71D829E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47.1%</w:t>
            </w:r>
          </w:p>
        </w:tc>
        <w:tc>
          <w:tcPr>
            <w:tcW w:w="1222" w:type="dxa"/>
          </w:tcPr>
          <w:p w14:paraId="0CCC0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34.7%</w:t>
            </w:r>
          </w:p>
        </w:tc>
      </w:tr>
      <w:tr w:rsidR="003C64F0" w:rsidRPr="00CC2F84" w14:paraId="5670F151" w14:textId="77777777" w:rsidTr="0094789D">
        <w:tc>
          <w:tcPr>
            <w:tcW w:w="1157" w:type="dxa"/>
          </w:tcPr>
          <w:p w14:paraId="0EA7E1C5" w14:textId="77777777" w:rsidR="00AB7EBC" w:rsidRPr="00A84C1C" w:rsidRDefault="00AB7EBC">
            <w:pPr>
              <w:pStyle w:val="Compact"/>
              <w:rPr>
                <w:rFonts w:ascii="Helvetica" w:hAnsi="Helvetica"/>
                <w:sz w:val="18"/>
                <w:szCs w:val="18"/>
              </w:rPr>
            </w:pPr>
          </w:p>
        </w:tc>
        <w:tc>
          <w:tcPr>
            <w:tcW w:w="979" w:type="dxa"/>
          </w:tcPr>
          <w:p w14:paraId="598D0B7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12FDF0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w:t>
            </w:r>
          </w:p>
        </w:tc>
        <w:tc>
          <w:tcPr>
            <w:tcW w:w="1222" w:type="dxa"/>
          </w:tcPr>
          <w:p w14:paraId="330727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34793B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29F836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324490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52.6%</w:t>
            </w:r>
          </w:p>
        </w:tc>
        <w:tc>
          <w:tcPr>
            <w:tcW w:w="1222" w:type="dxa"/>
          </w:tcPr>
          <w:p w14:paraId="0B65AB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32.7%</w:t>
            </w:r>
          </w:p>
        </w:tc>
      </w:tr>
      <w:tr w:rsidR="003C64F0" w:rsidRPr="00CC2F84" w14:paraId="25AC4F63" w14:textId="77777777" w:rsidTr="0094789D">
        <w:tc>
          <w:tcPr>
            <w:tcW w:w="1157" w:type="dxa"/>
          </w:tcPr>
          <w:p w14:paraId="45E68385" w14:textId="77777777" w:rsidR="00AB7EBC" w:rsidRPr="00A84C1C" w:rsidRDefault="00AB7EBC">
            <w:pPr>
              <w:pStyle w:val="Compact"/>
              <w:rPr>
                <w:rFonts w:ascii="Helvetica" w:hAnsi="Helvetica"/>
                <w:sz w:val="18"/>
                <w:szCs w:val="18"/>
              </w:rPr>
            </w:pPr>
          </w:p>
        </w:tc>
        <w:tc>
          <w:tcPr>
            <w:tcW w:w="979" w:type="dxa"/>
          </w:tcPr>
          <w:p w14:paraId="37507004"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23E616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4CE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6920D50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w:t>
            </w:r>
          </w:p>
        </w:tc>
        <w:tc>
          <w:tcPr>
            <w:tcW w:w="1222" w:type="dxa"/>
          </w:tcPr>
          <w:p w14:paraId="2B9860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0FB63A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59.2%</w:t>
            </w:r>
          </w:p>
        </w:tc>
        <w:tc>
          <w:tcPr>
            <w:tcW w:w="1222" w:type="dxa"/>
          </w:tcPr>
          <w:p w14:paraId="5D01B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40.4%</w:t>
            </w:r>
          </w:p>
        </w:tc>
      </w:tr>
      <w:tr w:rsidR="003C64F0" w:rsidRPr="00CC2F84" w14:paraId="4450DCDE" w14:textId="77777777" w:rsidTr="0094789D">
        <w:tc>
          <w:tcPr>
            <w:tcW w:w="1157" w:type="dxa"/>
          </w:tcPr>
          <w:p w14:paraId="5E6E5517"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2</w:t>
            </w:r>
          </w:p>
        </w:tc>
        <w:tc>
          <w:tcPr>
            <w:tcW w:w="979" w:type="dxa"/>
          </w:tcPr>
          <w:p w14:paraId="49C3422D"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2CE8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22" w:type="dxa"/>
          </w:tcPr>
          <w:p w14:paraId="27C2C4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15.6%</w:t>
            </w:r>
          </w:p>
        </w:tc>
        <w:tc>
          <w:tcPr>
            <w:tcW w:w="1222" w:type="dxa"/>
          </w:tcPr>
          <w:p w14:paraId="75F9E6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22" w:type="dxa"/>
          </w:tcPr>
          <w:p w14:paraId="0F06E1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1612B22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86.8%</w:t>
            </w:r>
          </w:p>
        </w:tc>
        <w:tc>
          <w:tcPr>
            <w:tcW w:w="1222" w:type="dxa"/>
          </w:tcPr>
          <w:p w14:paraId="664A1D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79.2%</w:t>
            </w:r>
          </w:p>
        </w:tc>
      </w:tr>
      <w:tr w:rsidR="003C64F0" w:rsidRPr="00CC2F84" w14:paraId="679E58A6" w14:textId="77777777" w:rsidTr="0094789D">
        <w:tc>
          <w:tcPr>
            <w:tcW w:w="1157" w:type="dxa"/>
          </w:tcPr>
          <w:p w14:paraId="6D360876" w14:textId="77777777" w:rsidR="00AB7EBC" w:rsidRPr="00A84C1C" w:rsidRDefault="00AB7EBC">
            <w:pPr>
              <w:pStyle w:val="Compact"/>
              <w:rPr>
                <w:rFonts w:ascii="Helvetica" w:hAnsi="Helvetica"/>
                <w:sz w:val="18"/>
                <w:szCs w:val="18"/>
              </w:rPr>
            </w:pPr>
          </w:p>
        </w:tc>
        <w:tc>
          <w:tcPr>
            <w:tcW w:w="979" w:type="dxa"/>
          </w:tcPr>
          <w:p w14:paraId="4CEF92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1DD6E7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22" w:type="dxa"/>
          </w:tcPr>
          <w:p w14:paraId="586A82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15.5%</w:t>
            </w:r>
          </w:p>
        </w:tc>
        <w:tc>
          <w:tcPr>
            <w:tcW w:w="1222" w:type="dxa"/>
          </w:tcPr>
          <w:p w14:paraId="091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22" w:type="dxa"/>
          </w:tcPr>
          <w:p w14:paraId="6690B8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590131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87.0%</w:t>
            </w:r>
          </w:p>
        </w:tc>
        <w:tc>
          <w:tcPr>
            <w:tcW w:w="1222" w:type="dxa"/>
          </w:tcPr>
          <w:p w14:paraId="1DDAA2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78.9%</w:t>
            </w:r>
          </w:p>
        </w:tc>
      </w:tr>
      <w:tr w:rsidR="003C64F0" w:rsidRPr="00CC2F84" w14:paraId="6D217157" w14:textId="77777777" w:rsidTr="0094789D">
        <w:tc>
          <w:tcPr>
            <w:tcW w:w="1157" w:type="dxa"/>
          </w:tcPr>
          <w:p w14:paraId="40BBC7CC" w14:textId="77777777" w:rsidR="00AB7EBC" w:rsidRPr="00A84C1C" w:rsidRDefault="00AB7EBC">
            <w:pPr>
              <w:pStyle w:val="Compact"/>
              <w:rPr>
                <w:rFonts w:ascii="Helvetica" w:hAnsi="Helvetica"/>
                <w:sz w:val="18"/>
                <w:szCs w:val="18"/>
              </w:rPr>
            </w:pPr>
          </w:p>
        </w:tc>
        <w:tc>
          <w:tcPr>
            <w:tcW w:w="979" w:type="dxa"/>
          </w:tcPr>
          <w:p w14:paraId="7EECC1BC"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5BD1475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17.2%</w:t>
            </w:r>
          </w:p>
        </w:tc>
        <w:tc>
          <w:tcPr>
            <w:tcW w:w="1222" w:type="dxa"/>
          </w:tcPr>
          <w:p w14:paraId="06AA28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15.4%</w:t>
            </w:r>
          </w:p>
        </w:tc>
        <w:tc>
          <w:tcPr>
            <w:tcW w:w="1222" w:type="dxa"/>
          </w:tcPr>
          <w:p w14:paraId="48F0C3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22" w:type="dxa"/>
          </w:tcPr>
          <w:p w14:paraId="578A95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7A8B6A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83.8%</w:t>
            </w:r>
          </w:p>
        </w:tc>
        <w:tc>
          <w:tcPr>
            <w:tcW w:w="1222" w:type="dxa"/>
          </w:tcPr>
          <w:p w14:paraId="51816C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78.8%</w:t>
            </w:r>
          </w:p>
        </w:tc>
      </w:tr>
      <w:tr w:rsidR="003C64F0" w:rsidRPr="00CC2F84" w14:paraId="1F7BD3C7" w14:textId="77777777" w:rsidTr="0094789D">
        <w:tc>
          <w:tcPr>
            <w:tcW w:w="1157" w:type="dxa"/>
          </w:tcPr>
          <w:p w14:paraId="3705FE02" w14:textId="77777777" w:rsidR="00AB7EBC" w:rsidRPr="00A84C1C" w:rsidRDefault="00AB7EBC">
            <w:pPr>
              <w:pStyle w:val="Compact"/>
              <w:rPr>
                <w:rFonts w:ascii="Helvetica" w:hAnsi="Helvetica"/>
                <w:sz w:val="18"/>
                <w:szCs w:val="18"/>
              </w:rPr>
            </w:pPr>
          </w:p>
        </w:tc>
        <w:tc>
          <w:tcPr>
            <w:tcW w:w="979" w:type="dxa"/>
          </w:tcPr>
          <w:p w14:paraId="7BEE5FAD"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2D95E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18.5%</w:t>
            </w:r>
          </w:p>
        </w:tc>
        <w:tc>
          <w:tcPr>
            <w:tcW w:w="1222" w:type="dxa"/>
          </w:tcPr>
          <w:p w14:paraId="680EB2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16.6%</w:t>
            </w:r>
          </w:p>
        </w:tc>
        <w:tc>
          <w:tcPr>
            <w:tcW w:w="1222" w:type="dxa"/>
          </w:tcPr>
          <w:p w14:paraId="16E3BF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3A38A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22" w:type="dxa"/>
          </w:tcPr>
          <w:p w14:paraId="2B1C77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85.3%</w:t>
            </w:r>
          </w:p>
        </w:tc>
        <w:tc>
          <w:tcPr>
            <w:tcW w:w="1222" w:type="dxa"/>
          </w:tcPr>
          <w:p w14:paraId="7E265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80.5%</w:t>
            </w:r>
          </w:p>
        </w:tc>
      </w:tr>
      <w:tr w:rsidR="003C64F0" w:rsidRPr="00CC2F84" w14:paraId="6B04437E" w14:textId="77777777" w:rsidTr="0094789D">
        <w:tc>
          <w:tcPr>
            <w:tcW w:w="1157" w:type="dxa"/>
          </w:tcPr>
          <w:p w14:paraId="6C7844BE" w14:textId="77777777" w:rsidR="00AB7EBC" w:rsidRPr="00A84C1C" w:rsidRDefault="00AB7EBC">
            <w:pPr>
              <w:pStyle w:val="Compact"/>
              <w:rPr>
                <w:rFonts w:ascii="Helvetica" w:hAnsi="Helvetica"/>
                <w:sz w:val="18"/>
                <w:szCs w:val="18"/>
              </w:rPr>
            </w:pPr>
          </w:p>
        </w:tc>
        <w:tc>
          <w:tcPr>
            <w:tcW w:w="979" w:type="dxa"/>
          </w:tcPr>
          <w:p w14:paraId="5CF229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13C8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19.4%</w:t>
            </w:r>
          </w:p>
        </w:tc>
        <w:tc>
          <w:tcPr>
            <w:tcW w:w="1222" w:type="dxa"/>
          </w:tcPr>
          <w:p w14:paraId="194344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16.2%</w:t>
            </w:r>
          </w:p>
        </w:tc>
        <w:tc>
          <w:tcPr>
            <w:tcW w:w="1222" w:type="dxa"/>
          </w:tcPr>
          <w:p w14:paraId="44A154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w:t>
            </w:r>
          </w:p>
        </w:tc>
        <w:tc>
          <w:tcPr>
            <w:tcW w:w="1222" w:type="dxa"/>
          </w:tcPr>
          <w:p w14:paraId="7C37B5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c>
          <w:tcPr>
            <w:tcW w:w="1222" w:type="dxa"/>
          </w:tcPr>
          <w:p w14:paraId="0038A8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87.5%</w:t>
            </w:r>
          </w:p>
        </w:tc>
        <w:tc>
          <w:tcPr>
            <w:tcW w:w="1222" w:type="dxa"/>
          </w:tcPr>
          <w:p w14:paraId="18B4CC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79.9%</w:t>
            </w:r>
          </w:p>
        </w:tc>
      </w:tr>
      <w:tr w:rsidR="003C64F0" w:rsidRPr="00CC2F84" w14:paraId="1FF03C84" w14:textId="77777777" w:rsidTr="0094789D">
        <w:tc>
          <w:tcPr>
            <w:tcW w:w="1157" w:type="dxa"/>
          </w:tcPr>
          <w:p w14:paraId="1D9E3942" w14:textId="77777777" w:rsidR="00AB7EBC" w:rsidRPr="00A84C1C" w:rsidRDefault="00AB7EBC">
            <w:pPr>
              <w:pStyle w:val="Compact"/>
              <w:rPr>
                <w:rFonts w:ascii="Helvetica" w:hAnsi="Helvetica"/>
                <w:sz w:val="18"/>
                <w:szCs w:val="18"/>
              </w:rPr>
            </w:pPr>
          </w:p>
        </w:tc>
        <w:tc>
          <w:tcPr>
            <w:tcW w:w="979" w:type="dxa"/>
          </w:tcPr>
          <w:p w14:paraId="5A07680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692EA0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21.1%</w:t>
            </w:r>
          </w:p>
        </w:tc>
        <w:tc>
          <w:tcPr>
            <w:tcW w:w="1222" w:type="dxa"/>
          </w:tcPr>
          <w:p w14:paraId="3CC56F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17.8%</w:t>
            </w:r>
          </w:p>
        </w:tc>
        <w:tc>
          <w:tcPr>
            <w:tcW w:w="1222" w:type="dxa"/>
          </w:tcPr>
          <w:p w14:paraId="7D5BA4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222" w:type="dxa"/>
          </w:tcPr>
          <w:p w14:paraId="3FC1FD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101B1A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88.9%</w:t>
            </w:r>
          </w:p>
        </w:tc>
        <w:tc>
          <w:tcPr>
            <w:tcW w:w="1222" w:type="dxa"/>
          </w:tcPr>
          <w:p w14:paraId="7AC2D8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82.0%</w:t>
            </w:r>
          </w:p>
        </w:tc>
      </w:tr>
      <w:tr w:rsidR="003C64F0" w:rsidRPr="00CC2F84" w14:paraId="7C94459A" w14:textId="77777777" w:rsidTr="0094789D">
        <w:tc>
          <w:tcPr>
            <w:tcW w:w="1157" w:type="dxa"/>
          </w:tcPr>
          <w:p w14:paraId="5E4E5F41"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3</w:t>
            </w:r>
          </w:p>
        </w:tc>
        <w:tc>
          <w:tcPr>
            <w:tcW w:w="979" w:type="dxa"/>
          </w:tcPr>
          <w:p w14:paraId="7FA92F8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189061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22" w:type="dxa"/>
          </w:tcPr>
          <w:p w14:paraId="75F83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30.4%</w:t>
            </w:r>
          </w:p>
        </w:tc>
        <w:tc>
          <w:tcPr>
            <w:tcW w:w="1222" w:type="dxa"/>
          </w:tcPr>
          <w:p w14:paraId="4D8848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005A63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26BA63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96.1%</w:t>
            </w:r>
          </w:p>
        </w:tc>
        <w:tc>
          <w:tcPr>
            <w:tcW w:w="1222" w:type="dxa"/>
          </w:tcPr>
          <w:p w14:paraId="5780A0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93.9%</w:t>
            </w:r>
          </w:p>
        </w:tc>
      </w:tr>
      <w:tr w:rsidR="003C64F0" w:rsidRPr="00CC2F84" w14:paraId="02A87F6C" w14:textId="77777777" w:rsidTr="0094789D">
        <w:tc>
          <w:tcPr>
            <w:tcW w:w="1157" w:type="dxa"/>
          </w:tcPr>
          <w:p w14:paraId="5F3F2BE4" w14:textId="77777777" w:rsidR="00AB7EBC" w:rsidRPr="00A84C1C" w:rsidRDefault="00AB7EBC">
            <w:pPr>
              <w:pStyle w:val="Compact"/>
              <w:rPr>
                <w:rFonts w:ascii="Helvetica" w:hAnsi="Helvetica"/>
                <w:sz w:val="18"/>
                <w:szCs w:val="18"/>
              </w:rPr>
            </w:pPr>
          </w:p>
        </w:tc>
        <w:tc>
          <w:tcPr>
            <w:tcW w:w="979" w:type="dxa"/>
          </w:tcPr>
          <w:p w14:paraId="1583A8E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76F3DF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22" w:type="dxa"/>
          </w:tcPr>
          <w:p w14:paraId="04DB4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22" w:type="dxa"/>
          </w:tcPr>
          <w:p w14:paraId="6A6BF4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4A847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57E2C3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96.2%</w:t>
            </w:r>
          </w:p>
        </w:tc>
        <w:tc>
          <w:tcPr>
            <w:tcW w:w="1222" w:type="dxa"/>
          </w:tcPr>
          <w:p w14:paraId="3178CE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0977A67" w14:textId="77777777" w:rsidTr="0094789D">
        <w:tc>
          <w:tcPr>
            <w:tcW w:w="1157" w:type="dxa"/>
          </w:tcPr>
          <w:p w14:paraId="152D13BA" w14:textId="77777777" w:rsidR="00AB7EBC" w:rsidRPr="00A84C1C" w:rsidRDefault="00AB7EBC">
            <w:pPr>
              <w:pStyle w:val="Compact"/>
              <w:rPr>
                <w:rFonts w:ascii="Helvetica" w:hAnsi="Helvetica"/>
                <w:sz w:val="18"/>
                <w:szCs w:val="18"/>
              </w:rPr>
            </w:pPr>
          </w:p>
        </w:tc>
        <w:tc>
          <w:tcPr>
            <w:tcW w:w="979" w:type="dxa"/>
          </w:tcPr>
          <w:p w14:paraId="7D5A709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19ED7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31.9%</w:t>
            </w:r>
          </w:p>
        </w:tc>
        <w:tc>
          <w:tcPr>
            <w:tcW w:w="1222" w:type="dxa"/>
          </w:tcPr>
          <w:p w14:paraId="15B796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22" w:type="dxa"/>
          </w:tcPr>
          <w:p w14:paraId="3F1360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656D5E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2FC16A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95.2%</w:t>
            </w:r>
          </w:p>
        </w:tc>
        <w:tc>
          <w:tcPr>
            <w:tcW w:w="1222" w:type="dxa"/>
          </w:tcPr>
          <w:p w14:paraId="2A1B33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3219687" w14:textId="77777777" w:rsidTr="0094789D">
        <w:tc>
          <w:tcPr>
            <w:tcW w:w="1157" w:type="dxa"/>
          </w:tcPr>
          <w:p w14:paraId="7E3FAAFD" w14:textId="77777777" w:rsidR="00AB7EBC" w:rsidRPr="00A84C1C" w:rsidRDefault="00AB7EBC">
            <w:pPr>
              <w:pStyle w:val="Compact"/>
              <w:rPr>
                <w:rFonts w:ascii="Helvetica" w:hAnsi="Helvetica"/>
                <w:sz w:val="18"/>
                <w:szCs w:val="18"/>
              </w:rPr>
            </w:pPr>
          </w:p>
        </w:tc>
        <w:tc>
          <w:tcPr>
            <w:tcW w:w="979" w:type="dxa"/>
          </w:tcPr>
          <w:p w14:paraId="6B8FA99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168EA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32.9%</w:t>
            </w:r>
          </w:p>
        </w:tc>
        <w:tc>
          <w:tcPr>
            <w:tcW w:w="1222" w:type="dxa"/>
          </w:tcPr>
          <w:p w14:paraId="30FFE8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31.2%</w:t>
            </w:r>
          </w:p>
        </w:tc>
        <w:tc>
          <w:tcPr>
            <w:tcW w:w="1222" w:type="dxa"/>
          </w:tcPr>
          <w:p w14:paraId="647FE3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1935A8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3A8B18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95.6%</w:t>
            </w:r>
          </w:p>
        </w:tc>
        <w:tc>
          <w:tcPr>
            <w:tcW w:w="1222" w:type="dxa"/>
          </w:tcPr>
          <w:p w14:paraId="0542EA4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94.2%</w:t>
            </w:r>
          </w:p>
        </w:tc>
      </w:tr>
      <w:tr w:rsidR="003C64F0" w:rsidRPr="00CC2F84" w14:paraId="3032A8B3" w14:textId="77777777" w:rsidTr="0094789D">
        <w:tc>
          <w:tcPr>
            <w:tcW w:w="1157" w:type="dxa"/>
          </w:tcPr>
          <w:p w14:paraId="6A98ADDB" w14:textId="77777777" w:rsidR="00AB7EBC" w:rsidRPr="00A84C1C" w:rsidRDefault="00AB7EBC">
            <w:pPr>
              <w:pStyle w:val="Compact"/>
              <w:rPr>
                <w:rFonts w:ascii="Helvetica" w:hAnsi="Helvetica"/>
                <w:sz w:val="18"/>
                <w:szCs w:val="18"/>
              </w:rPr>
            </w:pPr>
          </w:p>
        </w:tc>
        <w:tc>
          <w:tcPr>
            <w:tcW w:w="979" w:type="dxa"/>
          </w:tcPr>
          <w:p w14:paraId="7E528B4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FB682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33.7%</w:t>
            </w:r>
          </w:p>
        </w:tc>
        <w:tc>
          <w:tcPr>
            <w:tcW w:w="1222" w:type="dxa"/>
          </w:tcPr>
          <w:p w14:paraId="57C5D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30.9%</w:t>
            </w:r>
          </w:p>
        </w:tc>
        <w:tc>
          <w:tcPr>
            <w:tcW w:w="1222" w:type="dxa"/>
          </w:tcPr>
          <w:p w14:paraId="5CB854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2684D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510F7AD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96.3%</w:t>
            </w:r>
          </w:p>
        </w:tc>
        <w:tc>
          <w:tcPr>
            <w:tcW w:w="1222" w:type="dxa"/>
          </w:tcPr>
          <w:p w14:paraId="59E7E4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94.1%</w:t>
            </w:r>
          </w:p>
        </w:tc>
      </w:tr>
      <w:tr w:rsidR="003C64F0" w:rsidRPr="00CC2F84" w14:paraId="5287818C" w14:textId="77777777" w:rsidTr="0094789D">
        <w:tc>
          <w:tcPr>
            <w:tcW w:w="1157" w:type="dxa"/>
          </w:tcPr>
          <w:p w14:paraId="227EADFA" w14:textId="77777777" w:rsidR="00AB7EBC" w:rsidRPr="00A84C1C" w:rsidRDefault="00AB7EBC">
            <w:pPr>
              <w:pStyle w:val="Compact"/>
              <w:rPr>
                <w:rFonts w:ascii="Helvetica" w:hAnsi="Helvetica"/>
                <w:sz w:val="18"/>
                <w:szCs w:val="18"/>
              </w:rPr>
            </w:pPr>
          </w:p>
        </w:tc>
        <w:tc>
          <w:tcPr>
            <w:tcW w:w="979" w:type="dxa"/>
          </w:tcPr>
          <w:p w14:paraId="70E50637"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D2C67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35.1%</w:t>
            </w:r>
          </w:p>
        </w:tc>
        <w:tc>
          <w:tcPr>
            <w:tcW w:w="1222" w:type="dxa"/>
          </w:tcPr>
          <w:p w14:paraId="4B8161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32.1%</w:t>
            </w:r>
          </w:p>
        </w:tc>
        <w:tc>
          <w:tcPr>
            <w:tcW w:w="1222" w:type="dxa"/>
          </w:tcPr>
          <w:p w14:paraId="3D80C3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w:t>
            </w:r>
          </w:p>
        </w:tc>
        <w:tc>
          <w:tcPr>
            <w:tcW w:w="1222" w:type="dxa"/>
          </w:tcPr>
          <w:p w14:paraId="0FE6CD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245453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96.7%</w:t>
            </w:r>
          </w:p>
        </w:tc>
        <w:tc>
          <w:tcPr>
            <w:tcW w:w="1222" w:type="dxa"/>
          </w:tcPr>
          <w:p w14:paraId="522438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94.6%</w:t>
            </w:r>
          </w:p>
        </w:tc>
      </w:tr>
      <w:tr w:rsidR="003C64F0" w:rsidRPr="00CC2F84" w14:paraId="1A85C8D9" w14:textId="77777777" w:rsidTr="0094789D">
        <w:tc>
          <w:tcPr>
            <w:tcW w:w="1157" w:type="dxa"/>
          </w:tcPr>
          <w:p w14:paraId="3381B97E"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0.75</w:t>
            </w:r>
          </w:p>
        </w:tc>
        <w:tc>
          <w:tcPr>
            <w:tcW w:w="979" w:type="dxa"/>
          </w:tcPr>
          <w:p w14:paraId="12B5E44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7023E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22" w:type="dxa"/>
          </w:tcPr>
          <w:p w14:paraId="5C1321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64ECE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6F2219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0A4BE2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72.8%</w:t>
            </w:r>
          </w:p>
        </w:tc>
        <w:tc>
          <w:tcPr>
            <w:tcW w:w="1222" w:type="dxa"/>
          </w:tcPr>
          <w:p w14:paraId="1C483E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585D4B" w14:textId="77777777" w:rsidTr="0094789D">
        <w:tc>
          <w:tcPr>
            <w:tcW w:w="1157" w:type="dxa"/>
          </w:tcPr>
          <w:p w14:paraId="1976DC6A" w14:textId="77777777" w:rsidR="00AB7EBC" w:rsidRPr="00A84C1C" w:rsidRDefault="00AB7EBC">
            <w:pPr>
              <w:pStyle w:val="Compact"/>
              <w:rPr>
                <w:rFonts w:ascii="Helvetica" w:hAnsi="Helvetica"/>
                <w:sz w:val="18"/>
                <w:szCs w:val="18"/>
              </w:rPr>
            </w:pPr>
          </w:p>
        </w:tc>
        <w:tc>
          <w:tcPr>
            <w:tcW w:w="979" w:type="dxa"/>
          </w:tcPr>
          <w:p w14:paraId="7FF28F1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17687B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1E5A0A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F5858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7B5674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3ECF6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22" w:type="dxa"/>
          </w:tcPr>
          <w:p w14:paraId="35DD8C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1705B464" w14:textId="77777777" w:rsidTr="0094789D">
        <w:tc>
          <w:tcPr>
            <w:tcW w:w="1157" w:type="dxa"/>
          </w:tcPr>
          <w:p w14:paraId="4BFFB4C7" w14:textId="77777777" w:rsidR="00AB7EBC" w:rsidRPr="00A84C1C" w:rsidRDefault="00AB7EBC">
            <w:pPr>
              <w:pStyle w:val="Compact"/>
              <w:rPr>
                <w:rFonts w:ascii="Helvetica" w:hAnsi="Helvetica"/>
                <w:sz w:val="18"/>
                <w:szCs w:val="18"/>
              </w:rPr>
            </w:pPr>
          </w:p>
        </w:tc>
        <w:tc>
          <w:tcPr>
            <w:tcW w:w="979" w:type="dxa"/>
          </w:tcPr>
          <w:p w14:paraId="2BC7086A"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0D9AA7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0112B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5FCD7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0FDF81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0C75F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22" w:type="dxa"/>
          </w:tcPr>
          <w:p w14:paraId="2567B7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135A1D55" w14:textId="77777777" w:rsidTr="0094789D">
        <w:tc>
          <w:tcPr>
            <w:tcW w:w="1157" w:type="dxa"/>
          </w:tcPr>
          <w:p w14:paraId="50E613A7" w14:textId="77777777" w:rsidR="00AB7EBC" w:rsidRPr="00A84C1C" w:rsidRDefault="00AB7EBC">
            <w:pPr>
              <w:pStyle w:val="Compact"/>
              <w:rPr>
                <w:rFonts w:ascii="Helvetica" w:hAnsi="Helvetica"/>
                <w:sz w:val="18"/>
                <w:szCs w:val="18"/>
              </w:rPr>
            </w:pPr>
          </w:p>
        </w:tc>
        <w:tc>
          <w:tcPr>
            <w:tcW w:w="979" w:type="dxa"/>
          </w:tcPr>
          <w:p w14:paraId="258CD7C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73E5B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22" w:type="dxa"/>
          </w:tcPr>
          <w:p w14:paraId="1E55EE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61A0AD2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C1F0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E3ED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69.9%</w:t>
            </w:r>
          </w:p>
        </w:tc>
        <w:tc>
          <w:tcPr>
            <w:tcW w:w="1222" w:type="dxa"/>
          </w:tcPr>
          <w:p w14:paraId="4BCD05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7B5101C" w14:textId="77777777" w:rsidTr="0094789D">
        <w:tc>
          <w:tcPr>
            <w:tcW w:w="1157" w:type="dxa"/>
          </w:tcPr>
          <w:p w14:paraId="03240114" w14:textId="77777777" w:rsidR="00AB7EBC" w:rsidRPr="00A84C1C" w:rsidRDefault="00AB7EBC">
            <w:pPr>
              <w:pStyle w:val="Compact"/>
              <w:rPr>
                <w:rFonts w:ascii="Helvetica" w:hAnsi="Helvetica"/>
                <w:sz w:val="18"/>
                <w:szCs w:val="18"/>
              </w:rPr>
            </w:pPr>
          </w:p>
        </w:tc>
        <w:tc>
          <w:tcPr>
            <w:tcW w:w="979" w:type="dxa"/>
          </w:tcPr>
          <w:p w14:paraId="1749FC6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C651F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22" w:type="dxa"/>
          </w:tcPr>
          <w:p w14:paraId="1E658E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390F9E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222" w:type="dxa"/>
          </w:tcPr>
          <w:p w14:paraId="27388A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F14D0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22" w:type="dxa"/>
          </w:tcPr>
          <w:p w14:paraId="1C8790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0EC3A9FD" w14:textId="77777777" w:rsidTr="0094789D">
        <w:tc>
          <w:tcPr>
            <w:tcW w:w="1157" w:type="dxa"/>
          </w:tcPr>
          <w:p w14:paraId="1837D27F" w14:textId="77777777" w:rsidR="00AB7EBC" w:rsidRPr="00A84C1C" w:rsidRDefault="00AB7EBC">
            <w:pPr>
              <w:pStyle w:val="Compact"/>
              <w:rPr>
                <w:rFonts w:ascii="Helvetica" w:hAnsi="Helvetica"/>
                <w:sz w:val="18"/>
                <w:szCs w:val="18"/>
              </w:rPr>
            </w:pPr>
          </w:p>
        </w:tc>
        <w:tc>
          <w:tcPr>
            <w:tcW w:w="979" w:type="dxa"/>
          </w:tcPr>
          <w:p w14:paraId="30932130"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76CFA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12.1%</w:t>
            </w:r>
          </w:p>
        </w:tc>
        <w:tc>
          <w:tcPr>
            <w:tcW w:w="1222" w:type="dxa"/>
          </w:tcPr>
          <w:p w14:paraId="4AC415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22" w:type="dxa"/>
          </w:tcPr>
          <w:p w14:paraId="5F894A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22" w:type="dxa"/>
          </w:tcPr>
          <w:p w14:paraId="30F3A6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0E4DA0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77.2%</w:t>
            </w:r>
          </w:p>
        </w:tc>
        <w:tc>
          <w:tcPr>
            <w:tcW w:w="1222" w:type="dxa"/>
          </w:tcPr>
          <w:p w14:paraId="53235D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082FDD9D" w14:textId="77777777" w:rsidTr="0094789D">
        <w:tc>
          <w:tcPr>
            <w:tcW w:w="1157" w:type="dxa"/>
          </w:tcPr>
          <w:p w14:paraId="035D19C4"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0.5</w:t>
            </w:r>
          </w:p>
        </w:tc>
        <w:tc>
          <w:tcPr>
            <w:tcW w:w="979" w:type="dxa"/>
          </w:tcPr>
          <w:p w14:paraId="25B2394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414C91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22" w:type="dxa"/>
          </w:tcPr>
          <w:p w14:paraId="31765E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251F91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723697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491E4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22" w:type="dxa"/>
          </w:tcPr>
          <w:p w14:paraId="5BE8A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C629DA" w14:textId="77777777" w:rsidTr="0094789D">
        <w:tc>
          <w:tcPr>
            <w:tcW w:w="1157" w:type="dxa"/>
          </w:tcPr>
          <w:p w14:paraId="2F557B58" w14:textId="77777777" w:rsidR="00AB7EBC" w:rsidRPr="00A84C1C" w:rsidRDefault="00AB7EBC">
            <w:pPr>
              <w:pStyle w:val="Compact"/>
              <w:rPr>
                <w:rFonts w:ascii="Helvetica" w:hAnsi="Helvetica"/>
                <w:sz w:val="18"/>
                <w:szCs w:val="18"/>
              </w:rPr>
            </w:pPr>
          </w:p>
        </w:tc>
        <w:tc>
          <w:tcPr>
            <w:tcW w:w="979" w:type="dxa"/>
          </w:tcPr>
          <w:p w14:paraId="7D69B85B"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BD26F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22" w:type="dxa"/>
          </w:tcPr>
          <w:p w14:paraId="3311FF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5472A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E9A6C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5407F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70.9%</w:t>
            </w:r>
          </w:p>
        </w:tc>
        <w:tc>
          <w:tcPr>
            <w:tcW w:w="1222" w:type="dxa"/>
          </w:tcPr>
          <w:p w14:paraId="665CC3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A1B5977" w14:textId="77777777" w:rsidTr="0094789D">
        <w:tc>
          <w:tcPr>
            <w:tcW w:w="1157" w:type="dxa"/>
          </w:tcPr>
          <w:p w14:paraId="404043D2" w14:textId="77777777" w:rsidR="00AB7EBC" w:rsidRPr="00A84C1C" w:rsidRDefault="00AB7EBC">
            <w:pPr>
              <w:pStyle w:val="Compact"/>
              <w:rPr>
                <w:rFonts w:ascii="Helvetica" w:hAnsi="Helvetica"/>
                <w:sz w:val="18"/>
                <w:szCs w:val="18"/>
              </w:rPr>
            </w:pPr>
          </w:p>
        </w:tc>
        <w:tc>
          <w:tcPr>
            <w:tcW w:w="979" w:type="dxa"/>
          </w:tcPr>
          <w:p w14:paraId="7C76AEE5"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70207E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29A98E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68CA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348AB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92D9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64.9%</w:t>
            </w:r>
          </w:p>
        </w:tc>
        <w:tc>
          <w:tcPr>
            <w:tcW w:w="1222" w:type="dxa"/>
          </w:tcPr>
          <w:p w14:paraId="76244F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5946EC3" w14:textId="77777777" w:rsidTr="0094789D">
        <w:tc>
          <w:tcPr>
            <w:tcW w:w="1157" w:type="dxa"/>
          </w:tcPr>
          <w:p w14:paraId="36441BBF" w14:textId="77777777" w:rsidR="00AB7EBC" w:rsidRPr="00A84C1C" w:rsidRDefault="00AB7EBC">
            <w:pPr>
              <w:pStyle w:val="Compact"/>
              <w:rPr>
                <w:rFonts w:ascii="Helvetica" w:hAnsi="Helvetica"/>
                <w:sz w:val="18"/>
                <w:szCs w:val="18"/>
              </w:rPr>
            </w:pPr>
          </w:p>
        </w:tc>
        <w:tc>
          <w:tcPr>
            <w:tcW w:w="979" w:type="dxa"/>
          </w:tcPr>
          <w:p w14:paraId="6DE94F57"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A95BE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DB860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354B97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300DF1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22098F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68.5%</w:t>
            </w:r>
          </w:p>
        </w:tc>
        <w:tc>
          <w:tcPr>
            <w:tcW w:w="1222" w:type="dxa"/>
          </w:tcPr>
          <w:p w14:paraId="63C05B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F8075C1" w14:textId="77777777" w:rsidTr="0094789D">
        <w:tc>
          <w:tcPr>
            <w:tcW w:w="1157" w:type="dxa"/>
          </w:tcPr>
          <w:p w14:paraId="0A6A27DA" w14:textId="77777777" w:rsidR="00AB7EBC" w:rsidRPr="00A84C1C" w:rsidRDefault="00AB7EBC">
            <w:pPr>
              <w:pStyle w:val="Compact"/>
              <w:rPr>
                <w:rFonts w:ascii="Helvetica" w:hAnsi="Helvetica"/>
                <w:sz w:val="18"/>
                <w:szCs w:val="18"/>
              </w:rPr>
            </w:pPr>
          </w:p>
        </w:tc>
        <w:tc>
          <w:tcPr>
            <w:tcW w:w="979" w:type="dxa"/>
          </w:tcPr>
          <w:p w14:paraId="25879716"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DBBE6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C73AB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4C8160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1A567F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35981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72.4%</w:t>
            </w:r>
          </w:p>
        </w:tc>
        <w:tc>
          <w:tcPr>
            <w:tcW w:w="1222" w:type="dxa"/>
          </w:tcPr>
          <w:p w14:paraId="1BC995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7D955AFD" w14:textId="77777777" w:rsidTr="0094789D">
        <w:tc>
          <w:tcPr>
            <w:tcW w:w="1157" w:type="dxa"/>
          </w:tcPr>
          <w:p w14:paraId="1E322769" w14:textId="77777777" w:rsidR="00AB7EBC" w:rsidRPr="00A84C1C" w:rsidRDefault="00AB7EBC">
            <w:pPr>
              <w:pStyle w:val="Compact"/>
              <w:rPr>
                <w:rFonts w:ascii="Helvetica" w:hAnsi="Helvetica"/>
                <w:sz w:val="18"/>
                <w:szCs w:val="18"/>
              </w:rPr>
            </w:pPr>
          </w:p>
        </w:tc>
        <w:tc>
          <w:tcPr>
            <w:tcW w:w="979" w:type="dxa"/>
          </w:tcPr>
          <w:p w14:paraId="051EA6C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03F042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10.7%</w:t>
            </w:r>
          </w:p>
        </w:tc>
        <w:tc>
          <w:tcPr>
            <w:tcW w:w="1222" w:type="dxa"/>
          </w:tcPr>
          <w:p w14:paraId="33335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53EA3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5BAECD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5C063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75.8%</w:t>
            </w:r>
          </w:p>
        </w:tc>
        <w:tc>
          <w:tcPr>
            <w:tcW w:w="1222" w:type="dxa"/>
          </w:tcPr>
          <w:p w14:paraId="752DEA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5EE4E4F9" w14:textId="77777777" w:rsidTr="0094789D">
        <w:tc>
          <w:tcPr>
            <w:tcW w:w="1157" w:type="dxa"/>
          </w:tcPr>
          <w:p w14:paraId="65D095AB"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0.33</w:t>
            </w:r>
          </w:p>
        </w:tc>
        <w:tc>
          <w:tcPr>
            <w:tcW w:w="979" w:type="dxa"/>
          </w:tcPr>
          <w:p w14:paraId="0E0AA168"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48DED5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22" w:type="dxa"/>
          </w:tcPr>
          <w:p w14:paraId="27C168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41D763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F1E25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2888C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69.5%</w:t>
            </w:r>
          </w:p>
        </w:tc>
        <w:tc>
          <w:tcPr>
            <w:tcW w:w="1222" w:type="dxa"/>
          </w:tcPr>
          <w:p w14:paraId="0B8A97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1180589A" w14:textId="77777777" w:rsidTr="0094789D">
        <w:tc>
          <w:tcPr>
            <w:tcW w:w="1157" w:type="dxa"/>
          </w:tcPr>
          <w:p w14:paraId="0E30FBC0" w14:textId="77777777" w:rsidR="00AB7EBC" w:rsidRPr="00A84C1C" w:rsidRDefault="00AB7EBC">
            <w:pPr>
              <w:pStyle w:val="Compact"/>
              <w:rPr>
                <w:rFonts w:ascii="Helvetica" w:hAnsi="Helvetica"/>
                <w:sz w:val="18"/>
                <w:szCs w:val="18"/>
              </w:rPr>
            </w:pPr>
          </w:p>
        </w:tc>
        <w:tc>
          <w:tcPr>
            <w:tcW w:w="979" w:type="dxa"/>
          </w:tcPr>
          <w:p w14:paraId="0836BFA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376442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1C4EEC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1AC7E4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18A4E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31F418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22" w:type="dxa"/>
          </w:tcPr>
          <w:p w14:paraId="7C598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100F81CB" w14:textId="77777777" w:rsidTr="0094789D">
        <w:tc>
          <w:tcPr>
            <w:tcW w:w="1157" w:type="dxa"/>
          </w:tcPr>
          <w:p w14:paraId="03D3B3BC" w14:textId="77777777" w:rsidR="00AB7EBC" w:rsidRPr="00A84C1C" w:rsidRDefault="00AB7EBC">
            <w:pPr>
              <w:pStyle w:val="Compact"/>
              <w:rPr>
                <w:rFonts w:ascii="Helvetica" w:hAnsi="Helvetica"/>
                <w:sz w:val="18"/>
                <w:szCs w:val="18"/>
              </w:rPr>
            </w:pPr>
          </w:p>
        </w:tc>
        <w:tc>
          <w:tcPr>
            <w:tcW w:w="979" w:type="dxa"/>
          </w:tcPr>
          <w:p w14:paraId="6BA2F81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66140D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2A5F79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2BB7AC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405520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CCBB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64.1%</w:t>
            </w:r>
          </w:p>
        </w:tc>
        <w:tc>
          <w:tcPr>
            <w:tcW w:w="1222" w:type="dxa"/>
          </w:tcPr>
          <w:p w14:paraId="4D74AC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AE6306E" w14:textId="77777777" w:rsidTr="0094789D">
        <w:tc>
          <w:tcPr>
            <w:tcW w:w="1157" w:type="dxa"/>
          </w:tcPr>
          <w:p w14:paraId="3DF31267" w14:textId="77777777" w:rsidR="00AB7EBC" w:rsidRPr="00A84C1C" w:rsidRDefault="00AB7EBC">
            <w:pPr>
              <w:pStyle w:val="Compact"/>
              <w:rPr>
                <w:rFonts w:ascii="Helvetica" w:hAnsi="Helvetica"/>
                <w:sz w:val="18"/>
                <w:szCs w:val="18"/>
              </w:rPr>
            </w:pPr>
          </w:p>
        </w:tc>
        <w:tc>
          <w:tcPr>
            <w:tcW w:w="979" w:type="dxa"/>
          </w:tcPr>
          <w:p w14:paraId="3115C2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AC41A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40306CB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1CC82D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684AE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6B1727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67.8%</w:t>
            </w:r>
          </w:p>
        </w:tc>
        <w:tc>
          <w:tcPr>
            <w:tcW w:w="1222" w:type="dxa"/>
          </w:tcPr>
          <w:p w14:paraId="725466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F9396AE" w14:textId="77777777" w:rsidTr="0094789D">
        <w:tc>
          <w:tcPr>
            <w:tcW w:w="1157" w:type="dxa"/>
          </w:tcPr>
          <w:p w14:paraId="5BDCC14E" w14:textId="77777777" w:rsidR="00AB7EBC" w:rsidRPr="00A84C1C" w:rsidRDefault="00AB7EBC">
            <w:pPr>
              <w:pStyle w:val="Compact"/>
              <w:rPr>
                <w:rFonts w:ascii="Helvetica" w:hAnsi="Helvetica"/>
                <w:sz w:val="18"/>
                <w:szCs w:val="18"/>
              </w:rPr>
            </w:pPr>
          </w:p>
        </w:tc>
        <w:tc>
          <w:tcPr>
            <w:tcW w:w="979" w:type="dxa"/>
          </w:tcPr>
          <w:p w14:paraId="3EF0A2E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0A6626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7A1974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3D94CB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105FF1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4BBFBF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71.2%</w:t>
            </w:r>
          </w:p>
        </w:tc>
        <w:tc>
          <w:tcPr>
            <w:tcW w:w="1222" w:type="dxa"/>
          </w:tcPr>
          <w:p w14:paraId="16308C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36C03507" w14:textId="77777777" w:rsidTr="0094789D">
        <w:tc>
          <w:tcPr>
            <w:tcW w:w="1157" w:type="dxa"/>
          </w:tcPr>
          <w:p w14:paraId="3C088C9E" w14:textId="77777777" w:rsidR="00AB7EBC" w:rsidRPr="00A84C1C" w:rsidRDefault="00AB7EBC">
            <w:pPr>
              <w:pStyle w:val="Compact"/>
              <w:rPr>
                <w:rFonts w:ascii="Helvetica" w:hAnsi="Helvetica"/>
                <w:sz w:val="18"/>
                <w:szCs w:val="18"/>
              </w:rPr>
            </w:pPr>
          </w:p>
        </w:tc>
        <w:tc>
          <w:tcPr>
            <w:tcW w:w="979" w:type="dxa"/>
          </w:tcPr>
          <w:p w14:paraId="2F07697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A6582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22" w:type="dxa"/>
          </w:tcPr>
          <w:p w14:paraId="333CD5B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3FDED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28FB2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3DB151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74.9%</w:t>
            </w:r>
          </w:p>
        </w:tc>
        <w:tc>
          <w:tcPr>
            <w:tcW w:w="1222" w:type="dxa"/>
          </w:tcPr>
          <w:p w14:paraId="569896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0ABEBC12" w14:textId="77777777" w:rsidTr="0094789D">
        <w:tc>
          <w:tcPr>
            <w:tcW w:w="1157" w:type="dxa"/>
          </w:tcPr>
          <w:p w14:paraId="06BF2703"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0.25</w:t>
            </w:r>
          </w:p>
        </w:tc>
        <w:tc>
          <w:tcPr>
            <w:tcW w:w="979" w:type="dxa"/>
          </w:tcPr>
          <w:p w14:paraId="6E484C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6BBC1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4BF5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757AE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9DC14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AFFC0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22" w:type="dxa"/>
          </w:tcPr>
          <w:p w14:paraId="507745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30406C1A" w14:textId="77777777" w:rsidTr="0094789D">
        <w:tc>
          <w:tcPr>
            <w:tcW w:w="1157" w:type="dxa"/>
          </w:tcPr>
          <w:p w14:paraId="5241C126" w14:textId="77777777" w:rsidR="00AB7EBC" w:rsidRPr="00A84C1C" w:rsidRDefault="00AB7EBC">
            <w:pPr>
              <w:pStyle w:val="Compact"/>
              <w:rPr>
                <w:rFonts w:ascii="Helvetica" w:hAnsi="Helvetica"/>
                <w:sz w:val="18"/>
                <w:szCs w:val="18"/>
              </w:rPr>
            </w:pPr>
          </w:p>
        </w:tc>
        <w:tc>
          <w:tcPr>
            <w:tcW w:w="979" w:type="dxa"/>
          </w:tcPr>
          <w:p w14:paraId="3F9BBB00"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461D3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w:t>
            </w:r>
          </w:p>
        </w:tc>
        <w:tc>
          <w:tcPr>
            <w:tcW w:w="1222" w:type="dxa"/>
          </w:tcPr>
          <w:p w14:paraId="480C1E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140030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6517D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F5449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22" w:type="dxa"/>
          </w:tcPr>
          <w:p w14:paraId="3FA176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0B3AFA7D" w14:textId="77777777" w:rsidTr="0094789D">
        <w:tc>
          <w:tcPr>
            <w:tcW w:w="1157" w:type="dxa"/>
          </w:tcPr>
          <w:p w14:paraId="327FF8AA" w14:textId="77777777" w:rsidR="00AB7EBC" w:rsidRPr="00A84C1C" w:rsidRDefault="00AB7EBC">
            <w:pPr>
              <w:pStyle w:val="Compact"/>
              <w:rPr>
                <w:rFonts w:ascii="Helvetica" w:hAnsi="Helvetica"/>
                <w:sz w:val="18"/>
                <w:szCs w:val="18"/>
              </w:rPr>
            </w:pPr>
          </w:p>
        </w:tc>
        <w:tc>
          <w:tcPr>
            <w:tcW w:w="979" w:type="dxa"/>
          </w:tcPr>
          <w:p w14:paraId="727355B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4DAC44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64BA34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568D6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09040D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B949CF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63.7%</w:t>
            </w:r>
          </w:p>
        </w:tc>
        <w:tc>
          <w:tcPr>
            <w:tcW w:w="1222" w:type="dxa"/>
          </w:tcPr>
          <w:p w14:paraId="0F56AD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78AEF60A" w14:textId="77777777" w:rsidTr="0094789D">
        <w:tc>
          <w:tcPr>
            <w:tcW w:w="1157" w:type="dxa"/>
          </w:tcPr>
          <w:p w14:paraId="70A84A8D" w14:textId="77777777" w:rsidR="00AB7EBC" w:rsidRPr="00A84C1C" w:rsidRDefault="00AB7EBC">
            <w:pPr>
              <w:pStyle w:val="Compact"/>
              <w:rPr>
                <w:rFonts w:ascii="Helvetica" w:hAnsi="Helvetica"/>
                <w:sz w:val="18"/>
                <w:szCs w:val="18"/>
              </w:rPr>
            </w:pPr>
          </w:p>
        </w:tc>
        <w:tc>
          <w:tcPr>
            <w:tcW w:w="979" w:type="dxa"/>
          </w:tcPr>
          <w:p w14:paraId="0340E57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6BAF72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44B822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66FFA4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78545A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57290C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5CC7D1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30C1E2" w14:textId="77777777" w:rsidTr="0094789D">
        <w:tc>
          <w:tcPr>
            <w:tcW w:w="1157" w:type="dxa"/>
          </w:tcPr>
          <w:p w14:paraId="6B21E507" w14:textId="77777777" w:rsidR="00AB7EBC" w:rsidRPr="00A84C1C" w:rsidRDefault="00AB7EBC">
            <w:pPr>
              <w:pStyle w:val="Compact"/>
              <w:rPr>
                <w:rFonts w:ascii="Helvetica" w:hAnsi="Helvetica"/>
                <w:sz w:val="18"/>
                <w:szCs w:val="18"/>
              </w:rPr>
            </w:pPr>
          </w:p>
        </w:tc>
        <w:tc>
          <w:tcPr>
            <w:tcW w:w="979" w:type="dxa"/>
          </w:tcPr>
          <w:p w14:paraId="0E5C201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7F474D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w:t>
            </w:r>
          </w:p>
        </w:tc>
        <w:tc>
          <w:tcPr>
            <w:tcW w:w="1222" w:type="dxa"/>
          </w:tcPr>
          <w:p w14:paraId="6D6F1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5ADF01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3859B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55F9B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22" w:type="dxa"/>
          </w:tcPr>
          <w:p w14:paraId="1FCEA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23456117" w14:textId="77777777" w:rsidTr="0094789D">
        <w:tc>
          <w:tcPr>
            <w:tcW w:w="1157" w:type="dxa"/>
          </w:tcPr>
          <w:p w14:paraId="048ACDE7" w14:textId="77777777" w:rsidR="00AB7EBC" w:rsidRPr="00A84C1C" w:rsidRDefault="00AB7EBC">
            <w:pPr>
              <w:pStyle w:val="Compact"/>
              <w:rPr>
                <w:rFonts w:ascii="Helvetica" w:hAnsi="Helvetica"/>
                <w:sz w:val="18"/>
                <w:szCs w:val="18"/>
              </w:rPr>
            </w:pPr>
          </w:p>
        </w:tc>
        <w:tc>
          <w:tcPr>
            <w:tcW w:w="979" w:type="dxa"/>
          </w:tcPr>
          <w:p w14:paraId="5C09BF6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7CFFC9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22" w:type="dxa"/>
          </w:tcPr>
          <w:p w14:paraId="7BDD39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70EA09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5D8582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65FEF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74.5%</w:t>
            </w:r>
          </w:p>
        </w:tc>
        <w:tc>
          <w:tcPr>
            <w:tcW w:w="1222" w:type="dxa"/>
          </w:tcPr>
          <w:p w14:paraId="0111CF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4E9499B5" w14:textId="77777777" w:rsidTr="0094789D">
        <w:tc>
          <w:tcPr>
            <w:tcW w:w="1157" w:type="dxa"/>
          </w:tcPr>
          <w:p w14:paraId="37AA793D"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w:t>
            </w:r>
          </w:p>
        </w:tc>
        <w:tc>
          <w:tcPr>
            <w:tcW w:w="979" w:type="dxa"/>
          </w:tcPr>
          <w:p w14:paraId="21F9DBE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097550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74A22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0C9388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12FB50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E4AB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235D55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2ED42CEA" w14:textId="77777777" w:rsidTr="0094789D">
        <w:tc>
          <w:tcPr>
            <w:tcW w:w="1157" w:type="dxa"/>
          </w:tcPr>
          <w:p w14:paraId="35D98142" w14:textId="77777777" w:rsidR="00AB7EBC" w:rsidRPr="00A84C1C" w:rsidRDefault="00AB7EBC">
            <w:pPr>
              <w:pStyle w:val="Compact"/>
              <w:rPr>
                <w:rFonts w:ascii="Helvetica" w:hAnsi="Helvetica"/>
                <w:sz w:val="18"/>
                <w:szCs w:val="18"/>
              </w:rPr>
            </w:pPr>
          </w:p>
        </w:tc>
        <w:tc>
          <w:tcPr>
            <w:tcW w:w="979" w:type="dxa"/>
          </w:tcPr>
          <w:p w14:paraId="744085E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A5E19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22" w:type="dxa"/>
          </w:tcPr>
          <w:p w14:paraId="370C00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627E00F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16F87C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5C429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618462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7A2D78D9" w14:textId="77777777" w:rsidTr="0094789D">
        <w:tc>
          <w:tcPr>
            <w:tcW w:w="1157" w:type="dxa"/>
          </w:tcPr>
          <w:p w14:paraId="1CCBC86E" w14:textId="77777777" w:rsidR="00AB7EBC" w:rsidRPr="00A84C1C" w:rsidRDefault="00AB7EBC">
            <w:pPr>
              <w:pStyle w:val="Compact"/>
              <w:rPr>
                <w:rFonts w:ascii="Helvetica" w:hAnsi="Helvetica"/>
                <w:sz w:val="18"/>
                <w:szCs w:val="18"/>
              </w:rPr>
            </w:pPr>
          </w:p>
        </w:tc>
        <w:tc>
          <w:tcPr>
            <w:tcW w:w="979" w:type="dxa"/>
          </w:tcPr>
          <w:p w14:paraId="50D4D902"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09612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685613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9378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71F7EB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F2124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62.7%</w:t>
            </w:r>
          </w:p>
        </w:tc>
        <w:tc>
          <w:tcPr>
            <w:tcW w:w="1222" w:type="dxa"/>
          </w:tcPr>
          <w:p w14:paraId="458AD5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7D9D6F90" w14:textId="77777777" w:rsidTr="0094789D">
        <w:tc>
          <w:tcPr>
            <w:tcW w:w="1157" w:type="dxa"/>
          </w:tcPr>
          <w:p w14:paraId="3D820582" w14:textId="77777777" w:rsidR="00AB7EBC" w:rsidRPr="00A84C1C" w:rsidRDefault="00AB7EBC">
            <w:pPr>
              <w:pStyle w:val="Compact"/>
              <w:rPr>
                <w:rFonts w:ascii="Helvetica" w:hAnsi="Helvetica"/>
                <w:sz w:val="18"/>
                <w:szCs w:val="18"/>
              </w:rPr>
            </w:pPr>
          </w:p>
        </w:tc>
        <w:tc>
          <w:tcPr>
            <w:tcW w:w="979" w:type="dxa"/>
          </w:tcPr>
          <w:p w14:paraId="401A1CA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4C8FC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6D7DDE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10E0C8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1A74391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7BE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66.6%</w:t>
            </w:r>
          </w:p>
        </w:tc>
        <w:tc>
          <w:tcPr>
            <w:tcW w:w="1222" w:type="dxa"/>
          </w:tcPr>
          <w:p w14:paraId="6BECFC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45F25028" w14:textId="77777777" w:rsidTr="0094789D">
        <w:tc>
          <w:tcPr>
            <w:tcW w:w="1157" w:type="dxa"/>
          </w:tcPr>
          <w:p w14:paraId="1BCDD28A" w14:textId="77777777" w:rsidR="00AB7EBC" w:rsidRPr="00A84C1C" w:rsidRDefault="00AB7EBC">
            <w:pPr>
              <w:pStyle w:val="Compact"/>
              <w:rPr>
                <w:rFonts w:ascii="Helvetica" w:hAnsi="Helvetica"/>
                <w:sz w:val="18"/>
                <w:szCs w:val="18"/>
              </w:rPr>
            </w:pPr>
          </w:p>
        </w:tc>
        <w:tc>
          <w:tcPr>
            <w:tcW w:w="979" w:type="dxa"/>
          </w:tcPr>
          <w:p w14:paraId="4212A8E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60E6D5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12AC92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01752E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077FE3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051FB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22" w:type="dxa"/>
          </w:tcPr>
          <w:p w14:paraId="74359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6C3C0E60" w14:textId="77777777" w:rsidTr="0094789D">
        <w:tc>
          <w:tcPr>
            <w:tcW w:w="1157" w:type="dxa"/>
          </w:tcPr>
          <w:p w14:paraId="7BF9EEF6" w14:textId="77777777" w:rsidR="00AB7EBC" w:rsidRPr="00A84C1C" w:rsidRDefault="00AB7EBC">
            <w:pPr>
              <w:pStyle w:val="Compact"/>
              <w:rPr>
                <w:rFonts w:ascii="Helvetica" w:hAnsi="Helvetica"/>
                <w:sz w:val="18"/>
                <w:szCs w:val="18"/>
              </w:rPr>
            </w:pPr>
          </w:p>
        </w:tc>
        <w:tc>
          <w:tcPr>
            <w:tcW w:w="979" w:type="dxa"/>
          </w:tcPr>
          <w:p w14:paraId="3E514AC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FAF88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10.1%</w:t>
            </w:r>
          </w:p>
        </w:tc>
        <w:tc>
          <w:tcPr>
            <w:tcW w:w="1222" w:type="dxa"/>
          </w:tcPr>
          <w:p w14:paraId="1C218F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E8345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1D16D8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1084F7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22" w:type="dxa"/>
          </w:tcPr>
          <w:p w14:paraId="5808FF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69F591B0" w14:textId="77777777" w:rsidTr="0094789D">
        <w:tc>
          <w:tcPr>
            <w:tcW w:w="1157" w:type="dxa"/>
          </w:tcPr>
          <w:p w14:paraId="57007CE6"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20%</w:t>
            </w:r>
          </w:p>
        </w:tc>
        <w:tc>
          <w:tcPr>
            <w:tcW w:w="979" w:type="dxa"/>
          </w:tcPr>
          <w:p w14:paraId="48C45F57"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308A7A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4B7733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6F91B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0DAE10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9C563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22" w:type="dxa"/>
          </w:tcPr>
          <w:p w14:paraId="5476BB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57.4%</w:t>
            </w:r>
          </w:p>
        </w:tc>
      </w:tr>
      <w:tr w:rsidR="003C64F0" w:rsidRPr="00CC2F84" w14:paraId="7C7399FC" w14:textId="77777777" w:rsidTr="0094789D">
        <w:tc>
          <w:tcPr>
            <w:tcW w:w="1157" w:type="dxa"/>
          </w:tcPr>
          <w:p w14:paraId="0CE30FB1" w14:textId="77777777" w:rsidR="00AB7EBC" w:rsidRPr="00A84C1C" w:rsidRDefault="00AB7EBC">
            <w:pPr>
              <w:pStyle w:val="Compact"/>
              <w:rPr>
                <w:rFonts w:ascii="Helvetica" w:hAnsi="Helvetica"/>
                <w:sz w:val="18"/>
                <w:szCs w:val="18"/>
              </w:rPr>
            </w:pPr>
          </w:p>
        </w:tc>
        <w:tc>
          <w:tcPr>
            <w:tcW w:w="979" w:type="dxa"/>
          </w:tcPr>
          <w:p w14:paraId="7DDDAB59"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3C0382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22" w:type="dxa"/>
          </w:tcPr>
          <w:p w14:paraId="6DAF4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7DA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2788DC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86E66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22" w:type="dxa"/>
          </w:tcPr>
          <w:p w14:paraId="4E570B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56.8%</w:t>
            </w:r>
          </w:p>
        </w:tc>
      </w:tr>
      <w:tr w:rsidR="003C64F0" w:rsidRPr="00CC2F84" w14:paraId="27D4FA3D" w14:textId="77777777" w:rsidTr="0094789D">
        <w:tc>
          <w:tcPr>
            <w:tcW w:w="1157" w:type="dxa"/>
          </w:tcPr>
          <w:p w14:paraId="79E757C6" w14:textId="77777777" w:rsidR="00AB7EBC" w:rsidRPr="00A84C1C" w:rsidRDefault="00AB7EBC">
            <w:pPr>
              <w:pStyle w:val="Compact"/>
              <w:rPr>
                <w:rFonts w:ascii="Helvetica" w:hAnsi="Helvetica"/>
                <w:sz w:val="18"/>
                <w:szCs w:val="18"/>
              </w:rPr>
            </w:pPr>
          </w:p>
        </w:tc>
        <w:tc>
          <w:tcPr>
            <w:tcW w:w="979" w:type="dxa"/>
          </w:tcPr>
          <w:p w14:paraId="3B1F311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36AB9B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706AC4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4B047D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65109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DDCA83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64.2%</w:t>
            </w:r>
          </w:p>
        </w:tc>
        <w:tc>
          <w:tcPr>
            <w:tcW w:w="1222" w:type="dxa"/>
          </w:tcPr>
          <w:p w14:paraId="452E99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56.9%</w:t>
            </w:r>
          </w:p>
        </w:tc>
      </w:tr>
      <w:tr w:rsidR="003C64F0" w:rsidRPr="00CC2F84" w14:paraId="4AE009D3" w14:textId="77777777" w:rsidTr="0094789D">
        <w:tc>
          <w:tcPr>
            <w:tcW w:w="1157" w:type="dxa"/>
          </w:tcPr>
          <w:p w14:paraId="3090AC69" w14:textId="77777777" w:rsidR="00AB7EBC" w:rsidRPr="00A84C1C" w:rsidRDefault="00AB7EBC">
            <w:pPr>
              <w:pStyle w:val="Compact"/>
              <w:rPr>
                <w:rFonts w:ascii="Helvetica" w:hAnsi="Helvetica"/>
                <w:sz w:val="18"/>
                <w:szCs w:val="18"/>
              </w:rPr>
            </w:pPr>
          </w:p>
        </w:tc>
        <w:tc>
          <w:tcPr>
            <w:tcW w:w="979" w:type="dxa"/>
          </w:tcPr>
          <w:p w14:paraId="3932FF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747162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3CE87B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3DCE82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367140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31BD38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22" w:type="dxa"/>
          </w:tcPr>
          <w:p w14:paraId="4337B3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59.8%</w:t>
            </w:r>
          </w:p>
        </w:tc>
      </w:tr>
      <w:tr w:rsidR="003C64F0" w:rsidRPr="00CC2F84" w14:paraId="54E66B24" w14:textId="77777777" w:rsidTr="0094789D">
        <w:tc>
          <w:tcPr>
            <w:tcW w:w="1157" w:type="dxa"/>
          </w:tcPr>
          <w:p w14:paraId="0FE5C1C4" w14:textId="77777777" w:rsidR="00AB7EBC" w:rsidRPr="00A84C1C" w:rsidRDefault="00AB7EBC">
            <w:pPr>
              <w:pStyle w:val="Compact"/>
              <w:rPr>
                <w:rFonts w:ascii="Helvetica" w:hAnsi="Helvetica"/>
                <w:sz w:val="18"/>
                <w:szCs w:val="18"/>
              </w:rPr>
            </w:pPr>
          </w:p>
        </w:tc>
        <w:tc>
          <w:tcPr>
            <w:tcW w:w="979" w:type="dxa"/>
          </w:tcPr>
          <w:p w14:paraId="7C473512"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2CBEE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748C3A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42B1A8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349DD0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254DB2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22" w:type="dxa"/>
          </w:tcPr>
          <w:p w14:paraId="30C01B5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FC3D284" w14:textId="77777777" w:rsidTr="0094789D">
        <w:tc>
          <w:tcPr>
            <w:tcW w:w="1157" w:type="dxa"/>
          </w:tcPr>
          <w:p w14:paraId="26A9324D" w14:textId="77777777" w:rsidR="00AB7EBC" w:rsidRPr="00A84C1C" w:rsidRDefault="00AB7EBC">
            <w:pPr>
              <w:pStyle w:val="Compact"/>
              <w:rPr>
                <w:rFonts w:ascii="Helvetica" w:hAnsi="Helvetica"/>
                <w:sz w:val="18"/>
                <w:szCs w:val="18"/>
              </w:rPr>
            </w:pPr>
          </w:p>
        </w:tc>
        <w:tc>
          <w:tcPr>
            <w:tcW w:w="979" w:type="dxa"/>
          </w:tcPr>
          <w:p w14:paraId="43FB6ED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FD90B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22" w:type="dxa"/>
          </w:tcPr>
          <w:p w14:paraId="64A0A05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01341C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474652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6FC90E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22" w:type="dxa"/>
          </w:tcPr>
          <w:p w14:paraId="0F32ED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61.8%</w:t>
            </w:r>
          </w:p>
        </w:tc>
      </w:tr>
      <w:tr w:rsidR="003C64F0" w:rsidRPr="00CC2F84" w14:paraId="24C58527" w14:textId="77777777" w:rsidTr="0094789D">
        <w:tc>
          <w:tcPr>
            <w:tcW w:w="1157" w:type="dxa"/>
          </w:tcPr>
          <w:p w14:paraId="066FE2E1"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30%</w:t>
            </w:r>
          </w:p>
        </w:tc>
        <w:tc>
          <w:tcPr>
            <w:tcW w:w="979" w:type="dxa"/>
          </w:tcPr>
          <w:p w14:paraId="0D5F8B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258355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3A6B26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BAE5F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2B933A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A27AC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22" w:type="dxa"/>
          </w:tcPr>
          <w:p w14:paraId="6F18C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B424266" w14:textId="77777777" w:rsidTr="0094789D">
        <w:tc>
          <w:tcPr>
            <w:tcW w:w="1157" w:type="dxa"/>
          </w:tcPr>
          <w:p w14:paraId="4891F239" w14:textId="77777777" w:rsidR="00AB7EBC" w:rsidRPr="00A84C1C" w:rsidRDefault="00AB7EBC">
            <w:pPr>
              <w:pStyle w:val="Compact"/>
              <w:rPr>
                <w:rFonts w:ascii="Helvetica" w:hAnsi="Helvetica"/>
                <w:sz w:val="18"/>
                <w:szCs w:val="18"/>
              </w:rPr>
            </w:pPr>
          </w:p>
        </w:tc>
        <w:tc>
          <w:tcPr>
            <w:tcW w:w="979" w:type="dxa"/>
          </w:tcPr>
          <w:p w14:paraId="2206525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792BB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0340AD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63421E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7A9FA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A68E7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70.6%</w:t>
            </w:r>
          </w:p>
        </w:tc>
        <w:tc>
          <w:tcPr>
            <w:tcW w:w="1222" w:type="dxa"/>
          </w:tcPr>
          <w:p w14:paraId="0593341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58665189" w14:textId="77777777" w:rsidTr="0094789D">
        <w:tc>
          <w:tcPr>
            <w:tcW w:w="1157" w:type="dxa"/>
          </w:tcPr>
          <w:p w14:paraId="37FA4069" w14:textId="77777777" w:rsidR="00AB7EBC" w:rsidRPr="00A84C1C" w:rsidRDefault="00AB7EBC">
            <w:pPr>
              <w:pStyle w:val="Compact"/>
              <w:rPr>
                <w:rFonts w:ascii="Helvetica" w:hAnsi="Helvetica"/>
                <w:sz w:val="18"/>
                <w:szCs w:val="18"/>
              </w:rPr>
            </w:pPr>
          </w:p>
        </w:tc>
        <w:tc>
          <w:tcPr>
            <w:tcW w:w="979" w:type="dxa"/>
          </w:tcPr>
          <w:p w14:paraId="1685D1A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26C83D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22" w:type="dxa"/>
          </w:tcPr>
          <w:p w14:paraId="6AF49E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45611D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9BF9A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0684F6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65.2%</w:t>
            </w:r>
          </w:p>
        </w:tc>
        <w:tc>
          <w:tcPr>
            <w:tcW w:w="1222" w:type="dxa"/>
          </w:tcPr>
          <w:p w14:paraId="35FA24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D2E7535" w14:textId="77777777" w:rsidTr="0094789D">
        <w:tc>
          <w:tcPr>
            <w:tcW w:w="1157" w:type="dxa"/>
          </w:tcPr>
          <w:p w14:paraId="6852E7A2" w14:textId="77777777" w:rsidR="00AB7EBC" w:rsidRPr="00A84C1C" w:rsidRDefault="00AB7EBC">
            <w:pPr>
              <w:pStyle w:val="Compact"/>
              <w:rPr>
                <w:rFonts w:ascii="Helvetica" w:hAnsi="Helvetica"/>
                <w:sz w:val="18"/>
                <w:szCs w:val="18"/>
              </w:rPr>
            </w:pPr>
          </w:p>
        </w:tc>
        <w:tc>
          <w:tcPr>
            <w:tcW w:w="979" w:type="dxa"/>
          </w:tcPr>
          <w:p w14:paraId="4F8D1D26"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73A418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7959C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0468BD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41331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FE988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22" w:type="dxa"/>
          </w:tcPr>
          <w:p w14:paraId="1D374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60.0%</w:t>
            </w:r>
          </w:p>
        </w:tc>
      </w:tr>
      <w:tr w:rsidR="003C64F0" w:rsidRPr="00CC2F84" w14:paraId="2C6F3131" w14:textId="77777777" w:rsidTr="0094789D">
        <w:tc>
          <w:tcPr>
            <w:tcW w:w="1157" w:type="dxa"/>
          </w:tcPr>
          <w:p w14:paraId="2A537501" w14:textId="77777777" w:rsidR="00AB7EBC" w:rsidRPr="00A84C1C" w:rsidRDefault="00AB7EBC">
            <w:pPr>
              <w:pStyle w:val="Compact"/>
              <w:rPr>
                <w:rFonts w:ascii="Helvetica" w:hAnsi="Helvetica"/>
                <w:sz w:val="18"/>
                <w:szCs w:val="18"/>
              </w:rPr>
            </w:pPr>
          </w:p>
        </w:tc>
        <w:tc>
          <w:tcPr>
            <w:tcW w:w="979" w:type="dxa"/>
          </w:tcPr>
          <w:p w14:paraId="5EBC7F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081BB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C11F0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274ABD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79669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70A249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71.4%</w:t>
            </w:r>
          </w:p>
        </w:tc>
        <w:tc>
          <w:tcPr>
            <w:tcW w:w="1222" w:type="dxa"/>
          </w:tcPr>
          <w:p w14:paraId="1CFCE1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5CD877B2" w14:textId="77777777" w:rsidTr="0094789D">
        <w:tc>
          <w:tcPr>
            <w:tcW w:w="1157" w:type="dxa"/>
          </w:tcPr>
          <w:p w14:paraId="40BEF5B9" w14:textId="77777777" w:rsidR="00AB7EBC" w:rsidRPr="00A84C1C" w:rsidRDefault="00AB7EBC">
            <w:pPr>
              <w:pStyle w:val="Compact"/>
              <w:rPr>
                <w:rFonts w:ascii="Helvetica" w:hAnsi="Helvetica"/>
                <w:sz w:val="18"/>
                <w:szCs w:val="18"/>
              </w:rPr>
            </w:pPr>
          </w:p>
        </w:tc>
        <w:tc>
          <w:tcPr>
            <w:tcW w:w="979" w:type="dxa"/>
          </w:tcPr>
          <w:p w14:paraId="78E59AA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B6A56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22" w:type="dxa"/>
          </w:tcPr>
          <w:p w14:paraId="598B0C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467211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211D08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71EDD3E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22" w:type="dxa"/>
          </w:tcPr>
          <w:p w14:paraId="4BE64B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62.8%</w:t>
            </w:r>
          </w:p>
        </w:tc>
      </w:tr>
      <w:tr w:rsidR="003C64F0" w:rsidRPr="00CC2F84" w14:paraId="33ED0FAE" w14:textId="77777777" w:rsidTr="0094789D">
        <w:tc>
          <w:tcPr>
            <w:tcW w:w="1157" w:type="dxa"/>
          </w:tcPr>
          <w:p w14:paraId="7774DE0C"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50%</w:t>
            </w:r>
          </w:p>
        </w:tc>
        <w:tc>
          <w:tcPr>
            <w:tcW w:w="979" w:type="dxa"/>
          </w:tcPr>
          <w:p w14:paraId="5977724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566750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548B08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74C82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3CB9B8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BFA90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22" w:type="dxa"/>
          </w:tcPr>
          <w:p w14:paraId="16757A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55A2DFFA" w14:textId="77777777" w:rsidTr="0094789D">
        <w:tc>
          <w:tcPr>
            <w:tcW w:w="1157" w:type="dxa"/>
          </w:tcPr>
          <w:p w14:paraId="287F66B8" w14:textId="77777777" w:rsidR="00AB7EBC" w:rsidRPr="00A84C1C" w:rsidRDefault="00AB7EBC">
            <w:pPr>
              <w:pStyle w:val="Compact"/>
              <w:rPr>
                <w:rFonts w:ascii="Helvetica" w:hAnsi="Helvetica"/>
                <w:sz w:val="18"/>
                <w:szCs w:val="18"/>
              </w:rPr>
            </w:pPr>
          </w:p>
        </w:tc>
        <w:tc>
          <w:tcPr>
            <w:tcW w:w="979" w:type="dxa"/>
          </w:tcPr>
          <w:p w14:paraId="3A9478E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CEE60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0FF32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E01D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27378F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98C31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22" w:type="dxa"/>
          </w:tcPr>
          <w:p w14:paraId="32467FD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C811BCC" w14:textId="77777777" w:rsidTr="0094789D">
        <w:tc>
          <w:tcPr>
            <w:tcW w:w="1157" w:type="dxa"/>
          </w:tcPr>
          <w:p w14:paraId="64774C3D" w14:textId="77777777" w:rsidR="00AB7EBC" w:rsidRPr="00A84C1C" w:rsidRDefault="00AB7EBC">
            <w:pPr>
              <w:pStyle w:val="Compact"/>
              <w:rPr>
                <w:rFonts w:ascii="Helvetica" w:hAnsi="Helvetica"/>
                <w:sz w:val="18"/>
                <w:szCs w:val="18"/>
              </w:rPr>
            </w:pPr>
          </w:p>
        </w:tc>
        <w:tc>
          <w:tcPr>
            <w:tcW w:w="979" w:type="dxa"/>
          </w:tcPr>
          <w:p w14:paraId="4FB4B8DE"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63250E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1FA5E1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39D551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796A4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93A34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66.4%</w:t>
            </w:r>
          </w:p>
        </w:tc>
        <w:tc>
          <w:tcPr>
            <w:tcW w:w="1222" w:type="dxa"/>
          </w:tcPr>
          <w:p w14:paraId="48FB51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56.2%</w:t>
            </w:r>
          </w:p>
        </w:tc>
      </w:tr>
      <w:tr w:rsidR="003C64F0" w:rsidRPr="00CC2F84" w14:paraId="22BE6E3F" w14:textId="77777777" w:rsidTr="0094789D">
        <w:tc>
          <w:tcPr>
            <w:tcW w:w="1157" w:type="dxa"/>
          </w:tcPr>
          <w:p w14:paraId="30145300" w14:textId="77777777" w:rsidR="00AB7EBC" w:rsidRPr="00A84C1C" w:rsidRDefault="00AB7EBC">
            <w:pPr>
              <w:pStyle w:val="Compact"/>
              <w:rPr>
                <w:rFonts w:ascii="Helvetica" w:hAnsi="Helvetica"/>
                <w:sz w:val="18"/>
                <w:szCs w:val="18"/>
              </w:rPr>
            </w:pPr>
          </w:p>
        </w:tc>
        <w:tc>
          <w:tcPr>
            <w:tcW w:w="979" w:type="dxa"/>
          </w:tcPr>
          <w:p w14:paraId="16C1047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5D403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9.1%</w:t>
            </w:r>
          </w:p>
        </w:tc>
        <w:tc>
          <w:tcPr>
            <w:tcW w:w="1222" w:type="dxa"/>
          </w:tcPr>
          <w:p w14:paraId="3199CB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741E41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47C4E0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66F62B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70.3%</w:t>
            </w:r>
          </w:p>
        </w:tc>
        <w:tc>
          <w:tcPr>
            <w:tcW w:w="1222" w:type="dxa"/>
          </w:tcPr>
          <w:p w14:paraId="0CF4B4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60.3%</w:t>
            </w:r>
          </w:p>
        </w:tc>
      </w:tr>
      <w:tr w:rsidR="003C64F0" w:rsidRPr="00CC2F84" w14:paraId="0147BF8D" w14:textId="77777777" w:rsidTr="0094789D">
        <w:tc>
          <w:tcPr>
            <w:tcW w:w="1157" w:type="dxa"/>
          </w:tcPr>
          <w:p w14:paraId="7E981A22" w14:textId="77777777" w:rsidR="00AB7EBC" w:rsidRPr="00A84C1C" w:rsidRDefault="00AB7EBC">
            <w:pPr>
              <w:pStyle w:val="Compact"/>
              <w:rPr>
                <w:rFonts w:ascii="Helvetica" w:hAnsi="Helvetica"/>
                <w:sz w:val="18"/>
                <w:szCs w:val="18"/>
              </w:rPr>
            </w:pPr>
          </w:p>
        </w:tc>
        <w:tc>
          <w:tcPr>
            <w:tcW w:w="979" w:type="dxa"/>
          </w:tcPr>
          <w:p w14:paraId="2C2F93D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847A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22" w:type="dxa"/>
          </w:tcPr>
          <w:p w14:paraId="308356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39A123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75D830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1CCC2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75.0%</w:t>
            </w:r>
          </w:p>
        </w:tc>
        <w:tc>
          <w:tcPr>
            <w:tcW w:w="1222" w:type="dxa"/>
          </w:tcPr>
          <w:p w14:paraId="274446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17A6554F" w14:textId="77777777" w:rsidTr="0094789D">
        <w:tc>
          <w:tcPr>
            <w:tcW w:w="1157" w:type="dxa"/>
          </w:tcPr>
          <w:p w14:paraId="388C347A" w14:textId="77777777" w:rsidR="00AB7EBC" w:rsidRPr="00A84C1C" w:rsidRDefault="00AB7EBC">
            <w:pPr>
              <w:pStyle w:val="Compact"/>
              <w:rPr>
                <w:rFonts w:ascii="Helvetica" w:hAnsi="Helvetica"/>
                <w:sz w:val="18"/>
                <w:szCs w:val="18"/>
              </w:rPr>
            </w:pPr>
          </w:p>
        </w:tc>
        <w:tc>
          <w:tcPr>
            <w:tcW w:w="979" w:type="dxa"/>
          </w:tcPr>
          <w:p w14:paraId="75C60542"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8C4B1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12.3%</w:t>
            </w:r>
          </w:p>
        </w:tc>
        <w:tc>
          <w:tcPr>
            <w:tcW w:w="1222" w:type="dxa"/>
          </w:tcPr>
          <w:p w14:paraId="3CDD7D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182AC9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36</w:t>
            </w:r>
          </w:p>
        </w:tc>
        <w:tc>
          <w:tcPr>
            <w:tcW w:w="1222" w:type="dxa"/>
          </w:tcPr>
          <w:p w14:paraId="3C7215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7FB5A9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78.4%</w:t>
            </w:r>
          </w:p>
        </w:tc>
        <w:tc>
          <w:tcPr>
            <w:tcW w:w="1222" w:type="dxa"/>
          </w:tcPr>
          <w:p w14:paraId="773DC4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64.0%</w:t>
            </w:r>
          </w:p>
        </w:tc>
      </w:tr>
      <w:tr w:rsidR="003C64F0" w:rsidRPr="00CC2F84" w14:paraId="769D96C8" w14:textId="77777777" w:rsidTr="0094789D">
        <w:tc>
          <w:tcPr>
            <w:tcW w:w="1157" w:type="dxa"/>
          </w:tcPr>
          <w:p w14:paraId="63236FF8"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60%</w:t>
            </w:r>
          </w:p>
        </w:tc>
        <w:tc>
          <w:tcPr>
            <w:tcW w:w="979" w:type="dxa"/>
          </w:tcPr>
          <w:p w14:paraId="618B66BE"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3BF16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22" w:type="dxa"/>
          </w:tcPr>
          <w:p w14:paraId="36C488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w:t>
            </w:r>
          </w:p>
        </w:tc>
        <w:tc>
          <w:tcPr>
            <w:tcW w:w="1222" w:type="dxa"/>
          </w:tcPr>
          <w:p w14:paraId="2CB3C1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0701F3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70EE19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73.7%</w:t>
            </w:r>
          </w:p>
        </w:tc>
        <w:tc>
          <w:tcPr>
            <w:tcW w:w="1222" w:type="dxa"/>
          </w:tcPr>
          <w:p w14:paraId="795616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57.0%</w:t>
            </w:r>
          </w:p>
        </w:tc>
      </w:tr>
      <w:tr w:rsidR="003C64F0" w:rsidRPr="00CC2F84" w14:paraId="62DE8A87" w14:textId="77777777" w:rsidTr="0094789D">
        <w:tc>
          <w:tcPr>
            <w:tcW w:w="1157" w:type="dxa"/>
          </w:tcPr>
          <w:p w14:paraId="16AE8027" w14:textId="77777777" w:rsidR="00AB7EBC" w:rsidRPr="00A84C1C" w:rsidRDefault="00AB7EBC">
            <w:pPr>
              <w:pStyle w:val="Compact"/>
              <w:rPr>
                <w:rFonts w:ascii="Helvetica" w:hAnsi="Helvetica"/>
                <w:sz w:val="18"/>
                <w:szCs w:val="18"/>
              </w:rPr>
            </w:pPr>
          </w:p>
        </w:tc>
        <w:tc>
          <w:tcPr>
            <w:tcW w:w="979" w:type="dxa"/>
          </w:tcPr>
          <w:p w14:paraId="3F7717A2"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6D27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22" w:type="dxa"/>
          </w:tcPr>
          <w:p w14:paraId="6302B0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94A7E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22" w:type="dxa"/>
          </w:tcPr>
          <w:p w14:paraId="39DAC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A2EB9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74.1%</w:t>
            </w:r>
          </w:p>
        </w:tc>
        <w:tc>
          <w:tcPr>
            <w:tcW w:w="1222" w:type="dxa"/>
          </w:tcPr>
          <w:p w14:paraId="0D9D33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3E30D085" w14:textId="77777777" w:rsidTr="0094789D">
        <w:tc>
          <w:tcPr>
            <w:tcW w:w="1157" w:type="dxa"/>
          </w:tcPr>
          <w:p w14:paraId="0E753F0D" w14:textId="77777777" w:rsidR="00AB7EBC" w:rsidRPr="00A84C1C" w:rsidRDefault="00AB7EBC">
            <w:pPr>
              <w:pStyle w:val="Compact"/>
              <w:rPr>
                <w:rFonts w:ascii="Helvetica" w:hAnsi="Helvetica"/>
                <w:sz w:val="18"/>
                <w:szCs w:val="18"/>
              </w:rPr>
            </w:pPr>
          </w:p>
        </w:tc>
        <w:tc>
          <w:tcPr>
            <w:tcW w:w="979" w:type="dxa"/>
          </w:tcPr>
          <w:p w14:paraId="43009FAD"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09FA94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6D1C04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66D6B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575439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51CD5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66.8%</w:t>
            </w:r>
          </w:p>
        </w:tc>
        <w:tc>
          <w:tcPr>
            <w:tcW w:w="1222" w:type="dxa"/>
          </w:tcPr>
          <w:p w14:paraId="4E2A0C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56.1%</w:t>
            </w:r>
          </w:p>
        </w:tc>
      </w:tr>
      <w:tr w:rsidR="003C64F0" w:rsidRPr="00CC2F84" w14:paraId="67E01620" w14:textId="77777777" w:rsidTr="0094789D">
        <w:tc>
          <w:tcPr>
            <w:tcW w:w="1157" w:type="dxa"/>
          </w:tcPr>
          <w:p w14:paraId="71BC60D8" w14:textId="77777777" w:rsidR="00AB7EBC" w:rsidRPr="00A84C1C" w:rsidRDefault="00AB7EBC">
            <w:pPr>
              <w:pStyle w:val="Compact"/>
              <w:rPr>
                <w:rFonts w:ascii="Helvetica" w:hAnsi="Helvetica"/>
                <w:sz w:val="18"/>
                <w:szCs w:val="18"/>
              </w:rPr>
            </w:pPr>
          </w:p>
        </w:tc>
        <w:tc>
          <w:tcPr>
            <w:tcW w:w="979" w:type="dxa"/>
          </w:tcPr>
          <w:p w14:paraId="62DC393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358B47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3B468B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22" w:type="dxa"/>
          </w:tcPr>
          <w:p w14:paraId="1C71F62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5AFD43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10736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70.8%</w:t>
            </w:r>
          </w:p>
        </w:tc>
        <w:tc>
          <w:tcPr>
            <w:tcW w:w="1222" w:type="dxa"/>
          </w:tcPr>
          <w:p w14:paraId="4CB21B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60.4%</w:t>
            </w:r>
          </w:p>
        </w:tc>
      </w:tr>
      <w:tr w:rsidR="003C64F0" w:rsidRPr="00CC2F84" w14:paraId="0C9F84E4" w14:textId="77777777" w:rsidTr="0094789D">
        <w:tc>
          <w:tcPr>
            <w:tcW w:w="1157" w:type="dxa"/>
          </w:tcPr>
          <w:p w14:paraId="1ABDC75B" w14:textId="77777777" w:rsidR="00AB7EBC" w:rsidRPr="00A84C1C" w:rsidRDefault="00AB7EBC">
            <w:pPr>
              <w:pStyle w:val="Compact"/>
              <w:rPr>
                <w:rFonts w:ascii="Helvetica" w:hAnsi="Helvetica"/>
                <w:sz w:val="18"/>
                <w:szCs w:val="18"/>
              </w:rPr>
            </w:pPr>
          </w:p>
        </w:tc>
        <w:tc>
          <w:tcPr>
            <w:tcW w:w="979" w:type="dxa"/>
          </w:tcPr>
          <w:p w14:paraId="7D95BFF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74F1E1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10.6%</w:t>
            </w:r>
          </w:p>
        </w:tc>
        <w:tc>
          <w:tcPr>
            <w:tcW w:w="1222" w:type="dxa"/>
          </w:tcPr>
          <w:p w14:paraId="7E7576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7B3E9D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22" w:type="dxa"/>
          </w:tcPr>
          <w:p w14:paraId="2C33BE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581882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76.0%</w:t>
            </w:r>
          </w:p>
        </w:tc>
        <w:tc>
          <w:tcPr>
            <w:tcW w:w="1222" w:type="dxa"/>
          </w:tcPr>
          <w:p w14:paraId="3F5A77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702536C8" w14:textId="77777777" w:rsidTr="0094789D">
        <w:tc>
          <w:tcPr>
            <w:tcW w:w="1157" w:type="dxa"/>
          </w:tcPr>
          <w:p w14:paraId="5EB9CFFB" w14:textId="77777777" w:rsidR="00AB7EBC" w:rsidRPr="00A84C1C" w:rsidRDefault="00AB7EBC">
            <w:pPr>
              <w:pStyle w:val="Compact"/>
              <w:rPr>
                <w:rFonts w:ascii="Helvetica" w:hAnsi="Helvetica"/>
                <w:sz w:val="18"/>
                <w:szCs w:val="18"/>
              </w:rPr>
            </w:pPr>
          </w:p>
        </w:tc>
        <w:tc>
          <w:tcPr>
            <w:tcW w:w="979" w:type="dxa"/>
          </w:tcPr>
          <w:p w14:paraId="196CB00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79A96F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13.0%</w:t>
            </w:r>
          </w:p>
        </w:tc>
        <w:tc>
          <w:tcPr>
            <w:tcW w:w="1222" w:type="dxa"/>
          </w:tcPr>
          <w:p w14:paraId="742790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2CEC4E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0079B5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5823F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79.4%</w:t>
            </w:r>
          </w:p>
        </w:tc>
        <w:tc>
          <w:tcPr>
            <w:tcW w:w="1222" w:type="dxa"/>
          </w:tcPr>
          <w:p w14:paraId="76C149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64.4%</w:t>
            </w:r>
          </w:p>
        </w:tc>
      </w:tr>
      <w:tr w:rsidR="003C64F0" w:rsidRPr="00CC2F84" w14:paraId="73374B62" w14:textId="77777777" w:rsidTr="0094789D">
        <w:tc>
          <w:tcPr>
            <w:tcW w:w="1157" w:type="dxa"/>
          </w:tcPr>
          <w:p w14:paraId="5EB37896"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1</w:t>
            </w:r>
          </w:p>
        </w:tc>
        <w:tc>
          <w:tcPr>
            <w:tcW w:w="979" w:type="dxa"/>
          </w:tcPr>
          <w:p w14:paraId="2625FB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1A3E2F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5EB6E5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299D6B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72F6FD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1E288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71.6%</w:t>
            </w:r>
          </w:p>
        </w:tc>
        <w:tc>
          <w:tcPr>
            <w:tcW w:w="1222" w:type="dxa"/>
          </w:tcPr>
          <w:p w14:paraId="3A914C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6000101" w14:textId="77777777" w:rsidTr="0094789D">
        <w:tc>
          <w:tcPr>
            <w:tcW w:w="1157" w:type="dxa"/>
          </w:tcPr>
          <w:p w14:paraId="2B53D3D5" w14:textId="77777777" w:rsidR="00AB7EBC" w:rsidRPr="00A84C1C" w:rsidRDefault="00AB7EBC">
            <w:pPr>
              <w:pStyle w:val="Compact"/>
              <w:rPr>
                <w:rFonts w:ascii="Helvetica" w:hAnsi="Helvetica"/>
                <w:sz w:val="18"/>
                <w:szCs w:val="18"/>
              </w:rPr>
            </w:pPr>
          </w:p>
        </w:tc>
        <w:tc>
          <w:tcPr>
            <w:tcW w:w="979" w:type="dxa"/>
          </w:tcPr>
          <w:p w14:paraId="49F25524"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70B919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082176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06CC9A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7248F2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3912F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71.8%</w:t>
            </w:r>
          </w:p>
        </w:tc>
        <w:tc>
          <w:tcPr>
            <w:tcW w:w="1222" w:type="dxa"/>
          </w:tcPr>
          <w:p w14:paraId="23DA3A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2085DF96" w14:textId="77777777" w:rsidTr="0094789D">
        <w:tc>
          <w:tcPr>
            <w:tcW w:w="1157" w:type="dxa"/>
          </w:tcPr>
          <w:p w14:paraId="49332694" w14:textId="77777777" w:rsidR="00AB7EBC" w:rsidRPr="00A84C1C" w:rsidRDefault="00AB7EBC">
            <w:pPr>
              <w:pStyle w:val="Compact"/>
              <w:rPr>
                <w:rFonts w:ascii="Helvetica" w:hAnsi="Helvetica"/>
                <w:sz w:val="18"/>
                <w:szCs w:val="18"/>
              </w:rPr>
            </w:pPr>
          </w:p>
        </w:tc>
        <w:tc>
          <w:tcPr>
            <w:tcW w:w="979" w:type="dxa"/>
          </w:tcPr>
          <w:p w14:paraId="4A5BE3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424094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22" w:type="dxa"/>
          </w:tcPr>
          <w:p w14:paraId="428A4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E3E0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3C7EE7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B7E31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65.7%</w:t>
            </w:r>
          </w:p>
        </w:tc>
        <w:tc>
          <w:tcPr>
            <w:tcW w:w="1222" w:type="dxa"/>
          </w:tcPr>
          <w:p w14:paraId="634671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43FDEDAF" w14:textId="77777777" w:rsidTr="0094789D">
        <w:tc>
          <w:tcPr>
            <w:tcW w:w="1157" w:type="dxa"/>
          </w:tcPr>
          <w:p w14:paraId="4ADF505D" w14:textId="77777777" w:rsidR="00AB7EBC" w:rsidRPr="00A84C1C" w:rsidRDefault="00AB7EBC">
            <w:pPr>
              <w:pStyle w:val="Compact"/>
              <w:rPr>
                <w:rFonts w:ascii="Helvetica" w:hAnsi="Helvetica"/>
                <w:sz w:val="18"/>
                <w:szCs w:val="18"/>
              </w:rPr>
            </w:pPr>
          </w:p>
        </w:tc>
        <w:tc>
          <w:tcPr>
            <w:tcW w:w="979" w:type="dxa"/>
          </w:tcPr>
          <w:p w14:paraId="741AD5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48067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0D1A35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417F9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55E1EC6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736D1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69.1%</w:t>
            </w:r>
          </w:p>
        </w:tc>
        <w:tc>
          <w:tcPr>
            <w:tcW w:w="1222" w:type="dxa"/>
          </w:tcPr>
          <w:p w14:paraId="6D03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60.1%</w:t>
            </w:r>
          </w:p>
        </w:tc>
      </w:tr>
      <w:tr w:rsidR="003C64F0" w:rsidRPr="00CC2F84" w14:paraId="5E431B5E" w14:textId="77777777" w:rsidTr="0094789D">
        <w:tc>
          <w:tcPr>
            <w:tcW w:w="1157" w:type="dxa"/>
          </w:tcPr>
          <w:p w14:paraId="7F9428F7" w14:textId="77777777" w:rsidR="00AB7EBC" w:rsidRPr="00A84C1C" w:rsidRDefault="00AB7EBC">
            <w:pPr>
              <w:pStyle w:val="Compact"/>
              <w:rPr>
                <w:rFonts w:ascii="Helvetica" w:hAnsi="Helvetica"/>
                <w:sz w:val="18"/>
                <w:szCs w:val="18"/>
              </w:rPr>
            </w:pPr>
          </w:p>
        </w:tc>
        <w:tc>
          <w:tcPr>
            <w:tcW w:w="979" w:type="dxa"/>
          </w:tcPr>
          <w:p w14:paraId="71F47620"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4A64A7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22" w:type="dxa"/>
          </w:tcPr>
          <w:p w14:paraId="126C80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678764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50194F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760547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73.1%</w:t>
            </w:r>
          </w:p>
        </w:tc>
        <w:tc>
          <w:tcPr>
            <w:tcW w:w="1222" w:type="dxa"/>
          </w:tcPr>
          <w:p w14:paraId="439C4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08891BDB" w14:textId="77777777" w:rsidTr="0094789D">
        <w:tc>
          <w:tcPr>
            <w:tcW w:w="1157" w:type="dxa"/>
          </w:tcPr>
          <w:p w14:paraId="4F7DD697" w14:textId="77777777" w:rsidR="00AB7EBC" w:rsidRPr="00A84C1C" w:rsidRDefault="00AB7EBC">
            <w:pPr>
              <w:pStyle w:val="Compact"/>
              <w:rPr>
                <w:rFonts w:ascii="Helvetica" w:hAnsi="Helvetica"/>
                <w:sz w:val="18"/>
                <w:szCs w:val="18"/>
              </w:rPr>
            </w:pPr>
          </w:p>
        </w:tc>
        <w:tc>
          <w:tcPr>
            <w:tcW w:w="979" w:type="dxa"/>
          </w:tcPr>
          <w:p w14:paraId="299E38D9"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35F796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11.1%</w:t>
            </w:r>
          </w:p>
        </w:tc>
        <w:tc>
          <w:tcPr>
            <w:tcW w:w="1222" w:type="dxa"/>
          </w:tcPr>
          <w:p w14:paraId="76454E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5BDE07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6FD1E4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6241AF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76.1%</w:t>
            </w:r>
          </w:p>
        </w:tc>
        <w:tc>
          <w:tcPr>
            <w:tcW w:w="1222" w:type="dxa"/>
          </w:tcPr>
          <w:p w14:paraId="0CFAB1F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63.3%</w:t>
            </w:r>
          </w:p>
        </w:tc>
      </w:tr>
      <w:tr w:rsidR="003C64F0" w:rsidRPr="00CC2F84" w14:paraId="031FB668" w14:textId="77777777" w:rsidTr="0094789D">
        <w:tc>
          <w:tcPr>
            <w:tcW w:w="1157" w:type="dxa"/>
          </w:tcPr>
          <w:p w14:paraId="0EFE67F8"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3</w:t>
            </w:r>
          </w:p>
        </w:tc>
        <w:tc>
          <w:tcPr>
            <w:tcW w:w="979" w:type="dxa"/>
          </w:tcPr>
          <w:p w14:paraId="50E74C8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547033D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6F823D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7286513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25E5E2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7F301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72.2%</w:t>
            </w:r>
          </w:p>
        </w:tc>
        <w:tc>
          <w:tcPr>
            <w:tcW w:w="1222" w:type="dxa"/>
          </w:tcPr>
          <w:p w14:paraId="72CED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18AF8261" w14:textId="77777777" w:rsidTr="0094789D">
        <w:tc>
          <w:tcPr>
            <w:tcW w:w="1157" w:type="dxa"/>
          </w:tcPr>
          <w:p w14:paraId="72A5532C" w14:textId="77777777" w:rsidR="00AB7EBC" w:rsidRPr="00A84C1C" w:rsidRDefault="00AB7EBC">
            <w:pPr>
              <w:pStyle w:val="Compact"/>
              <w:rPr>
                <w:rFonts w:ascii="Helvetica" w:hAnsi="Helvetica"/>
                <w:sz w:val="18"/>
                <w:szCs w:val="18"/>
              </w:rPr>
            </w:pPr>
          </w:p>
        </w:tc>
        <w:tc>
          <w:tcPr>
            <w:tcW w:w="979" w:type="dxa"/>
          </w:tcPr>
          <w:p w14:paraId="4B74C34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9759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F0571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5EF245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0F56D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1B203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72.5%</w:t>
            </w:r>
          </w:p>
        </w:tc>
        <w:tc>
          <w:tcPr>
            <w:tcW w:w="1222" w:type="dxa"/>
          </w:tcPr>
          <w:p w14:paraId="7531F5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54796800" w14:textId="77777777" w:rsidTr="0094789D">
        <w:tc>
          <w:tcPr>
            <w:tcW w:w="1157" w:type="dxa"/>
          </w:tcPr>
          <w:p w14:paraId="2029930A" w14:textId="77777777" w:rsidR="00AB7EBC" w:rsidRPr="00A84C1C" w:rsidRDefault="00AB7EBC">
            <w:pPr>
              <w:pStyle w:val="Compact"/>
              <w:rPr>
                <w:rFonts w:ascii="Helvetica" w:hAnsi="Helvetica"/>
                <w:sz w:val="18"/>
                <w:szCs w:val="18"/>
              </w:rPr>
            </w:pPr>
          </w:p>
        </w:tc>
        <w:tc>
          <w:tcPr>
            <w:tcW w:w="979" w:type="dxa"/>
          </w:tcPr>
          <w:p w14:paraId="75FAAB4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2C893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273EF1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34D2BC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139474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1575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66.0%</w:t>
            </w:r>
          </w:p>
        </w:tc>
        <w:tc>
          <w:tcPr>
            <w:tcW w:w="1222" w:type="dxa"/>
          </w:tcPr>
          <w:p w14:paraId="4F3F8FB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1FB59A55" w14:textId="77777777" w:rsidTr="0094789D">
        <w:tc>
          <w:tcPr>
            <w:tcW w:w="1157" w:type="dxa"/>
          </w:tcPr>
          <w:p w14:paraId="50979FE4" w14:textId="77777777" w:rsidR="00AB7EBC" w:rsidRPr="00A84C1C" w:rsidRDefault="00AB7EBC">
            <w:pPr>
              <w:pStyle w:val="Compact"/>
              <w:rPr>
                <w:rFonts w:ascii="Helvetica" w:hAnsi="Helvetica"/>
                <w:sz w:val="18"/>
                <w:szCs w:val="18"/>
              </w:rPr>
            </w:pPr>
          </w:p>
        </w:tc>
        <w:tc>
          <w:tcPr>
            <w:tcW w:w="979" w:type="dxa"/>
          </w:tcPr>
          <w:p w14:paraId="63DDCA2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EA098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020837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104710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155E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26B819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22" w:type="dxa"/>
          </w:tcPr>
          <w:p w14:paraId="7FACB5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74AA7C" w14:textId="77777777" w:rsidTr="0094789D">
        <w:tc>
          <w:tcPr>
            <w:tcW w:w="1157" w:type="dxa"/>
          </w:tcPr>
          <w:p w14:paraId="14EE6C8C" w14:textId="77777777" w:rsidR="00AB7EBC" w:rsidRPr="00A84C1C" w:rsidRDefault="00AB7EBC">
            <w:pPr>
              <w:pStyle w:val="Compact"/>
              <w:rPr>
                <w:rFonts w:ascii="Helvetica" w:hAnsi="Helvetica"/>
                <w:sz w:val="18"/>
                <w:szCs w:val="18"/>
              </w:rPr>
            </w:pPr>
          </w:p>
        </w:tc>
        <w:tc>
          <w:tcPr>
            <w:tcW w:w="979" w:type="dxa"/>
          </w:tcPr>
          <w:p w14:paraId="19C6FD25"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1EA36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1137DA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26D7A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397579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AC420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73.8%</w:t>
            </w:r>
          </w:p>
        </w:tc>
        <w:tc>
          <w:tcPr>
            <w:tcW w:w="1222" w:type="dxa"/>
          </w:tcPr>
          <w:p w14:paraId="011D2DD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55CFE939" w14:textId="77777777" w:rsidTr="0094789D">
        <w:tc>
          <w:tcPr>
            <w:tcW w:w="1157" w:type="dxa"/>
          </w:tcPr>
          <w:p w14:paraId="31BD29EC" w14:textId="77777777" w:rsidR="00AB7EBC" w:rsidRPr="00A84C1C" w:rsidRDefault="00AB7EBC">
            <w:pPr>
              <w:pStyle w:val="Compact"/>
              <w:rPr>
                <w:rFonts w:ascii="Helvetica" w:hAnsi="Helvetica"/>
                <w:sz w:val="18"/>
                <w:szCs w:val="18"/>
              </w:rPr>
            </w:pPr>
          </w:p>
        </w:tc>
        <w:tc>
          <w:tcPr>
            <w:tcW w:w="979" w:type="dxa"/>
          </w:tcPr>
          <w:p w14:paraId="40FDFDA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6AF7D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11.6%</w:t>
            </w:r>
          </w:p>
        </w:tc>
        <w:tc>
          <w:tcPr>
            <w:tcW w:w="1222" w:type="dxa"/>
          </w:tcPr>
          <w:p w14:paraId="4185AE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0823E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38</w:t>
            </w:r>
          </w:p>
        </w:tc>
        <w:tc>
          <w:tcPr>
            <w:tcW w:w="1222" w:type="dxa"/>
          </w:tcPr>
          <w:p w14:paraId="5FAD54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7886C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77.0%</w:t>
            </w:r>
          </w:p>
        </w:tc>
        <w:tc>
          <w:tcPr>
            <w:tcW w:w="1222" w:type="dxa"/>
          </w:tcPr>
          <w:p w14:paraId="67C042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8B095B" w:rsidRPr="00CC2F84" w14:paraId="2D5FDF26" w14:textId="77777777" w:rsidTr="0000484B">
        <w:tc>
          <w:tcPr>
            <w:tcW w:w="1157" w:type="dxa"/>
            <w:vAlign w:val="center"/>
          </w:tcPr>
          <w:p w14:paraId="573FD28A" w14:textId="35D3E786" w:rsidR="008B095B" w:rsidRPr="008B095B" w:rsidRDefault="008B095B" w:rsidP="008B095B">
            <w:pPr>
              <w:pStyle w:val="Compact"/>
              <w:rPr>
                <w:rFonts w:ascii="Helvetica" w:hAnsi="Helvetica"/>
                <w:sz w:val="18"/>
                <w:szCs w:val="18"/>
              </w:rPr>
            </w:pPr>
            <m:oMath>
              <m:r>
                <w:rPr>
                  <w:rFonts w:ascii="Cambria Math" w:hAnsi="Cambria Math"/>
                  <w:sz w:val="18"/>
                  <w:szCs w:val="18"/>
                </w:rPr>
                <m:t>γ</m:t>
              </m:r>
            </m:oMath>
            <w:r w:rsidRPr="008B095B">
              <w:rPr>
                <w:rStyle w:val="apple-converted-space"/>
                <w:rFonts w:ascii="Helvetica" w:hAnsi="Helvetica" w:cs="Segoe UI"/>
                <w:sz w:val="18"/>
                <w:szCs w:val="18"/>
              </w:rPr>
              <w:t> </w:t>
            </w:r>
            <w:r w:rsidRPr="008B095B">
              <w:rPr>
                <w:rFonts w:ascii="Helvetica" w:hAnsi="Helvetica" w:cs="Segoe UI"/>
                <w:sz w:val="18"/>
                <w:szCs w:val="18"/>
              </w:rPr>
              <w:t xml:space="preserve">= 1/3 </w:t>
            </w:r>
          </w:p>
        </w:tc>
        <w:tc>
          <w:tcPr>
            <w:tcW w:w="979" w:type="dxa"/>
            <w:vAlign w:val="center"/>
          </w:tcPr>
          <w:p w14:paraId="467CEDFF" w14:textId="279205FE"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East</w:t>
            </w:r>
          </w:p>
        </w:tc>
        <w:tc>
          <w:tcPr>
            <w:tcW w:w="1223" w:type="dxa"/>
            <w:vAlign w:val="center"/>
          </w:tcPr>
          <w:p w14:paraId="41C31EC3" w14:textId="215BEA7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757FF17C" w14:textId="3C9F2DE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w:t>
            </w:r>
          </w:p>
        </w:tc>
        <w:tc>
          <w:tcPr>
            <w:tcW w:w="1222" w:type="dxa"/>
            <w:vAlign w:val="center"/>
          </w:tcPr>
          <w:p w14:paraId="4860094C" w14:textId="4642E78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27</w:t>
            </w:r>
          </w:p>
        </w:tc>
        <w:tc>
          <w:tcPr>
            <w:tcW w:w="1222" w:type="dxa"/>
            <w:vAlign w:val="center"/>
          </w:tcPr>
          <w:p w14:paraId="27518DFD" w14:textId="1C951E1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33</w:t>
            </w:r>
          </w:p>
        </w:tc>
        <w:tc>
          <w:tcPr>
            <w:tcW w:w="1222" w:type="dxa"/>
            <w:vAlign w:val="center"/>
          </w:tcPr>
          <w:p w14:paraId="7EC0F388" w14:textId="3A7E98B5"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72.1%</w:t>
            </w:r>
          </w:p>
        </w:tc>
        <w:tc>
          <w:tcPr>
            <w:tcW w:w="1222" w:type="dxa"/>
            <w:vAlign w:val="center"/>
          </w:tcPr>
          <w:p w14:paraId="4B4B9354" w14:textId="2F9BEFA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57.2%</w:t>
            </w:r>
          </w:p>
        </w:tc>
      </w:tr>
      <w:tr w:rsidR="008B095B" w:rsidRPr="00CC2F84" w14:paraId="4A260BDC" w14:textId="77777777" w:rsidTr="0000484B">
        <w:tc>
          <w:tcPr>
            <w:tcW w:w="1157" w:type="dxa"/>
            <w:vAlign w:val="center"/>
          </w:tcPr>
          <w:p w14:paraId="573C958D" w14:textId="77777777" w:rsidR="008B095B" w:rsidRPr="008B095B" w:rsidRDefault="008B095B" w:rsidP="008B095B">
            <w:pPr>
              <w:pStyle w:val="Compact"/>
              <w:rPr>
                <w:rFonts w:ascii="Helvetica" w:hAnsi="Helvetica"/>
                <w:sz w:val="18"/>
                <w:szCs w:val="18"/>
              </w:rPr>
            </w:pPr>
          </w:p>
        </w:tc>
        <w:tc>
          <w:tcPr>
            <w:tcW w:w="979" w:type="dxa"/>
            <w:vAlign w:val="center"/>
          </w:tcPr>
          <w:p w14:paraId="4A4228CD" w14:textId="7874C212"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Southeast</w:t>
            </w:r>
          </w:p>
        </w:tc>
        <w:tc>
          <w:tcPr>
            <w:tcW w:w="1223" w:type="dxa"/>
            <w:vAlign w:val="center"/>
          </w:tcPr>
          <w:p w14:paraId="67240D7F" w14:textId="4AD013F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6D26B6D9" w14:textId="4B53F8B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6.2%</w:t>
            </w:r>
          </w:p>
        </w:tc>
        <w:tc>
          <w:tcPr>
            <w:tcW w:w="1222" w:type="dxa"/>
            <w:vAlign w:val="center"/>
          </w:tcPr>
          <w:p w14:paraId="01418A63" w14:textId="1A3ECE57"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27</w:t>
            </w:r>
          </w:p>
        </w:tc>
        <w:tc>
          <w:tcPr>
            <w:tcW w:w="1222" w:type="dxa"/>
            <w:vAlign w:val="center"/>
          </w:tcPr>
          <w:p w14:paraId="4A66AC7D" w14:textId="72644CB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33</w:t>
            </w:r>
          </w:p>
        </w:tc>
        <w:tc>
          <w:tcPr>
            <w:tcW w:w="1222" w:type="dxa"/>
            <w:vAlign w:val="center"/>
          </w:tcPr>
          <w:p w14:paraId="5FF41DE9" w14:textId="00681EA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72.3%</w:t>
            </w:r>
          </w:p>
        </w:tc>
        <w:tc>
          <w:tcPr>
            <w:tcW w:w="1222" w:type="dxa"/>
            <w:vAlign w:val="center"/>
          </w:tcPr>
          <w:p w14:paraId="332C6B88" w14:textId="366D809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56.5%</w:t>
            </w:r>
          </w:p>
        </w:tc>
      </w:tr>
      <w:tr w:rsidR="008B095B" w:rsidRPr="00CC2F84" w14:paraId="5319ABAF" w14:textId="77777777" w:rsidTr="0000484B">
        <w:tc>
          <w:tcPr>
            <w:tcW w:w="1157" w:type="dxa"/>
            <w:vAlign w:val="center"/>
          </w:tcPr>
          <w:p w14:paraId="746A3228" w14:textId="77777777" w:rsidR="008B095B" w:rsidRPr="008B095B" w:rsidRDefault="008B095B" w:rsidP="008B095B">
            <w:pPr>
              <w:pStyle w:val="Compact"/>
              <w:rPr>
                <w:rFonts w:ascii="Helvetica" w:hAnsi="Helvetica"/>
                <w:sz w:val="18"/>
                <w:szCs w:val="18"/>
              </w:rPr>
            </w:pPr>
          </w:p>
        </w:tc>
        <w:tc>
          <w:tcPr>
            <w:tcW w:w="979" w:type="dxa"/>
            <w:vAlign w:val="center"/>
          </w:tcPr>
          <w:p w14:paraId="29131A80" w14:textId="72525535"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Midwest</w:t>
            </w:r>
          </w:p>
        </w:tc>
        <w:tc>
          <w:tcPr>
            <w:tcW w:w="1223" w:type="dxa"/>
            <w:vAlign w:val="center"/>
          </w:tcPr>
          <w:p w14:paraId="5CEC5E9D" w14:textId="00FD25A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w:t>
            </w:r>
          </w:p>
        </w:tc>
        <w:tc>
          <w:tcPr>
            <w:tcW w:w="1222" w:type="dxa"/>
            <w:vAlign w:val="center"/>
          </w:tcPr>
          <w:p w14:paraId="72F69D20" w14:textId="78DD9B5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6.1%</w:t>
            </w:r>
          </w:p>
        </w:tc>
        <w:tc>
          <w:tcPr>
            <w:tcW w:w="1222" w:type="dxa"/>
            <w:vAlign w:val="center"/>
          </w:tcPr>
          <w:p w14:paraId="79F6CAA2" w14:textId="1DF542B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30</w:t>
            </w:r>
          </w:p>
        </w:tc>
        <w:tc>
          <w:tcPr>
            <w:tcW w:w="1222" w:type="dxa"/>
            <w:vAlign w:val="center"/>
          </w:tcPr>
          <w:p w14:paraId="0BC8AC5B" w14:textId="6BB3E4F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34</w:t>
            </w:r>
          </w:p>
        </w:tc>
        <w:tc>
          <w:tcPr>
            <w:tcW w:w="1222" w:type="dxa"/>
            <w:vAlign w:val="center"/>
          </w:tcPr>
          <w:p w14:paraId="2C88CA25" w14:textId="03323A8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65.9%</w:t>
            </w:r>
          </w:p>
        </w:tc>
        <w:tc>
          <w:tcPr>
            <w:tcW w:w="1222" w:type="dxa"/>
            <w:vAlign w:val="center"/>
          </w:tcPr>
          <w:p w14:paraId="16BFB1EE" w14:textId="0F1B07B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56.4%</w:t>
            </w:r>
          </w:p>
        </w:tc>
      </w:tr>
      <w:tr w:rsidR="008B095B" w:rsidRPr="00CC2F84" w14:paraId="6021DE30" w14:textId="77777777" w:rsidTr="0000484B">
        <w:tc>
          <w:tcPr>
            <w:tcW w:w="1157" w:type="dxa"/>
            <w:vAlign w:val="center"/>
          </w:tcPr>
          <w:p w14:paraId="620B5F9E" w14:textId="77777777" w:rsidR="008B095B" w:rsidRPr="008B095B" w:rsidRDefault="008B095B" w:rsidP="008B095B">
            <w:pPr>
              <w:pStyle w:val="Compact"/>
              <w:rPr>
                <w:rFonts w:ascii="Helvetica" w:hAnsi="Helvetica"/>
                <w:sz w:val="18"/>
                <w:szCs w:val="18"/>
              </w:rPr>
            </w:pPr>
          </w:p>
        </w:tc>
        <w:tc>
          <w:tcPr>
            <w:tcW w:w="979" w:type="dxa"/>
            <w:vAlign w:val="center"/>
          </w:tcPr>
          <w:p w14:paraId="696029A1" w14:textId="1A1293F3"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Southwest</w:t>
            </w:r>
          </w:p>
        </w:tc>
        <w:tc>
          <w:tcPr>
            <w:tcW w:w="1223" w:type="dxa"/>
            <w:vAlign w:val="center"/>
          </w:tcPr>
          <w:p w14:paraId="292A01A5" w14:textId="2343481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4B8DEFF5" w14:textId="691F1A9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w:t>
            </w:r>
          </w:p>
        </w:tc>
        <w:tc>
          <w:tcPr>
            <w:tcW w:w="1222" w:type="dxa"/>
            <w:vAlign w:val="center"/>
          </w:tcPr>
          <w:p w14:paraId="1F3B5BC1" w14:textId="0E1231A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28</w:t>
            </w:r>
          </w:p>
        </w:tc>
        <w:tc>
          <w:tcPr>
            <w:tcW w:w="1222" w:type="dxa"/>
            <w:vAlign w:val="center"/>
          </w:tcPr>
          <w:p w14:paraId="433BB51C" w14:textId="30F44979"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31</w:t>
            </w:r>
          </w:p>
        </w:tc>
        <w:tc>
          <w:tcPr>
            <w:tcW w:w="1222" w:type="dxa"/>
            <w:vAlign w:val="center"/>
          </w:tcPr>
          <w:p w14:paraId="649FBD46" w14:textId="4C5E867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69.4%</w:t>
            </w:r>
          </w:p>
        </w:tc>
        <w:tc>
          <w:tcPr>
            <w:tcW w:w="1222" w:type="dxa"/>
            <w:vAlign w:val="center"/>
          </w:tcPr>
          <w:p w14:paraId="5F2D18EB" w14:textId="188E293F"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60.2%</w:t>
            </w:r>
          </w:p>
        </w:tc>
      </w:tr>
      <w:tr w:rsidR="008B095B" w:rsidRPr="00CC2F84" w14:paraId="62A42897" w14:textId="77777777" w:rsidTr="0000484B">
        <w:tc>
          <w:tcPr>
            <w:tcW w:w="1157" w:type="dxa"/>
            <w:vAlign w:val="center"/>
          </w:tcPr>
          <w:p w14:paraId="7A4F4928" w14:textId="77777777" w:rsidR="008B095B" w:rsidRPr="008B095B" w:rsidRDefault="008B095B" w:rsidP="008B095B">
            <w:pPr>
              <w:pStyle w:val="Compact"/>
              <w:rPr>
                <w:rFonts w:ascii="Helvetica" w:hAnsi="Helvetica"/>
                <w:sz w:val="18"/>
                <w:szCs w:val="18"/>
              </w:rPr>
            </w:pPr>
          </w:p>
        </w:tc>
        <w:tc>
          <w:tcPr>
            <w:tcW w:w="979" w:type="dxa"/>
            <w:vAlign w:val="center"/>
          </w:tcPr>
          <w:p w14:paraId="4EB66DB4" w14:textId="0FB9F6F1"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Northwest</w:t>
            </w:r>
          </w:p>
        </w:tc>
        <w:tc>
          <w:tcPr>
            <w:tcW w:w="1223" w:type="dxa"/>
            <w:vAlign w:val="center"/>
          </w:tcPr>
          <w:p w14:paraId="479B7B11" w14:textId="68FFAABF"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9.7%</w:t>
            </w:r>
          </w:p>
        </w:tc>
        <w:tc>
          <w:tcPr>
            <w:tcW w:w="1222" w:type="dxa"/>
            <w:vAlign w:val="center"/>
          </w:tcPr>
          <w:p w14:paraId="32CD0B80" w14:textId="2BE748E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w:t>
            </w:r>
          </w:p>
        </w:tc>
        <w:tc>
          <w:tcPr>
            <w:tcW w:w="1222" w:type="dxa"/>
            <w:vAlign w:val="center"/>
          </w:tcPr>
          <w:p w14:paraId="7F3EFC8C" w14:textId="4FD2B3C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26</w:t>
            </w:r>
          </w:p>
        </w:tc>
        <w:tc>
          <w:tcPr>
            <w:tcW w:w="1222" w:type="dxa"/>
            <w:vAlign w:val="center"/>
          </w:tcPr>
          <w:p w14:paraId="2E6B78E7" w14:textId="4285F82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31</w:t>
            </w:r>
          </w:p>
        </w:tc>
        <w:tc>
          <w:tcPr>
            <w:tcW w:w="1222" w:type="dxa"/>
            <w:vAlign w:val="center"/>
          </w:tcPr>
          <w:p w14:paraId="6C09FAED" w14:textId="495362D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73.6%</w:t>
            </w:r>
          </w:p>
        </w:tc>
        <w:tc>
          <w:tcPr>
            <w:tcW w:w="1222" w:type="dxa"/>
            <w:vAlign w:val="center"/>
          </w:tcPr>
          <w:p w14:paraId="55EC3B1A" w14:textId="0EE2163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58.9%</w:t>
            </w:r>
          </w:p>
        </w:tc>
      </w:tr>
      <w:tr w:rsidR="008B095B" w:rsidRPr="00CC2F84" w14:paraId="145C62C7" w14:textId="77777777" w:rsidTr="0000484B">
        <w:tc>
          <w:tcPr>
            <w:tcW w:w="1157" w:type="dxa"/>
            <w:vAlign w:val="center"/>
          </w:tcPr>
          <w:p w14:paraId="23669231" w14:textId="77777777" w:rsidR="008B095B" w:rsidRPr="008B095B" w:rsidRDefault="008B095B" w:rsidP="008B095B">
            <w:pPr>
              <w:pStyle w:val="Compact"/>
              <w:rPr>
                <w:rFonts w:ascii="Helvetica" w:hAnsi="Helvetica"/>
                <w:sz w:val="18"/>
                <w:szCs w:val="18"/>
              </w:rPr>
            </w:pPr>
          </w:p>
        </w:tc>
        <w:tc>
          <w:tcPr>
            <w:tcW w:w="979" w:type="dxa"/>
            <w:vAlign w:val="center"/>
          </w:tcPr>
          <w:p w14:paraId="31032550" w14:textId="272670FE"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California</w:t>
            </w:r>
          </w:p>
        </w:tc>
        <w:tc>
          <w:tcPr>
            <w:tcW w:w="1223" w:type="dxa"/>
            <w:vAlign w:val="center"/>
          </w:tcPr>
          <w:p w14:paraId="60BB3ACA" w14:textId="36613C4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11.4%</w:t>
            </w:r>
          </w:p>
        </w:tc>
        <w:tc>
          <w:tcPr>
            <w:tcW w:w="1222" w:type="dxa"/>
            <w:vAlign w:val="center"/>
          </w:tcPr>
          <w:p w14:paraId="09CB313A" w14:textId="327D33E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8.5%</w:t>
            </w:r>
          </w:p>
        </w:tc>
        <w:tc>
          <w:tcPr>
            <w:tcW w:w="1222" w:type="dxa"/>
            <w:vAlign w:val="center"/>
          </w:tcPr>
          <w:p w14:paraId="532C2961" w14:textId="06D21D0F"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23</w:t>
            </w:r>
          </w:p>
        </w:tc>
        <w:tc>
          <w:tcPr>
            <w:tcW w:w="1222" w:type="dxa"/>
            <w:vAlign w:val="center"/>
          </w:tcPr>
          <w:p w14:paraId="603C47A0" w14:textId="45593FD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28</w:t>
            </w:r>
          </w:p>
        </w:tc>
        <w:tc>
          <w:tcPr>
            <w:tcW w:w="1222" w:type="dxa"/>
            <w:vAlign w:val="center"/>
          </w:tcPr>
          <w:p w14:paraId="0394B9B8" w14:textId="1920B6F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76.7%</w:t>
            </w:r>
          </w:p>
        </w:tc>
        <w:tc>
          <w:tcPr>
            <w:tcW w:w="1222" w:type="dxa"/>
            <w:vAlign w:val="center"/>
          </w:tcPr>
          <w:p w14:paraId="7BA56D3B" w14:textId="60F1A9DC"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63.5%</w:t>
            </w:r>
          </w:p>
        </w:tc>
      </w:tr>
      <w:tr w:rsidR="008B095B" w:rsidRPr="00CC2F84" w14:paraId="6419D73A" w14:textId="77777777" w:rsidTr="00A52AE5">
        <w:tc>
          <w:tcPr>
            <w:tcW w:w="1157" w:type="dxa"/>
            <w:vAlign w:val="center"/>
          </w:tcPr>
          <w:p w14:paraId="14FF5CD8" w14:textId="1F30FFD9" w:rsidR="008B095B" w:rsidRPr="008B095B" w:rsidRDefault="008B095B" w:rsidP="008B095B">
            <w:pPr>
              <w:pStyle w:val="Compact"/>
              <w:rPr>
                <w:rFonts w:ascii="Helvetica" w:hAnsi="Helvetica"/>
                <w:sz w:val="18"/>
                <w:szCs w:val="18"/>
              </w:rPr>
            </w:pPr>
            <m:oMath>
              <m:r>
                <w:rPr>
                  <w:rFonts w:ascii="Cambria Math" w:hAnsi="Cambria Math"/>
                  <w:sz w:val="18"/>
                  <w:szCs w:val="18"/>
                </w:rPr>
                <m:t>γ</m:t>
              </m:r>
            </m:oMath>
            <w:r w:rsidRPr="008B095B">
              <w:rPr>
                <w:rStyle w:val="apple-converted-space"/>
                <w:rFonts w:ascii="Helvetica" w:hAnsi="Helvetica" w:cs="Segoe UI"/>
                <w:sz w:val="18"/>
                <w:szCs w:val="18"/>
              </w:rPr>
              <w:t> </w:t>
            </w:r>
            <w:r w:rsidRPr="008B095B">
              <w:rPr>
                <w:rFonts w:ascii="Helvetica" w:hAnsi="Helvetica" w:cs="Segoe UI"/>
                <w:sz w:val="18"/>
                <w:szCs w:val="18"/>
              </w:rPr>
              <w:t>= 1/10</w:t>
            </w:r>
          </w:p>
        </w:tc>
        <w:tc>
          <w:tcPr>
            <w:tcW w:w="979" w:type="dxa"/>
            <w:vAlign w:val="center"/>
          </w:tcPr>
          <w:p w14:paraId="23997854" w14:textId="4234B8D6"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East</w:t>
            </w:r>
          </w:p>
        </w:tc>
        <w:tc>
          <w:tcPr>
            <w:tcW w:w="1223" w:type="dxa"/>
            <w:vAlign w:val="center"/>
          </w:tcPr>
          <w:p w14:paraId="51A9E849" w14:textId="557BD25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7E411414" w14:textId="6C23B5C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w:t>
            </w:r>
          </w:p>
        </w:tc>
        <w:tc>
          <w:tcPr>
            <w:tcW w:w="1222" w:type="dxa"/>
            <w:vAlign w:val="center"/>
          </w:tcPr>
          <w:p w14:paraId="21AC421F" w14:textId="4786EDA5"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687166AB" w14:textId="25DC973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110</w:t>
            </w:r>
          </w:p>
        </w:tc>
        <w:tc>
          <w:tcPr>
            <w:tcW w:w="1222" w:type="dxa"/>
            <w:vAlign w:val="center"/>
          </w:tcPr>
          <w:p w14:paraId="617C8BEE" w14:textId="3798833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72.1%</w:t>
            </w:r>
          </w:p>
        </w:tc>
        <w:tc>
          <w:tcPr>
            <w:tcW w:w="1222" w:type="dxa"/>
            <w:vAlign w:val="center"/>
          </w:tcPr>
          <w:p w14:paraId="02111330" w14:textId="26165E37"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57.2%</w:t>
            </w:r>
          </w:p>
        </w:tc>
      </w:tr>
      <w:tr w:rsidR="008B095B" w:rsidRPr="00CC2F84" w14:paraId="22AE71DE" w14:textId="77777777" w:rsidTr="00A52AE5">
        <w:tc>
          <w:tcPr>
            <w:tcW w:w="1157" w:type="dxa"/>
            <w:vAlign w:val="center"/>
          </w:tcPr>
          <w:p w14:paraId="01E35420" w14:textId="77777777" w:rsidR="008B095B" w:rsidRPr="008B095B" w:rsidRDefault="008B095B" w:rsidP="008B095B">
            <w:pPr>
              <w:pStyle w:val="Compact"/>
              <w:rPr>
                <w:rFonts w:ascii="Helvetica" w:hAnsi="Helvetica"/>
                <w:sz w:val="18"/>
                <w:szCs w:val="18"/>
              </w:rPr>
            </w:pPr>
          </w:p>
        </w:tc>
        <w:tc>
          <w:tcPr>
            <w:tcW w:w="979" w:type="dxa"/>
            <w:vAlign w:val="center"/>
          </w:tcPr>
          <w:p w14:paraId="091F0E6B" w14:textId="1F9FF9B0"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Southeast</w:t>
            </w:r>
          </w:p>
        </w:tc>
        <w:tc>
          <w:tcPr>
            <w:tcW w:w="1223" w:type="dxa"/>
            <w:vAlign w:val="center"/>
          </w:tcPr>
          <w:p w14:paraId="0778DA98" w14:textId="7EDD362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4266BAC6" w14:textId="75E6D15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6.2%</w:t>
            </w:r>
          </w:p>
        </w:tc>
        <w:tc>
          <w:tcPr>
            <w:tcW w:w="1222" w:type="dxa"/>
            <w:vAlign w:val="center"/>
          </w:tcPr>
          <w:p w14:paraId="7A180609" w14:textId="507D5785"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06AC84DA" w14:textId="7B7782DC"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111</w:t>
            </w:r>
          </w:p>
        </w:tc>
        <w:tc>
          <w:tcPr>
            <w:tcW w:w="1222" w:type="dxa"/>
            <w:vAlign w:val="center"/>
          </w:tcPr>
          <w:p w14:paraId="23716328" w14:textId="7644544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72.3%</w:t>
            </w:r>
          </w:p>
        </w:tc>
        <w:tc>
          <w:tcPr>
            <w:tcW w:w="1222" w:type="dxa"/>
            <w:vAlign w:val="center"/>
          </w:tcPr>
          <w:p w14:paraId="4FF5C5B4" w14:textId="10A24BD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56.5%</w:t>
            </w:r>
          </w:p>
        </w:tc>
      </w:tr>
      <w:tr w:rsidR="008B095B" w:rsidRPr="00CC2F84" w14:paraId="68822797" w14:textId="77777777" w:rsidTr="00A52AE5">
        <w:tc>
          <w:tcPr>
            <w:tcW w:w="1157" w:type="dxa"/>
            <w:vAlign w:val="center"/>
          </w:tcPr>
          <w:p w14:paraId="4EC1D395" w14:textId="77777777" w:rsidR="008B095B" w:rsidRPr="008B095B" w:rsidRDefault="008B095B" w:rsidP="008B095B">
            <w:pPr>
              <w:pStyle w:val="Compact"/>
              <w:rPr>
                <w:rFonts w:ascii="Helvetica" w:hAnsi="Helvetica"/>
                <w:sz w:val="18"/>
                <w:szCs w:val="18"/>
              </w:rPr>
            </w:pPr>
          </w:p>
        </w:tc>
        <w:tc>
          <w:tcPr>
            <w:tcW w:w="979" w:type="dxa"/>
            <w:vAlign w:val="center"/>
          </w:tcPr>
          <w:p w14:paraId="7CDEC96D" w14:textId="7FDC915A"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Midwest</w:t>
            </w:r>
          </w:p>
        </w:tc>
        <w:tc>
          <w:tcPr>
            <w:tcW w:w="1223" w:type="dxa"/>
            <w:vAlign w:val="center"/>
          </w:tcPr>
          <w:p w14:paraId="09E253AF" w14:textId="4B155DE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w:t>
            </w:r>
          </w:p>
        </w:tc>
        <w:tc>
          <w:tcPr>
            <w:tcW w:w="1222" w:type="dxa"/>
            <w:vAlign w:val="center"/>
          </w:tcPr>
          <w:p w14:paraId="4AB1286E" w14:textId="7B2ED48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6.1%</w:t>
            </w:r>
          </w:p>
        </w:tc>
        <w:tc>
          <w:tcPr>
            <w:tcW w:w="1222" w:type="dxa"/>
            <w:vAlign w:val="center"/>
          </w:tcPr>
          <w:p w14:paraId="0968E539" w14:textId="01F3074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101</w:t>
            </w:r>
          </w:p>
        </w:tc>
        <w:tc>
          <w:tcPr>
            <w:tcW w:w="1222" w:type="dxa"/>
            <w:vAlign w:val="center"/>
          </w:tcPr>
          <w:p w14:paraId="182E6658" w14:textId="7B4DDB9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112</w:t>
            </w:r>
          </w:p>
        </w:tc>
        <w:tc>
          <w:tcPr>
            <w:tcW w:w="1222" w:type="dxa"/>
            <w:vAlign w:val="center"/>
          </w:tcPr>
          <w:p w14:paraId="4718FF02" w14:textId="5C412CD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65.9%</w:t>
            </w:r>
          </w:p>
        </w:tc>
        <w:tc>
          <w:tcPr>
            <w:tcW w:w="1222" w:type="dxa"/>
            <w:vAlign w:val="center"/>
          </w:tcPr>
          <w:p w14:paraId="24FBBCAE" w14:textId="79E35C3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56.4%</w:t>
            </w:r>
          </w:p>
        </w:tc>
      </w:tr>
      <w:tr w:rsidR="008B095B" w:rsidRPr="00CC2F84" w14:paraId="0CA71B1D" w14:textId="77777777" w:rsidTr="00A52AE5">
        <w:tc>
          <w:tcPr>
            <w:tcW w:w="1157" w:type="dxa"/>
            <w:vAlign w:val="center"/>
          </w:tcPr>
          <w:p w14:paraId="3D827A0D" w14:textId="77777777" w:rsidR="008B095B" w:rsidRPr="008B095B" w:rsidRDefault="008B095B" w:rsidP="008B095B">
            <w:pPr>
              <w:pStyle w:val="Compact"/>
              <w:rPr>
                <w:rFonts w:ascii="Helvetica" w:hAnsi="Helvetica"/>
                <w:sz w:val="18"/>
                <w:szCs w:val="18"/>
              </w:rPr>
            </w:pPr>
          </w:p>
        </w:tc>
        <w:tc>
          <w:tcPr>
            <w:tcW w:w="979" w:type="dxa"/>
            <w:vAlign w:val="center"/>
          </w:tcPr>
          <w:p w14:paraId="51911618" w14:textId="44786F01"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Southwest</w:t>
            </w:r>
          </w:p>
        </w:tc>
        <w:tc>
          <w:tcPr>
            <w:tcW w:w="1223" w:type="dxa"/>
            <w:vAlign w:val="center"/>
          </w:tcPr>
          <w:p w14:paraId="46097A99" w14:textId="58FF72B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74B11E4A" w14:textId="598DD3E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w:t>
            </w:r>
          </w:p>
        </w:tc>
        <w:tc>
          <w:tcPr>
            <w:tcW w:w="1222" w:type="dxa"/>
            <w:vAlign w:val="center"/>
          </w:tcPr>
          <w:p w14:paraId="49E3ED80" w14:textId="6A199817"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92</w:t>
            </w:r>
          </w:p>
        </w:tc>
        <w:tc>
          <w:tcPr>
            <w:tcW w:w="1222" w:type="dxa"/>
            <w:vAlign w:val="center"/>
          </w:tcPr>
          <w:p w14:paraId="481B21A3" w14:textId="794D04A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102</w:t>
            </w:r>
          </w:p>
        </w:tc>
        <w:tc>
          <w:tcPr>
            <w:tcW w:w="1222" w:type="dxa"/>
            <w:vAlign w:val="center"/>
          </w:tcPr>
          <w:p w14:paraId="53E657C2" w14:textId="4423416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69.4%</w:t>
            </w:r>
          </w:p>
        </w:tc>
        <w:tc>
          <w:tcPr>
            <w:tcW w:w="1222" w:type="dxa"/>
            <w:vAlign w:val="center"/>
          </w:tcPr>
          <w:p w14:paraId="46C19CBF" w14:textId="193AC5D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60.2%</w:t>
            </w:r>
          </w:p>
        </w:tc>
      </w:tr>
      <w:tr w:rsidR="008B095B" w:rsidRPr="00CC2F84" w14:paraId="2C0DDBD4" w14:textId="77777777" w:rsidTr="00A52AE5">
        <w:tc>
          <w:tcPr>
            <w:tcW w:w="1157" w:type="dxa"/>
            <w:vAlign w:val="center"/>
          </w:tcPr>
          <w:p w14:paraId="728D5A17" w14:textId="77777777" w:rsidR="008B095B" w:rsidRPr="008B095B" w:rsidRDefault="008B095B" w:rsidP="008B095B">
            <w:pPr>
              <w:pStyle w:val="Compact"/>
              <w:rPr>
                <w:rFonts w:ascii="Helvetica" w:hAnsi="Helvetica"/>
                <w:sz w:val="18"/>
                <w:szCs w:val="18"/>
              </w:rPr>
            </w:pPr>
          </w:p>
        </w:tc>
        <w:tc>
          <w:tcPr>
            <w:tcW w:w="979" w:type="dxa"/>
            <w:vAlign w:val="center"/>
          </w:tcPr>
          <w:p w14:paraId="33C61D37" w14:textId="57EB5840"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Northwest</w:t>
            </w:r>
          </w:p>
        </w:tc>
        <w:tc>
          <w:tcPr>
            <w:tcW w:w="1223" w:type="dxa"/>
            <w:vAlign w:val="center"/>
          </w:tcPr>
          <w:p w14:paraId="525BA05E" w14:textId="37D15C9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9.7%</w:t>
            </w:r>
          </w:p>
        </w:tc>
        <w:tc>
          <w:tcPr>
            <w:tcW w:w="1222" w:type="dxa"/>
            <w:vAlign w:val="center"/>
          </w:tcPr>
          <w:p w14:paraId="20242ABD" w14:textId="6415548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w:t>
            </w:r>
          </w:p>
        </w:tc>
        <w:tc>
          <w:tcPr>
            <w:tcW w:w="1222" w:type="dxa"/>
            <w:vAlign w:val="center"/>
          </w:tcPr>
          <w:p w14:paraId="2688606A" w14:textId="4CA63A5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86</w:t>
            </w:r>
          </w:p>
        </w:tc>
        <w:tc>
          <w:tcPr>
            <w:tcW w:w="1222" w:type="dxa"/>
            <w:vAlign w:val="center"/>
          </w:tcPr>
          <w:p w14:paraId="58E78E7C" w14:textId="5550BDE9"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105</w:t>
            </w:r>
          </w:p>
        </w:tc>
        <w:tc>
          <w:tcPr>
            <w:tcW w:w="1222" w:type="dxa"/>
            <w:vAlign w:val="center"/>
          </w:tcPr>
          <w:p w14:paraId="46520BEE" w14:textId="2DF1FA8C"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73.6%</w:t>
            </w:r>
          </w:p>
        </w:tc>
        <w:tc>
          <w:tcPr>
            <w:tcW w:w="1222" w:type="dxa"/>
            <w:vAlign w:val="center"/>
          </w:tcPr>
          <w:p w14:paraId="54A07DFB" w14:textId="38B2C72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58.9%</w:t>
            </w:r>
          </w:p>
        </w:tc>
      </w:tr>
      <w:tr w:rsidR="008B095B" w:rsidRPr="00CC2F84" w14:paraId="67458471" w14:textId="77777777" w:rsidTr="00A52AE5">
        <w:tc>
          <w:tcPr>
            <w:tcW w:w="1157" w:type="dxa"/>
            <w:vAlign w:val="center"/>
          </w:tcPr>
          <w:p w14:paraId="10958CFC" w14:textId="77777777" w:rsidR="008B095B" w:rsidRPr="008B095B" w:rsidRDefault="008B095B" w:rsidP="008B095B">
            <w:pPr>
              <w:pStyle w:val="Compact"/>
              <w:rPr>
                <w:rFonts w:ascii="Helvetica" w:hAnsi="Helvetica"/>
                <w:sz w:val="18"/>
                <w:szCs w:val="18"/>
              </w:rPr>
            </w:pPr>
          </w:p>
        </w:tc>
        <w:tc>
          <w:tcPr>
            <w:tcW w:w="979" w:type="dxa"/>
            <w:vAlign w:val="center"/>
          </w:tcPr>
          <w:p w14:paraId="544E66F4" w14:textId="1494D510"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California</w:t>
            </w:r>
          </w:p>
        </w:tc>
        <w:tc>
          <w:tcPr>
            <w:tcW w:w="1223" w:type="dxa"/>
            <w:vAlign w:val="center"/>
          </w:tcPr>
          <w:p w14:paraId="5ED07C73" w14:textId="232F718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11.4%</w:t>
            </w:r>
          </w:p>
        </w:tc>
        <w:tc>
          <w:tcPr>
            <w:tcW w:w="1222" w:type="dxa"/>
            <w:vAlign w:val="center"/>
          </w:tcPr>
          <w:p w14:paraId="7F43317F" w14:textId="2F4B5D3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8.5%</w:t>
            </w:r>
          </w:p>
        </w:tc>
        <w:tc>
          <w:tcPr>
            <w:tcW w:w="1222" w:type="dxa"/>
            <w:vAlign w:val="center"/>
          </w:tcPr>
          <w:p w14:paraId="4FCEE0A7" w14:textId="5FC3CEF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78</w:t>
            </w:r>
          </w:p>
        </w:tc>
        <w:tc>
          <w:tcPr>
            <w:tcW w:w="1222" w:type="dxa"/>
            <w:vAlign w:val="center"/>
          </w:tcPr>
          <w:p w14:paraId="4E8D48C0" w14:textId="5296541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93</w:t>
            </w:r>
          </w:p>
        </w:tc>
        <w:tc>
          <w:tcPr>
            <w:tcW w:w="1222" w:type="dxa"/>
            <w:vAlign w:val="center"/>
          </w:tcPr>
          <w:p w14:paraId="1D2CBEAD" w14:textId="6083E41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76.7%</w:t>
            </w:r>
          </w:p>
        </w:tc>
        <w:tc>
          <w:tcPr>
            <w:tcW w:w="1222" w:type="dxa"/>
            <w:vAlign w:val="center"/>
          </w:tcPr>
          <w:p w14:paraId="589BACEA" w14:textId="1A7B1A4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63.5%</w:t>
            </w:r>
          </w:p>
        </w:tc>
      </w:tr>
      <w:tr w:rsidR="008B095B" w:rsidRPr="00CC2F84" w14:paraId="0C5E94DC" w14:textId="77777777" w:rsidTr="0094789D">
        <w:tc>
          <w:tcPr>
            <w:tcW w:w="1157" w:type="dxa"/>
          </w:tcPr>
          <w:p w14:paraId="0349E46D" w14:textId="77777777" w:rsidR="008B095B" w:rsidRPr="00A84C1C" w:rsidRDefault="008B095B" w:rsidP="008B095B">
            <w:pPr>
              <w:pStyle w:val="Compact"/>
              <w:rPr>
                <w:rFonts w:ascii="Helvetica" w:hAnsi="Helvetica"/>
                <w:sz w:val="18"/>
                <w:szCs w:val="18"/>
              </w:rPr>
            </w:pPr>
          </w:p>
        </w:tc>
        <w:tc>
          <w:tcPr>
            <w:tcW w:w="979" w:type="dxa"/>
          </w:tcPr>
          <w:p w14:paraId="44CCCA44" w14:textId="77777777" w:rsidR="008B095B" w:rsidRPr="00A84C1C" w:rsidRDefault="008B095B" w:rsidP="008B095B">
            <w:pPr>
              <w:pStyle w:val="Compact"/>
              <w:rPr>
                <w:rFonts w:ascii="Helvetica" w:hAnsi="Helvetica"/>
                <w:sz w:val="18"/>
                <w:szCs w:val="18"/>
              </w:rPr>
            </w:pPr>
          </w:p>
        </w:tc>
        <w:tc>
          <w:tcPr>
            <w:tcW w:w="1223" w:type="dxa"/>
          </w:tcPr>
          <w:p w14:paraId="7F787409" w14:textId="77777777" w:rsidR="008B095B" w:rsidRPr="00A84C1C" w:rsidRDefault="008B095B" w:rsidP="008B095B">
            <w:pPr>
              <w:pStyle w:val="Compact"/>
              <w:jc w:val="center"/>
              <w:rPr>
                <w:rFonts w:ascii="Helvetica" w:hAnsi="Helvetica"/>
                <w:sz w:val="18"/>
                <w:szCs w:val="18"/>
              </w:rPr>
            </w:pPr>
          </w:p>
        </w:tc>
        <w:tc>
          <w:tcPr>
            <w:tcW w:w="1222" w:type="dxa"/>
          </w:tcPr>
          <w:p w14:paraId="4B086C3D" w14:textId="77777777" w:rsidR="008B095B" w:rsidRPr="00A84C1C" w:rsidRDefault="008B095B" w:rsidP="008B095B">
            <w:pPr>
              <w:pStyle w:val="Compact"/>
              <w:jc w:val="center"/>
              <w:rPr>
                <w:rFonts w:ascii="Helvetica" w:hAnsi="Helvetica"/>
                <w:sz w:val="18"/>
                <w:szCs w:val="18"/>
              </w:rPr>
            </w:pPr>
          </w:p>
        </w:tc>
        <w:tc>
          <w:tcPr>
            <w:tcW w:w="1222" w:type="dxa"/>
          </w:tcPr>
          <w:p w14:paraId="1D2D3A74" w14:textId="77777777" w:rsidR="008B095B" w:rsidRPr="00A84C1C" w:rsidRDefault="008B095B" w:rsidP="008B095B">
            <w:pPr>
              <w:pStyle w:val="Compact"/>
              <w:jc w:val="center"/>
              <w:rPr>
                <w:rFonts w:ascii="Helvetica" w:hAnsi="Helvetica"/>
                <w:sz w:val="18"/>
                <w:szCs w:val="18"/>
              </w:rPr>
            </w:pPr>
          </w:p>
        </w:tc>
        <w:tc>
          <w:tcPr>
            <w:tcW w:w="1222" w:type="dxa"/>
          </w:tcPr>
          <w:p w14:paraId="6B2822E5" w14:textId="77777777" w:rsidR="008B095B" w:rsidRPr="00A84C1C" w:rsidRDefault="008B095B" w:rsidP="008B095B">
            <w:pPr>
              <w:pStyle w:val="Compact"/>
              <w:jc w:val="center"/>
              <w:rPr>
                <w:rFonts w:ascii="Helvetica" w:hAnsi="Helvetica"/>
                <w:sz w:val="18"/>
                <w:szCs w:val="18"/>
              </w:rPr>
            </w:pPr>
          </w:p>
        </w:tc>
        <w:tc>
          <w:tcPr>
            <w:tcW w:w="1222" w:type="dxa"/>
          </w:tcPr>
          <w:p w14:paraId="7DCF9237" w14:textId="77777777" w:rsidR="008B095B" w:rsidRPr="00A84C1C" w:rsidRDefault="008B095B" w:rsidP="008B095B">
            <w:pPr>
              <w:pStyle w:val="Compact"/>
              <w:jc w:val="center"/>
              <w:rPr>
                <w:rFonts w:ascii="Helvetica" w:hAnsi="Helvetica"/>
                <w:sz w:val="18"/>
                <w:szCs w:val="18"/>
              </w:rPr>
            </w:pPr>
          </w:p>
        </w:tc>
        <w:tc>
          <w:tcPr>
            <w:tcW w:w="1222" w:type="dxa"/>
          </w:tcPr>
          <w:p w14:paraId="1F293EE5" w14:textId="77777777" w:rsidR="008B095B" w:rsidRPr="00A84C1C" w:rsidRDefault="008B095B" w:rsidP="008B095B">
            <w:pPr>
              <w:pStyle w:val="Compact"/>
              <w:jc w:val="center"/>
              <w:rPr>
                <w:rFonts w:ascii="Helvetica" w:hAnsi="Helvetica"/>
                <w:sz w:val="18"/>
                <w:szCs w:val="18"/>
              </w:rPr>
            </w:pPr>
          </w:p>
        </w:tc>
      </w:tr>
      <w:tr w:rsidR="008B095B" w:rsidRPr="00CC2F84" w14:paraId="3DFCECE3" w14:textId="77777777" w:rsidTr="0094789D">
        <w:tc>
          <w:tcPr>
            <w:tcW w:w="1157" w:type="dxa"/>
          </w:tcPr>
          <w:p w14:paraId="79E85A65" w14:textId="77777777" w:rsidR="008B095B" w:rsidRPr="00A84C1C" w:rsidRDefault="008B095B" w:rsidP="008B095B">
            <w:pPr>
              <w:pStyle w:val="Compact"/>
              <w:rPr>
                <w:rFonts w:ascii="Helvetica" w:hAnsi="Helvetica"/>
                <w:sz w:val="18"/>
                <w:szCs w:val="18"/>
              </w:rPr>
            </w:pPr>
          </w:p>
        </w:tc>
        <w:tc>
          <w:tcPr>
            <w:tcW w:w="979" w:type="dxa"/>
          </w:tcPr>
          <w:p w14:paraId="61E0DF15" w14:textId="77777777" w:rsidR="008B095B" w:rsidRPr="00A84C1C" w:rsidRDefault="008B095B" w:rsidP="008B095B">
            <w:pPr>
              <w:pStyle w:val="Compact"/>
              <w:rPr>
                <w:rFonts w:ascii="Helvetica" w:hAnsi="Helvetica"/>
                <w:sz w:val="18"/>
                <w:szCs w:val="18"/>
              </w:rPr>
            </w:pPr>
          </w:p>
        </w:tc>
        <w:tc>
          <w:tcPr>
            <w:tcW w:w="1223" w:type="dxa"/>
          </w:tcPr>
          <w:p w14:paraId="0ADB155A" w14:textId="77777777" w:rsidR="008B095B" w:rsidRPr="00A84C1C" w:rsidRDefault="008B095B" w:rsidP="008B095B">
            <w:pPr>
              <w:pStyle w:val="Compact"/>
              <w:jc w:val="center"/>
              <w:rPr>
                <w:rFonts w:ascii="Helvetica" w:hAnsi="Helvetica"/>
                <w:sz w:val="18"/>
                <w:szCs w:val="18"/>
              </w:rPr>
            </w:pPr>
          </w:p>
        </w:tc>
        <w:tc>
          <w:tcPr>
            <w:tcW w:w="1222" w:type="dxa"/>
          </w:tcPr>
          <w:p w14:paraId="11CEE6AE" w14:textId="77777777" w:rsidR="008B095B" w:rsidRPr="00A84C1C" w:rsidRDefault="008B095B" w:rsidP="008B095B">
            <w:pPr>
              <w:pStyle w:val="Compact"/>
              <w:jc w:val="center"/>
              <w:rPr>
                <w:rFonts w:ascii="Helvetica" w:hAnsi="Helvetica"/>
                <w:sz w:val="18"/>
                <w:szCs w:val="18"/>
              </w:rPr>
            </w:pPr>
          </w:p>
        </w:tc>
        <w:tc>
          <w:tcPr>
            <w:tcW w:w="1222" w:type="dxa"/>
          </w:tcPr>
          <w:p w14:paraId="4974518A" w14:textId="77777777" w:rsidR="008B095B" w:rsidRPr="00A84C1C" w:rsidRDefault="008B095B" w:rsidP="008B095B">
            <w:pPr>
              <w:pStyle w:val="Compact"/>
              <w:jc w:val="center"/>
              <w:rPr>
                <w:rFonts w:ascii="Helvetica" w:hAnsi="Helvetica"/>
                <w:sz w:val="18"/>
                <w:szCs w:val="18"/>
              </w:rPr>
            </w:pPr>
          </w:p>
        </w:tc>
        <w:tc>
          <w:tcPr>
            <w:tcW w:w="1222" w:type="dxa"/>
          </w:tcPr>
          <w:p w14:paraId="0E68FB0B" w14:textId="77777777" w:rsidR="008B095B" w:rsidRPr="00A84C1C" w:rsidRDefault="008B095B" w:rsidP="008B095B">
            <w:pPr>
              <w:pStyle w:val="Compact"/>
              <w:jc w:val="center"/>
              <w:rPr>
                <w:rFonts w:ascii="Helvetica" w:hAnsi="Helvetica"/>
                <w:sz w:val="18"/>
                <w:szCs w:val="18"/>
              </w:rPr>
            </w:pPr>
          </w:p>
        </w:tc>
        <w:tc>
          <w:tcPr>
            <w:tcW w:w="1222" w:type="dxa"/>
          </w:tcPr>
          <w:p w14:paraId="6C739BA7" w14:textId="77777777" w:rsidR="008B095B" w:rsidRPr="00A84C1C" w:rsidRDefault="008B095B" w:rsidP="008B095B">
            <w:pPr>
              <w:pStyle w:val="Compact"/>
              <w:jc w:val="center"/>
              <w:rPr>
                <w:rFonts w:ascii="Helvetica" w:hAnsi="Helvetica"/>
                <w:sz w:val="18"/>
                <w:szCs w:val="18"/>
              </w:rPr>
            </w:pPr>
          </w:p>
        </w:tc>
        <w:tc>
          <w:tcPr>
            <w:tcW w:w="1222" w:type="dxa"/>
          </w:tcPr>
          <w:p w14:paraId="2A273A86" w14:textId="77777777" w:rsidR="008B095B" w:rsidRPr="00A84C1C" w:rsidRDefault="008B095B" w:rsidP="008B095B">
            <w:pPr>
              <w:pStyle w:val="Compact"/>
              <w:jc w:val="center"/>
              <w:rPr>
                <w:rFonts w:ascii="Helvetica" w:hAnsi="Helvetica"/>
                <w:sz w:val="18"/>
                <w:szCs w:val="18"/>
              </w:rPr>
            </w:pPr>
          </w:p>
        </w:tc>
      </w:tr>
      <w:tr w:rsidR="008B095B" w:rsidRPr="00CC2F84" w14:paraId="36CA1667" w14:textId="77777777" w:rsidTr="0094789D">
        <w:tc>
          <w:tcPr>
            <w:tcW w:w="1157" w:type="dxa"/>
          </w:tcPr>
          <w:p w14:paraId="051B206F" w14:textId="77777777" w:rsidR="008B095B" w:rsidRPr="00A84C1C" w:rsidRDefault="008B095B" w:rsidP="008B095B">
            <w:pPr>
              <w:pStyle w:val="Compact"/>
              <w:rPr>
                <w:rFonts w:ascii="Helvetica" w:hAnsi="Helvetica"/>
                <w:sz w:val="18"/>
                <w:szCs w:val="18"/>
              </w:rPr>
            </w:pPr>
          </w:p>
        </w:tc>
        <w:tc>
          <w:tcPr>
            <w:tcW w:w="979" w:type="dxa"/>
          </w:tcPr>
          <w:p w14:paraId="7CB7EBAE" w14:textId="77777777" w:rsidR="008B095B" w:rsidRPr="00A84C1C" w:rsidRDefault="008B095B" w:rsidP="008B095B">
            <w:pPr>
              <w:pStyle w:val="Compact"/>
              <w:rPr>
                <w:rFonts w:ascii="Helvetica" w:hAnsi="Helvetica"/>
                <w:sz w:val="18"/>
                <w:szCs w:val="18"/>
              </w:rPr>
            </w:pPr>
          </w:p>
        </w:tc>
        <w:tc>
          <w:tcPr>
            <w:tcW w:w="1223" w:type="dxa"/>
          </w:tcPr>
          <w:p w14:paraId="36D97C9B" w14:textId="77777777" w:rsidR="008B095B" w:rsidRPr="00A84C1C" w:rsidRDefault="008B095B" w:rsidP="008B095B">
            <w:pPr>
              <w:pStyle w:val="Compact"/>
              <w:jc w:val="center"/>
              <w:rPr>
                <w:rFonts w:ascii="Helvetica" w:hAnsi="Helvetica"/>
                <w:sz w:val="18"/>
                <w:szCs w:val="18"/>
              </w:rPr>
            </w:pPr>
          </w:p>
        </w:tc>
        <w:tc>
          <w:tcPr>
            <w:tcW w:w="1222" w:type="dxa"/>
          </w:tcPr>
          <w:p w14:paraId="508E0CAA" w14:textId="77777777" w:rsidR="008B095B" w:rsidRPr="00A84C1C" w:rsidRDefault="008B095B" w:rsidP="008B095B">
            <w:pPr>
              <w:pStyle w:val="Compact"/>
              <w:jc w:val="center"/>
              <w:rPr>
                <w:rFonts w:ascii="Helvetica" w:hAnsi="Helvetica"/>
                <w:sz w:val="18"/>
                <w:szCs w:val="18"/>
              </w:rPr>
            </w:pPr>
          </w:p>
        </w:tc>
        <w:tc>
          <w:tcPr>
            <w:tcW w:w="1222" w:type="dxa"/>
          </w:tcPr>
          <w:p w14:paraId="7488C519" w14:textId="77777777" w:rsidR="008B095B" w:rsidRPr="00A84C1C" w:rsidRDefault="008B095B" w:rsidP="008B095B">
            <w:pPr>
              <w:pStyle w:val="Compact"/>
              <w:jc w:val="center"/>
              <w:rPr>
                <w:rFonts w:ascii="Helvetica" w:hAnsi="Helvetica"/>
                <w:sz w:val="18"/>
                <w:szCs w:val="18"/>
              </w:rPr>
            </w:pPr>
          </w:p>
        </w:tc>
        <w:tc>
          <w:tcPr>
            <w:tcW w:w="1222" w:type="dxa"/>
          </w:tcPr>
          <w:p w14:paraId="3DFE4D23" w14:textId="77777777" w:rsidR="008B095B" w:rsidRPr="00A84C1C" w:rsidRDefault="008B095B" w:rsidP="008B095B">
            <w:pPr>
              <w:pStyle w:val="Compact"/>
              <w:jc w:val="center"/>
              <w:rPr>
                <w:rFonts w:ascii="Helvetica" w:hAnsi="Helvetica"/>
                <w:sz w:val="18"/>
                <w:szCs w:val="18"/>
              </w:rPr>
            </w:pPr>
          </w:p>
        </w:tc>
        <w:tc>
          <w:tcPr>
            <w:tcW w:w="1222" w:type="dxa"/>
          </w:tcPr>
          <w:p w14:paraId="5FE217B2" w14:textId="77777777" w:rsidR="008B095B" w:rsidRPr="00A84C1C" w:rsidRDefault="008B095B" w:rsidP="008B095B">
            <w:pPr>
              <w:pStyle w:val="Compact"/>
              <w:jc w:val="center"/>
              <w:rPr>
                <w:rFonts w:ascii="Helvetica" w:hAnsi="Helvetica"/>
                <w:sz w:val="18"/>
                <w:szCs w:val="18"/>
              </w:rPr>
            </w:pPr>
          </w:p>
        </w:tc>
        <w:tc>
          <w:tcPr>
            <w:tcW w:w="1222" w:type="dxa"/>
          </w:tcPr>
          <w:p w14:paraId="7FB3FBA6" w14:textId="77777777" w:rsidR="008B095B" w:rsidRPr="00A84C1C" w:rsidRDefault="008B095B" w:rsidP="008B095B">
            <w:pPr>
              <w:pStyle w:val="Compact"/>
              <w:jc w:val="center"/>
              <w:rPr>
                <w:rFonts w:ascii="Helvetica" w:hAnsi="Helvetica"/>
                <w:sz w:val="18"/>
                <w:szCs w:val="18"/>
              </w:rPr>
            </w:pPr>
          </w:p>
        </w:tc>
      </w:tr>
    </w:tbl>
    <w:p w14:paraId="5FFF62CE" w14:textId="77777777" w:rsidR="00C40D09" w:rsidRPr="00CC2F84" w:rsidRDefault="00C40D09">
      <w:pPr>
        <w:pStyle w:val="BodyText"/>
        <w:rPr>
          <w:rFonts w:ascii="Helvetica" w:hAnsi="Helvetica"/>
          <w:b/>
          <w:bCs/>
        </w:rPr>
      </w:pPr>
    </w:p>
    <w:p w14:paraId="04DF72DA" w14:textId="77777777" w:rsidR="00C40D09" w:rsidRPr="00CC2F84" w:rsidRDefault="00C40D09">
      <w:pPr>
        <w:rPr>
          <w:rFonts w:ascii="Helvetica" w:hAnsi="Helvetica"/>
          <w:b/>
          <w:bCs/>
        </w:rPr>
      </w:pPr>
      <w:r w:rsidRPr="00CC2F84">
        <w:rPr>
          <w:rFonts w:ascii="Helvetica" w:hAnsi="Helvetica"/>
          <w:b/>
          <w:bCs/>
        </w:rPr>
        <w:br w:type="page"/>
      </w:r>
    </w:p>
    <w:p w14:paraId="24330A5F" w14:textId="637E71C5"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S4. Differential metrics between agricultural workers and the general community across regions and parameter sets.</w:t>
      </w:r>
      <w:r w:rsidRPr="00FE37B8">
        <w:rPr>
          <w:rFonts w:ascii="Helvetica" w:hAnsi="Helvetica"/>
          <w:sz w:val="20"/>
          <w:szCs w:val="20"/>
        </w:rPr>
        <w:t xml:space="preserve"> Peak prevalence ratio, final size ratio, peak timing difference, and maximum infection prevalence ratio between agricultural workers and the general community.</w:t>
      </w:r>
    </w:p>
    <w:tbl>
      <w:tblPr>
        <w:tblStyle w:val="Table"/>
        <w:tblW w:w="5000" w:type="pct"/>
        <w:tblLayout w:type="fixed"/>
        <w:tblLook w:val="0020" w:firstRow="1" w:lastRow="0" w:firstColumn="0" w:lastColumn="0" w:noHBand="0" w:noVBand="0"/>
      </w:tblPr>
      <w:tblGrid>
        <w:gridCol w:w="1336"/>
        <w:gridCol w:w="1336"/>
        <w:gridCol w:w="1672"/>
        <w:gridCol w:w="1672"/>
        <w:gridCol w:w="1672"/>
        <w:gridCol w:w="1672"/>
      </w:tblGrid>
      <w:tr w:rsidR="003C64F0" w:rsidRPr="00CC2F84" w14:paraId="7DBE980B" w14:textId="77777777" w:rsidTr="005872A5">
        <w:trPr>
          <w:cnfStyle w:val="100000000000" w:firstRow="1" w:lastRow="0" w:firstColumn="0" w:lastColumn="0" w:oddVBand="0" w:evenVBand="0" w:oddHBand="0" w:evenHBand="0" w:firstRowFirstColumn="0" w:firstRowLastColumn="0" w:lastRowFirstColumn="0" w:lastRowLastColumn="0"/>
          <w:tblHeader/>
        </w:trPr>
        <w:tc>
          <w:tcPr>
            <w:tcW w:w="1336" w:type="dxa"/>
          </w:tcPr>
          <w:p w14:paraId="5521B01C" w14:textId="77777777" w:rsidR="00AB7EBC" w:rsidRPr="00FE37B8" w:rsidRDefault="006B4661">
            <w:pPr>
              <w:pStyle w:val="Compact"/>
              <w:rPr>
                <w:rFonts w:ascii="Helvetica" w:hAnsi="Helvetica"/>
                <w:sz w:val="18"/>
                <w:szCs w:val="18"/>
              </w:rPr>
            </w:pPr>
            <w:r w:rsidRPr="00FE37B8">
              <w:rPr>
                <w:rFonts w:ascii="Helvetica" w:hAnsi="Helvetica"/>
                <w:sz w:val="18"/>
                <w:szCs w:val="18"/>
              </w:rPr>
              <w:t>Parameter set</w:t>
            </w:r>
          </w:p>
        </w:tc>
        <w:tc>
          <w:tcPr>
            <w:tcW w:w="1336" w:type="dxa"/>
          </w:tcPr>
          <w:p w14:paraId="086DF499" w14:textId="77777777" w:rsidR="00AB7EBC" w:rsidRPr="00FE37B8" w:rsidRDefault="006B4661">
            <w:pPr>
              <w:pStyle w:val="Compact"/>
              <w:rPr>
                <w:rFonts w:ascii="Helvetica" w:hAnsi="Helvetica"/>
                <w:sz w:val="18"/>
                <w:szCs w:val="18"/>
              </w:rPr>
            </w:pPr>
            <w:r w:rsidRPr="00FE37B8">
              <w:rPr>
                <w:rFonts w:ascii="Helvetica" w:hAnsi="Helvetica"/>
                <w:sz w:val="18"/>
                <w:szCs w:val="18"/>
              </w:rPr>
              <w:t>Region</w:t>
            </w:r>
          </w:p>
        </w:tc>
        <w:tc>
          <w:tcPr>
            <w:tcW w:w="1672" w:type="dxa"/>
          </w:tcPr>
          <w:p w14:paraId="7D4D3D9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Peak prevalence ratio</w:t>
            </w:r>
          </w:p>
        </w:tc>
        <w:tc>
          <w:tcPr>
            <w:tcW w:w="1672" w:type="dxa"/>
          </w:tcPr>
          <w:p w14:paraId="173FAF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Final size ratio</w:t>
            </w:r>
          </w:p>
        </w:tc>
        <w:tc>
          <w:tcPr>
            <w:tcW w:w="1672" w:type="dxa"/>
          </w:tcPr>
          <w:p w14:paraId="012B7B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Time difference (days)</w:t>
            </w:r>
          </w:p>
        </w:tc>
        <w:tc>
          <w:tcPr>
            <w:tcW w:w="1672" w:type="dxa"/>
          </w:tcPr>
          <w:p w14:paraId="7C30F89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prevalence ratio</w:t>
            </w:r>
          </w:p>
        </w:tc>
      </w:tr>
      <w:tr w:rsidR="003C64F0" w:rsidRPr="00CC2F84" w14:paraId="0169BC3A" w14:textId="77777777" w:rsidTr="005872A5">
        <w:tc>
          <w:tcPr>
            <w:tcW w:w="1336" w:type="dxa"/>
          </w:tcPr>
          <w:p w14:paraId="13DBD0B7" w14:textId="77777777" w:rsidR="00AB7EBC" w:rsidRPr="00FE37B8" w:rsidRDefault="006B4661">
            <w:pPr>
              <w:pStyle w:val="Compact"/>
              <w:rPr>
                <w:rFonts w:ascii="Helvetica" w:hAnsi="Helvetica"/>
                <w:sz w:val="18"/>
                <w:szCs w:val="18"/>
              </w:rPr>
            </w:pPr>
            <w:r w:rsidRPr="00FE37B8">
              <w:rPr>
                <w:rFonts w:ascii="Helvetica" w:hAnsi="Helvetica"/>
                <w:sz w:val="18"/>
                <w:szCs w:val="18"/>
              </w:rPr>
              <w:t>Baseline</w:t>
            </w:r>
          </w:p>
        </w:tc>
        <w:tc>
          <w:tcPr>
            <w:tcW w:w="1336" w:type="dxa"/>
          </w:tcPr>
          <w:p w14:paraId="72E2B38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7E0F157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672" w:type="dxa"/>
          </w:tcPr>
          <w:p w14:paraId="23B76F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4F501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4F7CCA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2.62</w:t>
            </w:r>
          </w:p>
        </w:tc>
      </w:tr>
      <w:tr w:rsidR="003C64F0" w:rsidRPr="00CC2F84" w14:paraId="41F2D8C5" w14:textId="77777777" w:rsidTr="005872A5">
        <w:tc>
          <w:tcPr>
            <w:tcW w:w="1336" w:type="dxa"/>
          </w:tcPr>
          <w:p w14:paraId="50669ECA" w14:textId="77777777" w:rsidR="00AB7EBC" w:rsidRPr="00FE37B8" w:rsidRDefault="00AB7EBC">
            <w:pPr>
              <w:pStyle w:val="Compact"/>
              <w:rPr>
                <w:rFonts w:ascii="Helvetica" w:hAnsi="Helvetica"/>
                <w:sz w:val="18"/>
                <w:szCs w:val="18"/>
              </w:rPr>
            </w:pPr>
          </w:p>
        </w:tc>
        <w:tc>
          <w:tcPr>
            <w:tcW w:w="1336" w:type="dxa"/>
          </w:tcPr>
          <w:p w14:paraId="0BE67B30"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24108A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1.45</w:t>
            </w:r>
          </w:p>
        </w:tc>
        <w:tc>
          <w:tcPr>
            <w:tcW w:w="1672" w:type="dxa"/>
          </w:tcPr>
          <w:p w14:paraId="29919A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51E0AB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332C34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53CC26ED" w14:textId="77777777" w:rsidTr="005872A5">
        <w:tc>
          <w:tcPr>
            <w:tcW w:w="1336" w:type="dxa"/>
          </w:tcPr>
          <w:p w14:paraId="1C72C2CD" w14:textId="77777777" w:rsidR="00AB7EBC" w:rsidRPr="00FE37B8" w:rsidRDefault="00AB7EBC">
            <w:pPr>
              <w:pStyle w:val="Compact"/>
              <w:rPr>
                <w:rFonts w:ascii="Helvetica" w:hAnsi="Helvetica"/>
                <w:sz w:val="18"/>
                <w:szCs w:val="18"/>
              </w:rPr>
            </w:pPr>
          </w:p>
        </w:tc>
        <w:tc>
          <w:tcPr>
            <w:tcW w:w="1336" w:type="dxa"/>
          </w:tcPr>
          <w:p w14:paraId="79A80604"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DFBB5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7C7288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50F9A8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14B3E1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1.74</w:t>
            </w:r>
          </w:p>
        </w:tc>
      </w:tr>
      <w:tr w:rsidR="003C64F0" w:rsidRPr="00CC2F84" w14:paraId="3E6FD92C" w14:textId="77777777" w:rsidTr="005872A5">
        <w:tc>
          <w:tcPr>
            <w:tcW w:w="1336" w:type="dxa"/>
          </w:tcPr>
          <w:p w14:paraId="59FE2F15" w14:textId="77777777" w:rsidR="00AB7EBC" w:rsidRPr="00FE37B8" w:rsidRDefault="00AB7EBC">
            <w:pPr>
              <w:pStyle w:val="Compact"/>
              <w:rPr>
                <w:rFonts w:ascii="Helvetica" w:hAnsi="Helvetica"/>
                <w:sz w:val="18"/>
                <w:szCs w:val="18"/>
              </w:rPr>
            </w:pPr>
          </w:p>
        </w:tc>
        <w:tc>
          <w:tcPr>
            <w:tcW w:w="1336" w:type="dxa"/>
          </w:tcPr>
          <w:p w14:paraId="0761226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34729BB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2BCCBF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68E713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03D5DC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1.75</w:t>
            </w:r>
          </w:p>
        </w:tc>
      </w:tr>
      <w:tr w:rsidR="003C64F0" w:rsidRPr="00CC2F84" w14:paraId="1EB381F4" w14:textId="77777777" w:rsidTr="005872A5">
        <w:tc>
          <w:tcPr>
            <w:tcW w:w="1336" w:type="dxa"/>
          </w:tcPr>
          <w:p w14:paraId="63EB36DD" w14:textId="77777777" w:rsidR="00AB7EBC" w:rsidRPr="00FE37B8" w:rsidRDefault="00AB7EBC">
            <w:pPr>
              <w:pStyle w:val="Compact"/>
              <w:rPr>
                <w:rFonts w:ascii="Helvetica" w:hAnsi="Helvetica"/>
                <w:sz w:val="18"/>
                <w:szCs w:val="18"/>
              </w:rPr>
            </w:pPr>
          </w:p>
        </w:tc>
        <w:tc>
          <w:tcPr>
            <w:tcW w:w="1336" w:type="dxa"/>
          </w:tcPr>
          <w:p w14:paraId="51A499D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32AFD4D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672" w:type="dxa"/>
          </w:tcPr>
          <w:p w14:paraId="1E84BA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64F4D45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1F83CF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2.52</w:t>
            </w:r>
          </w:p>
        </w:tc>
      </w:tr>
      <w:tr w:rsidR="003C64F0" w:rsidRPr="00CC2F84" w14:paraId="6A0CB578" w14:textId="77777777" w:rsidTr="005872A5">
        <w:tc>
          <w:tcPr>
            <w:tcW w:w="1336" w:type="dxa"/>
          </w:tcPr>
          <w:p w14:paraId="678D3917" w14:textId="77777777" w:rsidR="00AB7EBC" w:rsidRPr="00FE37B8" w:rsidRDefault="00AB7EBC">
            <w:pPr>
              <w:pStyle w:val="Compact"/>
              <w:rPr>
                <w:rFonts w:ascii="Helvetica" w:hAnsi="Helvetica"/>
                <w:sz w:val="18"/>
                <w:szCs w:val="18"/>
              </w:rPr>
            </w:pPr>
          </w:p>
        </w:tc>
        <w:tc>
          <w:tcPr>
            <w:tcW w:w="1336" w:type="dxa"/>
          </w:tcPr>
          <w:p w14:paraId="2FD4243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787D10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672" w:type="dxa"/>
          </w:tcPr>
          <w:p w14:paraId="70EC921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3EACA0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7F8D47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2.38</w:t>
            </w:r>
          </w:p>
        </w:tc>
      </w:tr>
      <w:tr w:rsidR="003C64F0" w:rsidRPr="00CC2F84" w14:paraId="2F4AAE98" w14:textId="77777777" w:rsidTr="005872A5">
        <w:tc>
          <w:tcPr>
            <w:tcW w:w="1336" w:type="dxa"/>
          </w:tcPr>
          <w:p w14:paraId="049AB828"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1.2</w:t>
            </w:r>
          </w:p>
        </w:tc>
        <w:tc>
          <w:tcPr>
            <w:tcW w:w="1336" w:type="dxa"/>
          </w:tcPr>
          <w:p w14:paraId="3E9777C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53DBBF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2.05</w:t>
            </w:r>
          </w:p>
        </w:tc>
        <w:tc>
          <w:tcPr>
            <w:tcW w:w="1672" w:type="dxa"/>
          </w:tcPr>
          <w:p w14:paraId="305ADF0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c>
          <w:tcPr>
            <w:tcW w:w="1672" w:type="dxa"/>
          </w:tcPr>
          <w:p w14:paraId="292A5C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w:t>
            </w:r>
          </w:p>
        </w:tc>
        <w:tc>
          <w:tcPr>
            <w:tcW w:w="1672" w:type="dxa"/>
          </w:tcPr>
          <w:p w14:paraId="592659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3.41</w:t>
            </w:r>
          </w:p>
        </w:tc>
      </w:tr>
      <w:tr w:rsidR="003C64F0" w:rsidRPr="00CC2F84" w14:paraId="077D42CF" w14:textId="77777777" w:rsidTr="005872A5">
        <w:tc>
          <w:tcPr>
            <w:tcW w:w="1336" w:type="dxa"/>
          </w:tcPr>
          <w:p w14:paraId="5F18BCE8" w14:textId="77777777" w:rsidR="00AB7EBC" w:rsidRPr="00FE37B8" w:rsidRDefault="00AB7EBC">
            <w:pPr>
              <w:pStyle w:val="Compact"/>
              <w:rPr>
                <w:rFonts w:ascii="Helvetica" w:hAnsi="Helvetica"/>
                <w:sz w:val="18"/>
                <w:szCs w:val="18"/>
              </w:rPr>
            </w:pPr>
          </w:p>
        </w:tc>
        <w:tc>
          <w:tcPr>
            <w:tcW w:w="1336" w:type="dxa"/>
          </w:tcPr>
          <w:p w14:paraId="5313F94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404E1E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c>
          <w:tcPr>
            <w:tcW w:w="1672" w:type="dxa"/>
          </w:tcPr>
          <w:p w14:paraId="1000D0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1.76</w:t>
            </w:r>
          </w:p>
        </w:tc>
        <w:tc>
          <w:tcPr>
            <w:tcW w:w="1672" w:type="dxa"/>
          </w:tcPr>
          <w:p w14:paraId="0A3D4F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672" w:type="dxa"/>
          </w:tcPr>
          <w:p w14:paraId="6D12DB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759EEECA" w14:textId="77777777" w:rsidTr="005872A5">
        <w:tc>
          <w:tcPr>
            <w:tcW w:w="1336" w:type="dxa"/>
          </w:tcPr>
          <w:p w14:paraId="6B78B479" w14:textId="77777777" w:rsidR="00AB7EBC" w:rsidRPr="00FE37B8" w:rsidRDefault="00AB7EBC">
            <w:pPr>
              <w:pStyle w:val="Compact"/>
              <w:rPr>
                <w:rFonts w:ascii="Helvetica" w:hAnsi="Helvetica"/>
                <w:sz w:val="18"/>
                <w:szCs w:val="18"/>
              </w:rPr>
            </w:pPr>
          </w:p>
        </w:tc>
        <w:tc>
          <w:tcPr>
            <w:tcW w:w="1336" w:type="dxa"/>
          </w:tcPr>
          <w:p w14:paraId="10B0656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5A2F7D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c>
          <w:tcPr>
            <w:tcW w:w="1672" w:type="dxa"/>
          </w:tcPr>
          <w:p w14:paraId="6ADE65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672" w:type="dxa"/>
          </w:tcPr>
          <w:p w14:paraId="70F5F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w:t>
            </w:r>
          </w:p>
        </w:tc>
        <w:tc>
          <w:tcPr>
            <w:tcW w:w="1672" w:type="dxa"/>
          </w:tcPr>
          <w:p w14:paraId="277CB0F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2C4E4AEF" w14:textId="77777777" w:rsidTr="005872A5">
        <w:tc>
          <w:tcPr>
            <w:tcW w:w="1336" w:type="dxa"/>
          </w:tcPr>
          <w:p w14:paraId="6D3BB883" w14:textId="77777777" w:rsidR="00AB7EBC" w:rsidRPr="00FE37B8" w:rsidRDefault="00AB7EBC">
            <w:pPr>
              <w:pStyle w:val="Compact"/>
              <w:rPr>
                <w:rFonts w:ascii="Helvetica" w:hAnsi="Helvetica"/>
                <w:sz w:val="18"/>
                <w:szCs w:val="18"/>
              </w:rPr>
            </w:pPr>
          </w:p>
        </w:tc>
        <w:tc>
          <w:tcPr>
            <w:tcW w:w="1336" w:type="dxa"/>
          </w:tcPr>
          <w:p w14:paraId="2722607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6CDB9E3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40511D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672" w:type="dxa"/>
          </w:tcPr>
          <w:p w14:paraId="02D5B9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5C4A5F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46B18A8D" w14:textId="77777777" w:rsidTr="005872A5">
        <w:tc>
          <w:tcPr>
            <w:tcW w:w="1336" w:type="dxa"/>
          </w:tcPr>
          <w:p w14:paraId="529D82C6" w14:textId="77777777" w:rsidR="00AB7EBC" w:rsidRPr="00FE37B8" w:rsidRDefault="00AB7EBC">
            <w:pPr>
              <w:pStyle w:val="Compact"/>
              <w:rPr>
                <w:rFonts w:ascii="Helvetica" w:hAnsi="Helvetica"/>
                <w:sz w:val="18"/>
                <w:szCs w:val="18"/>
              </w:rPr>
            </w:pPr>
          </w:p>
        </w:tc>
        <w:tc>
          <w:tcPr>
            <w:tcW w:w="1336" w:type="dxa"/>
          </w:tcPr>
          <w:p w14:paraId="7FAEB87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6CE8E6C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c>
          <w:tcPr>
            <w:tcW w:w="1672" w:type="dxa"/>
          </w:tcPr>
          <w:p w14:paraId="3DEA70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c>
          <w:tcPr>
            <w:tcW w:w="1672" w:type="dxa"/>
          </w:tcPr>
          <w:p w14:paraId="65E05E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w:t>
            </w:r>
          </w:p>
        </w:tc>
        <w:tc>
          <w:tcPr>
            <w:tcW w:w="1672" w:type="dxa"/>
          </w:tcPr>
          <w:p w14:paraId="6B9ED0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3.12</w:t>
            </w:r>
          </w:p>
        </w:tc>
      </w:tr>
      <w:tr w:rsidR="003C64F0" w:rsidRPr="00CC2F84" w14:paraId="16D4FBD9" w14:textId="77777777" w:rsidTr="005872A5">
        <w:tc>
          <w:tcPr>
            <w:tcW w:w="1336" w:type="dxa"/>
          </w:tcPr>
          <w:p w14:paraId="241D2B26" w14:textId="77777777" w:rsidR="00AB7EBC" w:rsidRPr="00FE37B8" w:rsidRDefault="00AB7EBC">
            <w:pPr>
              <w:pStyle w:val="Compact"/>
              <w:rPr>
                <w:rFonts w:ascii="Helvetica" w:hAnsi="Helvetica"/>
                <w:sz w:val="18"/>
                <w:szCs w:val="18"/>
              </w:rPr>
            </w:pPr>
          </w:p>
        </w:tc>
        <w:tc>
          <w:tcPr>
            <w:tcW w:w="1336" w:type="dxa"/>
          </w:tcPr>
          <w:p w14:paraId="0E0D28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29CAF1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c>
          <w:tcPr>
            <w:tcW w:w="1672" w:type="dxa"/>
          </w:tcPr>
          <w:p w14:paraId="69AE3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5AE8A2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w:t>
            </w:r>
          </w:p>
        </w:tc>
        <w:tc>
          <w:tcPr>
            <w:tcW w:w="1672" w:type="dxa"/>
          </w:tcPr>
          <w:p w14:paraId="29A0BF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2.83</w:t>
            </w:r>
          </w:p>
        </w:tc>
      </w:tr>
      <w:tr w:rsidR="003C64F0" w:rsidRPr="00CC2F84" w14:paraId="3DB63C38" w14:textId="77777777" w:rsidTr="005872A5">
        <w:tc>
          <w:tcPr>
            <w:tcW w:w="1336" w:type="dxa"/>
          </w:tcPr>
          <w:p w14:paraId="03CE7D44"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2</w:t>
            </w:r>
          </w:p>
        </w:tc>
        <w:tc>
          <w:tcPr>
            <w:tcW w:w="1336" w:type="dxa"/>
          </w:tcPr>
          <w:p w14:paraId="23A84D7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0AB12E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4A5FC3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672" w:type="dxa"/>
          </w:tcPr>
          <w:p w14:paraId="56DDE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1B0C3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2.09</w:t>
            </w:r>
          </w:p>
        </w:tc>
      </w:tr>
      <w:tr w:rsidR="003C64F0" w:rsidRPr="00CC2F84" w14:paraId="3E8785B8" w14:textId="77777777" w:rsidTr="005872A5">
        <w:tc>
          <w:tcPr>
            <w:tcW w:w="1336" w:type="dxa"/>
          </w:tcPr>
          <w:p w14:paraId="1330F25C" w14:textId="77777777" w:rsidR="00AB7EBC" w:rsidRPr="00FE37B8" w:rsidRDefault="00AB7EBC">
            <w:pPr>
              <w:pStyle w:val="Compact"/>
              <w:rPr>
                <w:rFonts w:ascii="Helvetica" w:hAnsi="Helvetica"/>
                <w:sz w:val="18"/>
                <w:szCs w:val="18"/>
              </w:rPr>
            </w:pPr>
          </w:p>
        </w:tc>
        <w:tc>
          <w:tcPr>
            <w:tcW w:w="1336" w:type="dxa"/>
          </w:tcPr>
          <w:p w14:paraId="57CE67DF"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2473B5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060886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672" w:type="dxa"/>
          </w:tcPr>
          <w:p w14:paraId="100B0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1127CA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2.19</w:t>
            </w:r>
          </w:p>
        </w:tc>
      </w:tr>
      <w:tr w:rsidR="003C64F0" w:rsidRPr="00CC2F84" w14:paraId="593EC757" w14:textId="77777777" w:rsidTr="005872A5">
        <w:tc>
          <w:tcPr>
            <w:tcW w:w="1336" w:type="dxa"/>
          </w:tcPr>
          <w:p w14:paraId="7021B6B6" w14:textId="77777777" w:rsidR="00AB7EBC" w:rsidRPr="00FE37B8" w:rsidRDefault="00AB7EBC">
            <w:pPr>
              <w:pStyle w:val="Compact"/>
              <w:rPr>
                <w:rFonts w:ascii="Helvetica" w:hAnsi="Helvetica"/>
                <w:sz w:val="18"/>
                <w:szCs w:val="18"/>
              </w:rPr>
            </w:pPr>
          </w:p>
        </w:tc>
        <w:tc>
          <w:tcPr>
            <w:tcW w:w="1336" w:type="dxa"/>
          </w:tcPr>
          <w:p w14:paraId="586B6046"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2A5936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3B8D65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672" w:type="dxa"/>
          </w:tcPr>
          <w:p w14:paraId="3A69C02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05FD15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r>
      <w:tr w:rsidR="003C64F0" w:rsidRPr="00CC2F84" w14:paraId="7557F226" w14:textId="77777777" w:rsidTr="005872A5">
        <w:tc>
          <w:tcPr>
            <w:tcW w:w="1336" w:type="dxa"/>
          </w:tcPr>
          <w:p w14:paraId="58722ED1" w14:textId="77777777" w:rsidR="00AB7EBC" w:rsidRPr="00FE37B8" w:rsidRDefault="00AB7EBC">
            <w:pPr>
              <w:pStyle w:val="Compact"/>
              <w:rPr>
                <w:rFonts w:ascii="Helvetica" w:hAnsi="Helvetica"/>
                <w:sz w:val="18"/>
                <w:szCs w:val="18"/>
              </w:rPr>
            </w:pPr>
          </w:p>
        </w:tc>
        <w:tc>
          <w:tcPr>
            <w:tcW w:w="1336" w:type="dxa"/>
          </w:tcPr>
          <w:p w14:paraId="2F7AFC71"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1C333F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7524C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672" w:type="dxa"/>
          </w:tcPr>
          <w:p w14:paraId="1EA04C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06A7FB1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649E850E" w14:textId="77777777" w:rsidTr="005872A5">
        <w:tc>
          <w:tcPr>
            <w:tcW w:w="1336" w:type="dxa"/>
          </w:tcPr>
          <w:p w14:paraId="49F18B5F" w14:textId="77777777" w:rsidR="00AB7EBC" w:rsidRPr="00FE37B8" w:rsidRDefault="00AB7EBC">
            <w:pPr>
              <w:pStyle w:val="Compact"/>
              <w:rPr>
                <w:rFonts w:ascii="Helvetica" w:hAnsi="Helvetica"/>
                <w:sz w:val="18"/>
                <w:szCs w:val="18"/>
              </w:rPr>
            </w:pPr>
          </w:p>
        </w:tc>
        <w:tc>
          <w:tcPr>
            <w:tcW w:w="1336" w:type="dxa"/>
          </w:tcPr>
          <w:p w14:paraId="527CA72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132690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4985B48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672" w:type="dxa"/>
          </w:tcPr>
          <w:p w14:paraId="296B06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09E9AD0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2.07</w:t>
            </w:r>
          </w:p>
        </w:tc>
      </w:tr>
      <w:tr w:rsidR="003C64F0" w:rsidRPr="00CC2F84" w14:paraId="4B87CA3B" w14:textId="77777777" w:rsidTr="005872A5">
        <w:tc>
          <w:tcPr>
            <w:tcW w:w="1336" w:type="dxa"/>
          </w:tcPr>
          <w:p w14:paraId="306362CC" w14:textId="77777777" w:rsidR="00AB7EBC" w:rsidRPr="00FE37B8" w:rsidRDefault="00AB7EBC">
            <w:pPr>
              <w:pStyle w:val="Compact"/>
              <w:rPr>
                <w:rFonts w:ascii="Helvetica" w:hAnsi="Helvetica"/>
                <w:sz w:val="18"/>
                <w:szCs w:val="18"/>
              </w:rPr>
            </w:pPr>
          </w:p>
        </w:tc>
        <w:tc>
          <w:tcPr>
            <w:tcW w:w="1336" w:type="dxa"/>
          </w:tcPr>
          <w:p w14:paraId="6FD1F77C"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651045E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3C56CA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1.08</w:t>
            </w:r>
          </w:p>
        </w:tc>
        <w:tc>
          <w:tcPr>
            <w:tcW w:w="1672" w:type="dxa"/>
          </w:tcPr>
          <w:p w14:paraId="68B09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5A13FA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33568007" w14:textId="77777777" w:rsidTr="005872A5">
        <w:tc>
          <w:tcPr>
            <w:tcW w:w="1336" w:type="dxa"/>
          </w:tcPr>
          <w:p w14:paraId="33660689"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3</w:t>
            </w:r>
          </w:p>
        </w:tc>
        <w:tc>
          <w:tcPr>
            <w:tcW w:w="1336" w:type="dxa"/>
          </w:tcPr>
          <w:p w14:paraId="6C158C16"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1AC0B6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103F099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5D5F0FF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22F530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B7297C1" w14:textId="77777777" w:rsidTr="005872A5">
        <w:tc>
          <w:tcPr>
            <w:tcW w:w="1336" w:type="dxa"/>
          </w:tcPr>
          <w:p w14:paraId="187A5E98" w14:textId="77777777" w:rsidR="00AB7EBC" w:rsidRPr="00FE37B8" w:rsidRDefault="00AB7EBC">
            <w:pPr>
              <w:pStyle w:val="Compact"/>
              <w:rPr>
                <w:rFonts w:ascii="Helvetica" w:hAnsi="Helvetica"/>
                <w:sz w:val="18"/>
                <w:szCs w:val="18"/>
              </w:rPr>
            </w:pPr>
          </w:p>
        </w:tc>
        <w:tc>
          <w:tcPr>
            <w:tcW w:w="1336" w:type="dxa"/>
          </w:tcPr>
          <w:p w14:paraId="298B9CBA"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6C0845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1453366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575BD4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78ED87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DCE6043" w14:textId="77777777" w:rsidTr="005872A5">
        <w:tc>
          <w:tcPr>
            <w:tcW w:w="1336" w:type="dxa"/>
          </w:tcPr>
          <w:p w14:paraId="06349185" w14:textId="77777777" w:rsidR="00AB7EBC" w:rsidRPr="00FE37B8" w:rsidRDefault="00AB7EBC">
            <w:pPr>
              <w:pStyle w:val="Compact"/>
              <w:rPr>
                <w:rFonts w:ascii="Helvetica" w:hAnsi="Helvetica"/>
                <w:sz w:val="18"/>
                <w:szCs w:val="18"/>
              </w:rPr>
            </w:pPr>
          </w:p>
        </w:tc>
        <w:tc>
          <w:tcPr>
            <w:tcW w:w="1336" w:type="dxa"/>
          </w:tcPr>
          <w:p w14:paraId="29BF5CF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2D5DDA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672" w:type="dxa"/>
          </w:tcPr>
          <w:p w14:paraId="04A676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012093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59D650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1.34</w:t>
            </w:r>
          </w:p>
        </w:tc>
      </w:tr>
      <w:tr w:rsidR="003C64F0" w:rsidRPr="00CC2F84" w14:paraId="1E692ACC" w14:textId="77777777" w:rsidTr="005872A5">
        <w:tc>
          <w:tcPr>
            <w:tcW w:w="1336" w:type="dxa"/>
          </w:tcPr>
          <w:p w14:paraId="414F92BA" w14:textId="77777777" w:rsidR="00AB7EBC" w:rsidRPr="00FE37B8" w:rsidRDefault="00AB7EBC">
            <w:pPr>
              <w:pStyle w:val="Compact"/>
              <w:rPr>
                <w:rFonts w:ascii="Helvetica" w:hAnsi="Helvetica"/>
                <w:sz w:val="18"/>
                <w:szCs w:val="18"/>
              </w:rPr>
            </w:pPr>
          </w:p>
        </w:tc>
        <w:tc>
          <w:tcPr>
            <w:tcW w:w="1336" w:type="dxa"/>
          </w:tcPr>
          <w:p w14:paraId="24BCBFBD"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78148B2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672" w:type="dxa"/>
          </w:tcPr>
          <w:p w14:paraId="472B3A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1.01</w:t>
            </w:r>
          </w:p>
        </w:tc>
        <w:tc>
          <w:tcPr>
            <w:tcW w:w="1672" w:type="dxa"/>
          </w:tcPr>
          <w:p w14:paraId="6076BA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45E5DD5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54EF2473" w14:textId="77777777" w:rsidTr="005872A5">
        <w:tc>
          <w:tcPr>
            <w:tcW w:w="1336" w:type="dxa"/>
          </w:tcPr>
          <w:p w14:paraId="439BA5EE" w14:textId="77777777" w:rsidR="00AB7EBC" w:rsidRPr="00FE37B8" w:rsidRDefault="00AB7EBC">
            <w:pPr>
              <w:pStyle w:val="Compact"/>
              <w:rPr>
                <w:rFonts w:ascii="Helvetica" w:hAnsi="Helvetica"/>
                <w:sz w:val="18"/>
                <w:szCs w:val="18"/>
              </w:rPr>
            </w:pPr>
          </w:p>
        </w:tc>
        <w:tc>
          <w:tcPr>
            <w:tcW w:w="1336" w:type="dxa"/>
          </w:tcPr>
          <w:p w14:paraId="453982C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4A5B45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2A80F3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301012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73A67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r>
      <w:tr w:rsidR="003C64F0" w:rsidRPr="00CC2F84" w14:paraId="6F03D662" w14:textId="77777777" w:rsidTr="005872A5">
        <w:tc>
          <w:tcPr>
            <w:tcW w:w="1336" w:type="dxa"/>
          </w:tcPr>
          <w:p w14:paraId="75562890" w14:textId="77777777" w:rsidR="00AB7EBC" w:rsidRPr="00FE37B8" w:rsidRDefault="00AB7EBC">
            <w:pPr>
              <w:pStyle w:val="Compact"/>
              <w:rPr>
                <w:rFonts w:ascii="Helvetica" w:hAnsi="Helvetica"/>
                <w:sz w:val="18"/>
                <w:szCs w:val="18"/>
              </w:rPr>
            </w:pPr>
          </w:p>
        </w:tc>
        <w:tc>
          <w:tcPr>
            <w:tcW w:w="1336" w:type="dxa"/>
          </w:tcPr>
          <w:p w14:paraId="055F25E2"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2E3D15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786D18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0C5F13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367CDB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47F7DDA" w14:textId="77777777" w:rsidTr="005872A5">
        <w:tc>
          <w:tcPr>
            <w:tcW w:w="1336" w:type="dxa"/>
          </w:tcPr>
          <w:p w14:paraId="01444E5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0.75</w:t>
            </w:r>
          </w:p>
        </w:tc>
        <w:tc>
          <w:tcPr>
            <w:tcW w:w="1336" w:type="dxa"/>
          </w:tcPr>
          <w:p w14:paraId="347DFFE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60CEFF6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672" w:type="dxa"/>
          </w:tcPr>
          <w:p w14:paraId="002930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47440B4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672" w:type="dxa"/>
          </w:tcPr>
          <w:p w14:paraId="1871E5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3.14</w:t>
            </w:r>
          </w:p>
        </w:tc>
      </w:tr>
      <w:tr w:rsidR="003C64F0" w:rsidRPr="00CC2F84" w14:paraId="08AF3C82" w14:textId="77777777" w:rsidTr="005872A5">
        <w:tc>
          <w:tcPr>
            <w:tcW w:w="1336" w:type="dxa"/>
          </w:tcPr>
          <w:p w14:paraId="0A0C002C" w14:textId="77777777" w:rsidR="00AB7EBC" w:rsidRPr="00FE37B8" w:rsidRDefault="00AB7EBC">
            <w:pPr>
              <w:pStyle w:val="Compact"/>
              <w:rPr>
                <w:rFonts w:ascii="Helvetica" w:hAnsi="Helvetica"/>
                <w:sz w:val="18"/>
                <w:szCs w:val="18"/>
              </w:rPr>
            </w:pPr>
          </w:p>
        </w:tc>
        <w:tc>
          <w:tcPr>
            <w:tcW w:w="1336" w:type="dxa"/>
          </w:tcPr>
          <w:p w14:paraId="096F41A6"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0C36307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c>
          <w:tcPr>
            <w:tcW w:w="1672" w:type="dxa"/>
          </w:tcPr>
          <w:p w14:paraId="15EEBA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0282DA5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672" w:type="dxa"/>
          </w:tcPr>
          <w:p w14:paraId="70FF2EB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3.37</w:t>
            </w:r>
          </w:p>
        </w:tc>
      </w:tr>
      <w:tr w:rsidR="003C64F0" w:rsidRPr="00CC2F84" w14:paraId="275E6268" w14:textId="77777777" w:rsidTr="005872A5">
        <w:tc>
          <w:tcPr>
            <w:tcW w:w="1336" w:type="dxa"/>
          </w:tcPr>
          <w:p w14:paraId="45B1098A" w14:textId="77777777" w:rsidR="00AB7EBC" w:rsidRPr="00FE37B8" w:rsidRDefault="00AB7EBC">
            <w:pPr>
              <w:pStyle w:val="Compact"/>
              <w:rPr>
                <w:rFonts w:ascii="Helvetica" w:hAnsi="Helvetica"/>
                <w:sz w:val="18"/>
                <w:szCs w:val="18"/>
              </w:rPr>
            </w:pPr>
          </w:p>
        </w:tc>
        <w:tc>
          <w:tcPr>
            <w:tcW w:w="1336" w:type="dxa"/>
          </w:tcPr>
          <w:p w14:paraId="33C7C37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11A22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15E0C9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6B95FA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73BFFD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1.95</w:t>
            </w:r>
          </w:p>
        </w:tc>
      </w:tr>
      <w:tr w:rsidR="003C64F0" w:rsidRPr="00CC2F84" w14:paraId="203C278A" w14:textId="77777777" w:rsidTr="005872A5">
        <w:tc>
          <w:tcPr>
            <w:tcW w:w="1336" w:type="dxa"/>
          </w:tcPr>
          <w:p w14:paraId="6AF20905" w14:textId="77777777" w:rsidR="00AB7EBC" w:rsidRPr="00FE37B8" w:rsidRDefault="00AB7EBC">
            <w:pPr>
              <w:pStyle w:val="Compact"/>
              <w:rPr>
                <w:rFonts w:ascii="Helvetica" w:hAnsi="Helvetica"/>
                <w:sz w:val="18"/>
                <w:szCs w:val="18"/>
              </w:rPr>
            </w:pPr>
          </w:p>
        </w:tc>
        <w:tc>
          <w:tcPr>
            <w:tcW w:w="1336" w:type="dxa"/>
          </w:tcPr>
          <w:p w14:paraId="6250EB77"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5662E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4C1622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0826678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445F89F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1.96</w:t>
            </w:r>
          </w:p>
        </w:tc>
      </w:tr>
      <w:tr w:rsidR="003C64F0" w:rsidRPr="00CC2F84" w14:paraId="6D896DB8" w14:textId="77777777" w:rsidTr="005872A5">
        <w:tc>
          <w:tcPr>
            <w:tcW w:w="1336" w:type="dxa"/>
          </w:tcPr>
          <w:p w14:paraId="3EC5A110" w14:textId="77777777" w:rsidR="00AB7EBC" w:rsidRPr="00FE37B8" w:rsidRDefault="00AB7EBC">
            <w:pPr>
              <w:pStyle w:val="Compact"/>
              <w:rPr>
                <w:rFonts w:ascii="Helvetica" w:hAnsi="Helvetica"/>
                <w:sz w:val="18"/>
                <w:szCs w:val="18"/>
              </w:rPr>
            </w:pPr>
          </w:p>
        </w:tc>
        <w:tc>
          <w:tcPr>
            <w:tcW w:w="1336" w:type="dxa"/>
          </w:tcPr>
          <w:p w14:paraId="3EC0CB0A"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053A0B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c>
          <w:tcPr>
            <w:tcW w:w="1672" w:type="dxa"/>
          </w:tcPr>
          <w:p w14:paraId="1ED86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6E348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672" w:type="dxa"/>
          </w:tcPr>
          <w:p w14:paraId="70970A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3.00</w:t>
            </w:r>
          </w:p>
        </w:tc>
      </w:tr>
      <w:tr w:rsidR="003C64F0" w:rsidRPr="00CC2F84" w14:paraId="761B43EF" w14:textId="77777777" w:rsidTr="005872A5">
        <w:tc>
          <w:tcPr>
            <w:tcW w:w="1336" w:type="dxa"/>
          </w:tcPr>
          <w:p w14:paraId="4C432228" w14:textId="77777777" w:rsidR="00AB7EBC" w:rsidRPr="00FE37B8" w:rsidRDefault="00AB7EBC">
            <w:pPr>
              <w:pStyle w:val="Compact"/>
              <w:rPr>
                <w:rFonts w:ascii="Helvetica" w:hAnsi="Helvetica"/>
                <w:sz w:val="18"/>
                <w:szCs w:val="18"/>
              </w:rPr>
            </w:pPr>
          </w:p>
        </w:tc>
        <w:tc>
          <w:tcPr>
            <w:tcW w:w="1336" w:type="dxa"/>
          </w:tcPr>
          <w:p w14:paraId="46822B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0ABF44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1.43</w:t>
            </w:r>
          </w:p>
        </w:tc>
        <w:tc>
          <w:tcPr>
            <w:tcW w:w="1672" w:type="dxa"/>
          </w:tcPr>
          <w:p w14:paraId="66B786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29C15B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79F2E3D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0330E826" w14:textId="77777777" w:rsidTr="005872A5">
        <w:tc>
          <w:tcPr>
            <w:tcW w:w="1336" w:type="dxa"/>
          </w:tcPr>
          <w:p w14:paraId="0F0A14B3"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0.5</w:t>
            </w:r>
          </w:p>
        </w:tc>
        <w:tc>
          <w:tcPr>
            <w:tcW w:w="1336" w:type="dxa"/>
          </w:tcPr>
          <w:p w14:paraId="10C8C7A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01A04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672" w:type="dxa"/>
          </w:tcPr>
          <w:p w14:paraId="7DC811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7F4D10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4A7B9C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1.99</w:t>
            </w:r>
          </w:p>
        </w:tc>
      </w:tr>
      <w:tr w:rsidR="003C64F0" w:rsidRPr="00CC2F84" w14:paraId="79659B6E" w14:textId="77777777" w:rsidTr="005872A5">
        <w:tc>
          <w:tcPr>
            <w:tcW w:w="1336" w:type="dxa"/>
          </w:tcPr>
          <w:p w14:paraId="0646AC03" w14:textId="77777777" w:rsidR="00AB7EBC" w:rsidRPr="00FE37B8" w:rsidRDefault="00AB7EBC">
            <w:pPr>
              <w:pStyle w:val="Compact"/>
              <w:rPr>
                <w:rFonts w:ascii="Helvetica" w:hAnsi="Helvetica"/>
                <w:sz w:val="18"/>
                <w:szCs w:val="18"/>
              </w:rPr>
            </w:pPr>
          </w:p>
        </w:tc>
        <w:tc>
          <w:tcPr>
            <w:tcW w:w="1336" w:type="dxa"/>
          </w:tcPr>
          <w:p w14:paraId="6041970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4F4BD1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672" w:type="dxa"/>
          </w:tcPr>
          <w:p w14:paraId="2AA7D4D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039D7D0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4BD30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2.08</w:t>
            </w:r>
          </w:p>
        </w:tc>
      </w:tr>
      <w:tr w:rsidR="003C64F0" w:rsidRPr="00CC2F84" w14:paraId="3D2ACA01" w14:textId="77777777" w:rsidTr="005872A5">
        <w:tc>
          <w:tcPr>
            <w:tcW w:w="1336" w:type="dxa"/>
          </w:tcPr>
          <w:p w14:paraId="4A08D055" w14:textId="77777777" w:rsidR="00AB7EBC" w:rsidRPr="00FE37B8" w:rsidRDefault="00AB7EBC">
            <w:pPr>
              <w:pStyle w:val="Compact"/>
              <w:rPr>
                <w:rFonts w:ascii="Helvetica" w:hAnsi="Helvetica"/>
                <w:sz w:val="18"/>
                <w:szCs w:val="18"/>
              </w:rPr>
            </w:pPr>
          </w:p>
        </w:tc>
        <w:tc>
          <w:tcPr>
            <w:tcW w:w="1336" w:type="dxa"/>
          </w:tcPr>
          <w:p w14:paraId="4F2D33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140A9D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7641A16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4EDA1E7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20CEEB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r>
      <w:tr w:rsidR="003C64F0" w:rsidRPr="00CC2F84" w14:paraId="42106E76" w14:textId="77777777" w:rsidTr="005872A5">
        <w:tc>
          <w:tcPr>
            <w:tcW w:w="1336" w:type="dxa"/>
          </w:tcPr>
          <w:p w14:paraId="2D94698C" w14:textId="77777777" w:rsidR="00AB7EBC" w:rsidRPr="00FE37B8" w:rsidRDefault="00AB7EBC">
            <w:pPr>
              <w:pStyle w:val="Compact"/>
              <w:rPr>
                <w:rFonts w:ascii="Helvetica" w:hAnsi="Helvetica"/>
                <w:sz w:val="18"/>
                <w:szCs w:val="18"/>
              </w:rPr>
            </w:pPr>
          </w:p>
        </w:tc>
        <w:tc>
          <w:tcPr>
            <w:tcW w:w="1336" w:type="dxa"/>
          </w:tcPr>
          <w:p w14:paraId="31A1E9E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2B9694F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4ADE7A7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540DD9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3256A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r>
      <w:tr w:rsidR="003C64F0" w:rsidRPr="00CC2F84" w14:paraId="0C43AE81" w14:textId="77777777" w:rsidTr="005872A5">
        <w:tc>
          <w:tcPr>
            <w:tcW w:w="1336" w:type="dxa"/>
          </w:tcPr>
          <w:p w14:paraId="0B6A7A24" w14:textId="77777777" w:rsidR="00AB7EBC" w:rsidRPr="00FE37B8" w:rsidRDefault="00AB7EBC">
            <w:pPr>
              <w:pStyle w:val="Compact"/>
              <w:rPr>
                <w:rFonts w:ascii="Helvetica" w:hAnsi="Helvetica"/>
                <w:sz w:val="18"/>
                <w:szCs w:val="18"/>
              </w:rPr>
            </w:pPr>
          </w:p>
        </w:tc>
        <w:tc>
          <w:tcPr>
            <w:tcW w:w="1336" w:type="dxa"/>
          </w:tcPr>
          <w:p w14:paraId="0EDC5F51"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37416E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672" w:type="dxa"/>
          </w:tcPr>
          <w:p w14:paraId="643F00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600D41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77A83D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1.94</w:t>
            </w:r>
          </w:p>
        </w:tc>
      </w:tr>
      <w:tr w:rsidR="003C64F0" w:rsidRPr="00CC2F84" w14:paraId="4856C39F" w14:textId="77777777" w:rsidTr="005872A5">
        <w:tc>
          <w:tcPr>
            <w:tcW w:w="1336" w:type="dxa"/>
          </w:tcPr>
          <w:p w14:paraId="1B8A38F2" w14:textId="77777777" w:rsidR="00AB7EBC" w:rsidRPr="00FE37B8" w:rsidRDefault="00AB7EBC">
            <w:pPr>
              <w:pStyle w:val="Compact"/>
              <w:rPr>
                <w:rFonts w:ascii="Helvetica" w:hAnsi="Helvetica"/>
                <w:sz w:val="18"/>
                <w:szCs w:val="18"/>
              </w:rPr>
            </w:pPr>
          </w:p>
        </w:tc>
        <w:tc>
          <w:tcPr>
            <w:tcW w:w="1336" w:type="dxa"/>
          </w:tcPr>
          <w:p w14:paraId="20B76A97"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3780F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68D2DCB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7C69A2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7B7EBE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1.88</w:t>
            </w:r>
          </w:p>
        </w:tc>
      </w:tr>
      <w:tr w:rsidR="003C64F0" w:rsidRPr="00CC2F84" w14:paraId="2007942F" w14:textId="77777777" w:rsidTr="005872A5">
        <w:tc>
          <w:tcPr>
            <w:tcW w:w="1336" w:type="dxa"/>
          </w:tcPr>
          <w:p w14:paraId="439B812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0.33</w:t>
            </w:r>
          </w:p>
        </w:tc>
        <w:tc>
          <w:tcPr>
            <w:tcW w:w="1336" w:type="dxa"/>
          </w:tcPr>
          <w:p w14:paraId="3FB69F91"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5C1454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1306B94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03FED3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6202C9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E119614" w14:textId="77777777" w:rsidTr="005872A5">
        <w:tc>
          <w:tcPr>
            <w:tcW w:w="1336" w:type="dxa"/>
          </w:tcPr>
          <w:p w14:paraId="5DCC8193" w14:textId="77777777" w:rsidR="00AB7EBC" w:rsidRPr="00FE37B8" w:rsidRDefault="00AB7EBC">
            <w:pPr>
              <w:pStyle w:val="Compact"/>
              <w:rPr>
                <w:rFonts w:ascii="Helvetica" w:hAnsi="Helvetica"/>
                <w:sz w:val="18"/>
                <w:szCs w:val="18"/>
              </w:rPr>
            </w:pPr>
          </w:p>
        </w:tc>
        <w:tc>
          <w:tcPr>
            <w:tcW w:w="1336" w:type="dxa"/>
          </w:tcPr>
          <w:p w14:paraId="0993CE9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0668C6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7C80DD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76C6AF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3F34F7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56F89D1" w14:textId="77777777" w:rsidTr="005872A5">
        <w:tc>
          <w:tcPr>
            <w:tcW w:w="1336" w:type="dxa"/>
          </w:tcPr>
          <w:p w14:paraId="33B77DD8" w14:textId="77777777" w:rsidR="00AB7EBC" w:rsidRPr="00FE37B8" w:rsidRDefault="00AB7EBC">
            <w:pPr>
              <w:pStyle w:val="Compact"/>
              <w:rPr>
                <w:rFonts w:ascii="Helvetica" w:hAnsi="Helvetica"/>
                <w:sz w:val="18"/>
                <w:szCs w:val="18"/>
              </w:rPr>
            </w:pPr>
          </w:p>
        </w:tc>
        <w:tc>
          <w:tcPr>
            <w:tcW w:w="1336" w:type="dxa"/>
          </w:tcPr>
          <w:p w14:paraId="2163959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046FB98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4D2DFF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78C13A8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27EE8B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r>
      <w:tr w:rsidR="003C64F0" w:rsidRPr="00CC2F84" w14:paraId="51FEA861" w14:textId="77777777" w:rsidTr="005872A5">
        <w:tc>
          <w:tcPr>
            <w:tcW w:w="1336" w:type="dxa"/>
          </w:tcPr>
          <w:p w14:paraId="2306C0BD" w14:textId="77777777" w:rsidR="00AB7EBC" w:rsidRPr="00FE37B8" w:rsidRDefault="00AB7EBC">
            <w:pPr>
              <w:pStyle w:val="Compact"/>
              <w:rPr>
                <w:rFonts w:ascii="Helvetica" w:hAnsi="Helvetica"/>
                <w:sz w:val="18"/>
                <w:szCs w:val="18"/>
              </w:rPr>
            </w:pPr>
          </w:p>
        </w:tc>
        <w:tc>
          <w:tcPr>
            <w:tcW w:w="1336" w:type="dxa"/>
          </w:tcPr>
          <w:p w14:paraId="551CD3C6"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4DF526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50E03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672" w:type="dxa"/>
          </w:tcPr>
          <w:p w14:paraId="45A277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04C343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r>
      <w:tr w:rsidR="003C64F0" w:rsidRPr="00CC2F84" w14:paraId="1A0AC2C3" w14:textId="77777777" w:rsidTr="005872A5">
        <w:tc>
          <w:tcPr>
            <w:tcW w:w="1336" w:type="dxa"/>
          </w:tcPr>
          <w:p w14:paraId="318E6DC7" w14:textId="77777777" w:rsidR="00AB7EBC" w:rsidRPr="00FE37B8" w:rsidRDefault="00AB7EBC">
            <w:pPr>
              <w:pStyle w:val="Compact"/>
              <w:rPr>
                <w:rFonts w:ascii="Helvetica" w:hAnsi="Helvetica"/>
                <w:sz w:val="18"/>
                <w:szCs w:val="18"/>
              </w:rPr>
            </w:pPr>
          </w:p>
        </w:tc>
        <w:tc>
          <w:tcPr>
            <w:tcW w:w="1336" w:type="dxa"/>
          </w:tcPr>
          <w:p w14:paraId="40162B48"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2D8747A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39D43A4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1DCD0F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5ED12F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1.65</w:t>
            </w:r>
          </w:p>
        </w:tc>
      </w:tr>
      <w:tr w:rsidR="003C64F0" w:rsidRPr="00CC2F84" w14:paraId="56C7B0E0" w14:textId="77777777" w:rsidTr="005872A5">
        <w:tc>
          <w:tcPr>
            <w:tcW w:w="1336" w:type="dxa"/>
          </w:tcPr>
          <w:p w14:paraId="29DE7348" w14:textId="77777777" w:rsidR="00AB7EBC" w:rsidRPr="00FE37B8" w:rsidRDefault="00AB7EBC">
            <w:pPr>
              <w:pStyle w:val="Compact"/>
              <w:rPr>
                <w:rFonts w:ascii="Helvetica" w:hAnsi="Helvetica"/>
                <w:sz w:val="18"/>
                <w:szCs w:val="18"/>
              </w:rPr>
            </w:pPr>
          </w:p>
        </w:tc>
        <w:tc>
          <w:tcPr>
            <w:tcW w:w="1336" w:type="dxa"/>
          </w:tcPr>
          <w:p w14:paraId="55F94CB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58013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42C9B6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4F61F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7C8D6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r>
      <w:tr w:rsidR="003C64F0" w:rsidRPr="00CC2F84" w14:paraId="50B444C2" w14:textId="77777777" w:rsidTr="005872A5">
        <w:tc>
          <w:tcPr>
            <w:tcW w:w="1336" w:type="dxa"/>
          </w:tcPr>
          <w:p w14:paraId="45D96CBF"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0.25</w:t>
            </w:r>
          </w:p>
        </w:tc>
        <w:tc>
          <w:tcPr>
            <w:tcW w:w="1336" w:type="dxa"/>
          </w:tcPr>
          <w:p w14:paraId="412DC064"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33A907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48C54B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53DFC3F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4A6CF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70D3E473" w14:textId="77777777" w:rsidTr="005872A5">
        <w:tc>
          <w:tcPr>
            <w:tcW w:w="1336" w:type="dxa"/>
          </w:tcPr>
          <w:p w14:paraId="2EBEB1ED" w14:textId="77777777" w:rsidR="00AB7EBC" w:rsidRPr="00FE37B8" w:rsidRDefault="00AB7EBC">
            <w:pPr>
              <w:pStyle w:val="Compact"/>
              <w:rPr>
                <w:rFonts w:ascii="Helvetica" w:hAnsi="Helvetica"/>
                <w:sz w:val="18"/>
                <w:szCs w:val="18"/>
              </w:rPr>
            </w:pPr>
          </w:p>
        </w:tc>
        <w:tc>
          <w:tcPr>
            <w:tcW w:w="1336" w:type="dxa"/>
          </w:tcPr>
          <w:p w14:paraId="64BC96B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31EE6DC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22F64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5CBB7B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1F7F47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1.62</w:t>
            </w:r>
          </w:p>
        </w:tc>
      </w:tr>
      <w:tr w:rsidR="003C64F0" w:rsidRPr="00CC2F84" w14:paraId="7D0DCABC" w14:textId="77777777" w:rsidTr="005872A5">
        <w:tc>
          <w:tcPr>
            <w:tcW w:w="1336" w:type="dxa"/>
          </w:tcPr>
          <w:p w14:paraId="0BF00FFC" w14:textId="77777777" w:rsidR="00AB7EBC" w:rsidRPr="00FE37B8" w:rsidRDefault="00AB7EBC">
            <w:pPr>
              <w:pStyle w:val="Compact"/>
              <w:rPr>
                <w:rFonts w:ascii="Helvetica" w:hAnsi="Helvetica"/>
                <w:sz w:val="18"/>
                <w:szCs w:val="18"/>
              </w:rPr>
            </w:pPr>
          </w:p>
        </w:tc>
        <w:tc>
          <w:tcPr>
            <w:tcW w:w="1336" w:type="dxa"/>
          </w:tcPr>
          <w:p w14:paraId="13A1E1E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446547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7C810D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672" w:type="dxa"/>
          </w:tcPr>
          <w:p w14:paraId="7DEBA7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5491EB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1.31</w:t>
            </w:r>
          </w:p>
        </w:tc>
      </w:tr>
      <w:tr w:rsidR="003C64F0" w:rsidRPr="00CC2F84" w14:paraId="01C73A02" w14:textId="77777777" w:rsidTr="005872A5">
        <w:tc>
          <w:tcPr>
            <w:tcW w:w="1336" w:type="dxa"/>
          </w:tcPr>
          <w:p w14:paraId="15279206" w14:textId="77777777" w:rsidR="00AB7EBC" w:rsidRPr="00FE37B8" w:rsidRDefault="00AB7EBC">
            <w:pPr>
              <w:pStyle w:val="Compact"/>
              <w:rPr>
                <w:rFonts w:ascii="Helvetica" w:hAnsi="Helvetica"/>
                <w:sz w:val="18"/>
                <w:szCs w:val="18"/>
              </w:rPr>
            </w:pPr>
          </w:p>
        </w:tc>
        <w:tc>
          <w:tcPr>
            <w:tcW w:w="1336" w:type="dxa"/>
          </w:tcPr>
          <w:p w14:paraId="2A19B0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3685603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35C9BD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177CAF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25672A1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r>
      <w:tr w:rsidR="003C64F0" w:rsidRPr="00CC2F84" w14:paraId="26656C78" w14:textId="77777777" w:rsidTr="005872A5">
        <w:tc>
          <w:tcPr>
            <w:tcW w:w="1336" w:type="dxa"/>
          </w:tcPr>
          <w:p w14:paraId="53091D4A" w14:textId="77777777" w:rsidR="00AB7EBC" w:rsidRPr="00FE37B8" w:rsidRDefault="00AB7EBC">
            <w:pPr>
              <w:pStyle w:val="Compact"/>
              <w:rPr>
                <w:rFonts w:ascii="Helvetica" w:hAnsi="Helvetica"/>
                <w:sz w:val="18"/>
                <w:szCs w:val="18"/>
              </w:rPr>
            </w:pPr>
          </w:p>
        </w:tc>
        <w:tc>
          <w:tcPr>
            <w:tcW w:w="1336" w:type="dxa"/>
          </w:tcPr>
          <w:p w14:paraId="1FB5936D"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13E58A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68000CE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64FC96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491ADB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1CAFA018" w14:textId="77777777" w:rsidTr="005872A5">
        <w:tc>
          <w:tcPr>
            <w:tcW w:w="1336" w:type="dxa"/>
          </w:tcPr>
          <w:p w14:paraId="1BFEEC92" w14:textId="77777777" w:rsidR="00AB7EBC" w:rsidRPr="00FE37B8" w:rsidRDefault="00AB7EBC">
            <w:pPr>
              <w:pStyle w:val="Compact"/>
              <w:rPr>
                <w:rFonts w:ascii="Helvetica" w:hAnsi="Helvetica"/>
                <w:sz w:val="18"/>
                <w:szCs w:val="18"/>
              </w:rPr>
            </w:pPr>
          </w:p>
        </w:tc>
        <w:tc>
          <w:tcPr>
            <w:tcW w:w="1336" w:type="dxa"/>
          </w:tcPr>
          <w:p w14:paraId="1DC660A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5E75AD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639A27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2BD749C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7D3606C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r>
      <w:tr w:rsidR="003C64F0" w:rsidRPr="00CC2F84" w14:paraId="52C03F77" w14:textId="77777777" w:rsidTr="005872A5">
        <w:tc>
          <w:tcPr>
            <w:tcW w:w="1336" w:type="dxa"/>
          </w:tcPr>
          <w:p w14:paraId="189D866C"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w:t>
            </w:r>
          </w:p>
        </w:tc>
        <w:tc>
          <w:tcPr>
            <w:tcW w:w="1336" w:type="dxa"/>
          </w:tcPr>
          <w:p w14:paraId="6E3A9E9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59E22F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55530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6E8B14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689FBA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r>
      <w:tr w:rsidR="003C64F0" w:rsidRPr="00CC2F84" w14:paraId="255AC441" w14:textId="77777777" w:rsidTr="005872A5">
        <w:tc>
          <w:tcPr>
            <w:tcW w:w="1336" w:type="dxa"/>
          </w:tcPr>
          <w:p w14:paraId="344F9DD6" w14:textId="77777777" w:rsidR="00AB7EBC" w:rsidRPr="00FE37B8" w:rsidRDefault="00AB7EBC">
            <w:pPr>
              <w:pStyle w:val="Compact"/>
              <w:rPr>
                <w:rFonts w:ascii="Helvetica" w:hAnsi="Helvetica"/>
                <w:sz w:val="18"/>
                <w:szCs w:val="18"/>
              </w:rPr>
            </w:pPr>
          </w:p>
        </w:tc>
        <w:tc>
          <w:tcPr>
            <w:tcW w:w="1336" w:type="dxa"/>
          </w:tcPr>
          <w:p w14:paraId="6D66D9E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1DC277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487C55C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64F3E2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7B3E6F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r>
      <w:tr w:rsidR="003C64F0" w:rsidRPr="00CC2F84" w14:paraId="540676B0" w14:textId="77777777" w:rsidTr="005872A5">
        <w:tc>
          <w:tcPr>
            <w:tcW w:w="1336" w:type="dxa"/>
          </w:tcPr>
          <w:p w14:paraId="2627C3D0" w14:textId="77777777" w:rsidR="00AB7EBC" w:rsidRPr="00FE37B8" w:rsidRDefault="00AB7EBC">
            <w:pPr>
              <w:pStyle w:val="Compact"/>
              <w:rPr>
                <w:rFonts w:ascii="Helvetica" w:hAnsi="Helvetica"/>
                <w:sz w:val="18"/>
                <w:szCs w:val="18"/>
              </w:rPr>
            </w:pPr>
          </w:p>
        </w:tc>
        <w:tc>
          <w:tcPr>
            <w:tcW w:w="1336" w:type="dxa"/>
          </w:tcPr>
          <w:p w14:paraId="5E8FC0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4BC5BE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7C1AE0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672" w:type="dxa"/>
          </w:tcPr>
          <w:p w14:paraId="2E1744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4DB5D7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r>
      <w:tr w:rsidR="003C64F0" w:rsidRPr="00CC2F84" w14:paraId="109937C9" w14:textId="77777777" w:rsidTr="005872A5">
        <w:tc>
          <w:tcPr>
            <w:tcW w:w="1336" w:type="dxa"/>
          </w:tcPr>
          <w:p w14:paraId="17042DA9" w14:textId="77777777" w:rsidR="00AB7EBC" w:rsidRPr="00FE37B8" w:rsidRDefault="00AB7EBC">
            <w:pPr>
              <w:pStyle w:val="Compact"/>
              <w:rPr>
                <w:rFonts w:ascii="Helvetica" w:hAnsi="Helvetica"/>
                <w:sz w:val="18"/>
                <w:szCs w:val="18"/>
              </w:rPr>
            </w:pPr>
          </w:p>
        </w:tc>
        <w:tc>
          <w:tcPr>
            <w:tcW w:w="1336" w:type="dxa"/>
          </w:tcPr>
          <w:p w14:paraId="1658593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662EB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2BE5A5B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672" w:type="dxa"/>
          </w:tcPr>
          <w:p w14:paraId="241270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72826CE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r>
      <w:tr w:rsidR="003C64F0" w:rsidRPr="00CC2F84" w14:paraId="2459B96B" w14:textId="77777777" w:rsidTr="005872A5">
        <w:tc>
          <w:tcPr>
            <w:tcW w:w="1336" w:type="dxa"/>
          </w:tcPr>
          <w:p w14:paraId="60FDC759" w14:textId="77777777" w:rsidR="00AB7EBC" w:rsidRPr="00FE37B8" w:rsidRDefault="00AB7EBC">
            <w:pPr>
              <w:pStyle w:val="Compact"/>
              <w:rPr>
                <w:rFonts w:ascii="Helvetica" w:hAnsi="Helvetica"/>
                <w:sz w:val="18"/>
                <w:szCs w:val="18"/>
              </w:rPr>
            </w:pPr>
          </w:p>
        </w:tc>
        <w:tc>
          <w:tcPr>
            <w:tcW w:w="1336" w:type="dxa"/>
          </w:tcPr>
          <w:p w14:paraId="02D59D6B"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5804BD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48E8C6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251247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493F81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r>
      <w:tr w:rsidR="003C64F0" w:rsidRPr="00CC2F84" w14:paraId="3AF0912B" w14:textId="77777777" w:rsidTr="005872A5">
        <w:tc>
          <w:tcPr>
            <w:tcW w:w="1336" w:type="dxa"/>
          </w:tcPr>
          <w:p w14:paraId="212B0461" w14:textId="77777777" w:rsidR="00AB7EBC" w:rsidRPr="00FE37B8" w:rsidRDefault="00AB7EBC">
            <w:pPr>
              <w:pStyle w:val="Compact"/>
              <w:rPr>
                <w:rFonts w:ascii="Helvetica" w:hAnsi="Helvetica"/>
                <w:sz w:val="18"/>
                <w:szCs w:val="18"/>
              </w:rPr>
            </w:pPr>
          </w:p>
        </w:tc>
        <w:tc>
          <w:tcPr>
            <w:tcW w:w="1336" w:type="dxa"/>
          </w:tcPr>
          <w:p w14:paraId="0A53D42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4CFED0F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66A40DD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3EB3D7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144F22A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0D6581DC" w14:textId="77777777" w:rsidTr="005872A5">
        <w:tc>
          <w:tcPr>
            <w:tcW w:w="1336" w:type="dxa"/>
          </w:tcPr>
          <w:p w14:paraId="39FE032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20%</w:t>
            </w:r>
          </w:p>
        </w:tc>
        <w:tc>
          <w:tcPr>
            <w:tcW w:w="1336" w:type="dxa"/>
          </w:tcPr>
          <w:p w14:paraId="60CCA60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260AE5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0B2212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353BEEC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574501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1.80</w:t>
            </w:r>
          </w:p>
        </w:tc>
      </w:tr>
      <w:tr w:rsidR="003C64F0" w:rsidRPr="00CC2F84" w14:paraId="775F9C53" w14:textId="77777777" w:rsidTr="005872A5">
        <w:tc>
          <w:tcPr>
            <w:tcW w:w="1336" w:type="dxa"/>
          </w:tcPr>
          <w:p w14:paraId="0A339118" w14:textId="77777777" w:rsidR="00AB7EBC" w:rsidRPr="00FE37B8" w:rsidRDefault="00AB7EBC">
            <w:pPr>
              <w:pStyle w:val="Compact"/>
              <w:rPr>
                <w:rFonts w:ascii="Helvetica" w:hAnsi="Helvetica"/>
                <w:sz w:val="18"/>
                <w:szCs w:val="18"/>
              </w:rPr>
            </w:pPr>
          </w:p>
        </w:tc>
        <w:tc>
          <w:tcPr>
            <w:tcW w:w="1336" w:type="dxa"/>
          </w:tcPr>
          <w:p w14:paraId="7751F3B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1DFFEE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7E64ED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00EC2A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7F2CDE7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1.83</w:t>
            </w:r>
          </w:p>
        </w:tc>
      </w:tr>
      <w:tr w:rsidR="003C64F0" w:rsidRPr="00CC2F84" w14:paraId="251FF273" w14:textId="77777777" w:rsidTr="005872A5">
        <w:tc>
          <w:tcPr>
            <w:tcW w:w="1336" w:type="dxa"/>
          </w:tcPr>
          <w:p w14:paraId="29FD15C3" w14:textId="77777777" w:rsidR="00AB7EBC" w:rsidRPr="00FE37B8" w:rsidRDefault="00AB7EBC">
            <w:pPr>
              <w:pStyle w:val="Compact"/>
              <w:rPr>
                <w:rFonts w:ascii="Helvetica" w:hAnsi="Helvetica"/>
                <w:sz w:val="18"/>
                <w:szCs w:val="18"/>
              </w:rPr>
            </w:pPr>
          </w:p>
        </w:tc>
        <w:tc>
          <w:tcPr>
            <w:tcW w:w="1336" w:type="dxa"/>
          </w:tcPr>
          <w:p w14:paraId="6D38AC2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23278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5551B96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672" w:type="dxa"/>
          </w:tcPr>
          <w:p w14:paraId="3B4359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21D5E0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r>
      <w:tr w:rsidR="003C64F0" w:rsidRPr="00CC2F84" w14:paraId="2EB1A762" w14:textId="77777777" w:rsidTr="005872A5">
        <w:tc>
          <w:tcPr>
            <w:tcW w:w="1336" w:type="dxa"/>
          </w:tcPr>
          <w:p w14:paraId="55A4E4CB" w14:textId="77777777" w:rsidR="00AB7EBC" w:rsidRPr="00FE37B8" w:rsidRDefault="00AB7EBC">
            <w:pPr>
              <w:pStyle w:val="Compact"/>
              <w:rPr>
                <w:rFonts w:ascii="Helvetica" w:hAnsi="Helvetica"/>
                <w:sz w:val="18"/>
                <w:szCs w:val="18"/>
              </w:rPr>
            </w:pPr>
          </w:p>
        </w:tc>
        <w:tc>
          <w:tcPr>
            <w:tcW w:w="1336" w:type="dxa"/>
          </w:tcPr>
          <w:p w14:paraId="31EA105F"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7B82D1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649B81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672" w:type="dxa"/>
          </w:tcPr>
          <w:p w14:paraId="3CB462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6F3711C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r>
      <w:tr w:rsidR="003C64F0" w:rsidRPr="00CC2F84" w14:paraId="6141069C" w14:textId="77777777" w:rsidTr="005872A5">
        <w:tc>
          <w:tcPr>
            <w:tcW w:w="1336" w:type="dxa"/>
          </w:tcPr>
          <w:p w14:paraId="706F14F8" w14:textId="77777777" w:rsidR="00AB7EBC" w:rsidRPr="00FE37B8" w:rsidRDefault="00AB7EBC">
            <w:pPr>
              <w:pStyle w:val="Compact"/>
              <w:rPr>
                <w:rFonts w:ascii="Helvetica" w:hAnsi="Helvetica"/>
                <w:sz w:val="18"/>
                <w:szCs w:val="18"/>
              </w:rPr>
            </w:pPr>
          </w:p>
        </w:tc>
        <w:tc>
          <w:tcPr>
            <w:tcW w:w="1336" w:type="dxa"/>
          </w:tcPr>
          <w:p w14:paraId="70845B0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20A56C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0540F4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27F91E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1B2122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1.59</w:t>
            </w:r>
          </w:p>
        </w:tc>
      </w:tr>
      <w:tr w:rsidR="003C64F0" w:rsidRPr="00CC2F84" w14:paraId="41662431" w14:textId="77777777" w:rsidTr="005872A5">
        <w:tc>
          <w:tcPr>
            <w:tcW w:w="1336" w:type="dxa"/>
          </w:tcPr>
          <w:p w14:paraId="16A77D58" w14:textId="77777777" w:rsidR="00AB7EBC" w:rsidRPr="00FE37B8" w:rsidRDefault="00AB7EBC">
            <w:pPr>
              <w:pStyle w:val="Compact"/>
              <w:rPr>
                <w:rFonts w:ascii="Helvetica" w:hAnsi="Helvetica"/>
                <w:sz w:val="18"/>
                <w:szCs w:val="18"/>
              </w:rPr>
            </w:pPr>
          </w:p>
        </w:tc>
        <w:tc>
          <w:tcPr>
            <w:tcW w:w="1336" w:type="dxa"/>
          </w:tcPr>
          <w:p w14:paraId="3280574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00A2505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6DF0B68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469737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322E9DB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1.54</w:t>
            </w:r>
          </w:p>
        </w:tc>
      </w:tr>
      <w:tr w:rsidR="003C64F0" w:rsidRPr="00CC2F84" w14:paraId="46B007AC" w14:textId="77777777" w:rsidTr="005872A5">
        <w:tc>
          <w:tcPr>
            <w:tcW w:w="1336" w:type="dxa"/>
          </w:tcPr>
          <w:p w14:paraId="06873F0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30%</w:t>
            </w:r>
          </w:p>
        </w:tc>
        <w:tc>
          <w:tcPr>
            <w:tcW w:w="1336" w:type="dxa"/>
          </w:tcPr>
          <w:p w14:paraId="0D8A81A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59BE8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672" w:type="dxa"/>
          </w:tcPr>
          <w:p w14:paraId="192A25F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00FF1D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560CDE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r>
      <w:tr w:rsidR="003C64F0" w:rsidRPr="00CC2F84" w14:paraId="2FA94C03" w14:textId="77777777" w:rsidTr="005872A5">
        <w:tc>
          <w:tcPr>
            <w:tcW w:w="1336" w:type="dxa"/>
          </w:tcPr>
          <w:p w14:paraId="6A231A16" w14:textId="77777777" w:rsidR="00AB7EBC" w:rsidRPr="00FE37B8" w:rsidRDefault="00AB7EBC">
            <w:pPr>
              <w:pStyle w:val="Compact"/>
              <w:rPr>
                <w:rFonts w:ascii="Helvetica" w:hAnsi="Helvetica"/>
                <w:sz w:val="18"/>
                <w:szCs w:val="18"/>
              </w:rPr>
            </w:pPr>
          </w:p>
        </w:tc>
        <w:tc>
          <w:tcPr>
            <w:tcW w:w="1336" w:type="dxa"/>
          </w:tcPr>
          <w:p w14:paraId="5FACBE9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0117B5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672" w:type="dxa"/>
          </w:tcPr>
          <w:p w14:paraId="058EDD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54D793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6D45F3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2.27</w:t>
            </w:r>
          </w:p>
        </w:tc>
      </w:tr>
      <w:tr w:rsidR="003C64F0" w:rsidRPr="00CC2F84" w14:paraId="16EA29F6" w14:textId="77777777" w:rsidTr="005872A5">
        <w:tc>
          <w:tcPr>
            <w:tcW w:w="1336" w:type="dxa"/>
          </w:tcPr>
          <w:p w14:paraId="0CD5EA22" w14:textId="77777777" w:rsidR="00AB7EBC" w:rsidRPr="00FE37B8" w:rsidRDefault="00AB7EBC">
            <w:pPr>
              <w:pStyle w:val="Compact"/>
              <w:rPr>
                <w:rFonts w:ascii="Helvetica" w:hAnsi="Helvetica"/>
                <w:sz w:val="18"/>
                <w:szCs w:val="18"/>
              </w:rPr>
            </w:pPr>
          </w:p>
        </w:tc>
        <w:tc>
          <w:tcPr>
            <w:tcW w:w="1336" w:type="dxa"/>
          </w:tcPr>
          <w:p w14:paraId="0583C21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2AB8C3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0D43BB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7A7CB0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1C9B8F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05E8F359" w14:textId="77777777" w:rsidTr="005872A5">
        <w:tc>
          <w:tcPr>
            <w:tcW w:w="1336" w:type="dxa"/>
          </w:tcPr>
          <w:p w14:paraId="305889B3" w14:textId="77777777" w:rsidR="00AB7EBC" w:rsidRPr="00FE37B8" w:rsidRDefault="00AB7EBC">
            <w:pPr>
              <w:pStyle w:val="Compact"/>
              <w:rPr>
                <w:rFonts w:ascii="Helvetica" w:hAnsi="Helvetica"/>
                <w:sz w:val="18"/>
                <w:szCs w:val="18"/>
              </w:rPr>
            </w:pPr>
          </w:p>
        </w:tc>
        <w:tc>
          <w:tcPr>
            <w:tcW w:w="1336" w:type="dxa"/>
          </w:tcPr>
          <w:p w14:paraId="4FA76ED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65552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0EFF4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73755C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7876F0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r>
      <w:tr w:rsidR="003C64F0" w:rsidRPr="00CC2F84" w14:paraId="52293D34" w14:textId="77777777" w:rsidTr="005872A5">
        <w:tc>
          <w:tcPr>
            <w:tcW w:w="1336" w:type="dxa"/>
          </w:tcPr>
          <w:p w14:paraId="54CC60B1" w14:textId="77777777" w:rsidR="00AB7EBC" w:rsidRPr="00FE37B8" w:rsidRDefault="00AB7EBC">
            <w:pPr>
              <w:pStyle w:val="Compact"/>
              <w:rPr>
                <w:rFonts w:ascii="Helvetica" w:hAnsi="Helvetica"/>
                <w:sz w:val="18"/>
                <w:szCs w:val="18"/>
              </w:rPr>
            </w:pPr>
          </w:p>
        </w:tc>
        <w:tc>
          <w:tcPr>
            <w:tcW w:w="1336" w:type="dxa"/>
          </w:tcPr>
          <w:p w14:paraId="3FA64B74"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69A9833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672" w:type="dxa"/>
          </w:tcPr>
          <w:p w14:paraId="271BF2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7637EAE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5A3C3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2D24FB87" w14:textId="77777777" w:rsidTr="005872A5">
        <w:tc>
          <w:tcPr>
            <w:tcW w:w="1336" w:type="dxa"/>
          </w:tcPr>
          <w:p w14:paraId="131DE316" w14:textId="77777777" w:rsidR="00AB7EBC" w:rsidRPr="00FE37B8" w:rsidRDefault="00AB7EBC">
            <w:pPr>
              <w:pStyle w:val="Compact"/>
              <w:rPr>
                <w:rFonts w:ascii="Helvetica" w:hAnsi="Helvetica"/>
                <w:sz w:val="18"/>
                <w:szCs w:val="18"/>
              </w:rPr>
            </w:pPr>
          </w:p>
        </w:tc>
        <w:tc>
          <w:tcPr>
            <w:tcW w:w="1336" w:type="dxa"/>
          </w:tcPr>
          <w:p w14:paraId="7C9D8BB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430706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7F92A20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375F45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5CFB3B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420BAD34" w14:textId="77777777" w:rsidTr="005872A5">
        <w:tc>
          <w:tcPr>
            <w:tcW w:w="1336" w:type="dxa"/>
          </w:tcPr>
          <w:p w14:paraId="7ED245D4"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50%</w:t>
            </w:r>
          </w:p>
        </w:tc>
        <w:tc>
          <w:tcPr>
            <w:tcW w:w="1336" w:type="dxa"/>
          </w:tcPr>
          <w:p w14:paraId="63CDC36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67CE747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765744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0CE387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672" w:type="dxa"/>
          </w:tcPr>
          <w:p w14:paraId="0FDD90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3.08</w:t>
            </w:r>
          </w:p>
        </w:tc>
      </w:tr>
      <w:tr w:rsidR="003C64F0" w:rsidRPr="00CC2F84" w14:paraId="79B9314B" w14:textId="77777777" w:rsidTr="005872A5">
        <w:tc>
          <w:tcPr>
            <w:tcW w:w="1336" w:type="dxa"/>
          </w:tcPr>
          <w:p w14:paraId="550076D6" w14:textId="77777777" w:rsidR="00AB7EBC" w:rsidRPr="00FE37B8" w:rsidRDefault="00AB7EBC">
            <w:pPr>
              <w:pStyle w:val="Compact"/>
              <w:rPr>
                <w:rFonts w:ascii="Helvetica" w:hAnsi="Helvetica"/>
                <w:sz w:val="18"/>
                <w:szCs w:val="18"/>
              </w:rPr>
            </w:pPr>
          </w:p>
        </w:tc>
        <w:tc>
          <w:tcPr>
            <w:tcW w:w="1336" w:type="dxa"/>
          </w:tcPr>
          <w:p w14:paraId="0DDBCC82"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444145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1.51</w:t>
            </w:r>
          </w:p>
        </w:tc>
        <w:tc>
          <w:tcPr>
            <w:tcW w:w="1672" w:type="dxa"/>
          </w:tcPr>
          <w:p w14:paraId="171DF5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672" w:type="dxa"/>
          </w:tcPr>
          <w:p w14:paraId="7363CB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672" w:type="dxa"/>
          </w:tcPr>
          <w:p w14:paraId="567FA3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471C8E30" w14:textId="77777777" w:rsidTr="005872A5">
        <w:tc>
          <w:tcPr>
            <w:tcW w:w="1336" w:type="dxa"/>
          </w:tcPr>
          <w:p w14:paraId="50A50DD2" w14:textId="77777777" w:rsidR="00AB7EBC" w:rsidRPr="00FE37B8" w:rsidRDefault="00AB7EBC">
            <w:pPr>
              <w:pStyle w:val="Compact"/>
              <w:rPr>
                <w:rFonts w:ascii="Helvetica" w:hAnsi="Helvetica"/>
                <w:sz w:val="18"/>
                <w:szCs w:val="18"/>
              </w:rPr>
            </w:pPr>
          </w:p>
        </w:tc>
        <w:tc>
          <w:tcPr>
            <w:tcW w:w="1336" w:type="dxa"/>
          </w:tcPr>
          <w:p w14:paraId="671009A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6D4E453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6EC360F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586BF7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40F9B83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r>
      <w:tr w:rsidR="003C64F0" w:rsidRPr="00CC2F84" w14:paraId="1B8880D5" w14:textId="77777777" w:rsidTr="005872A5">
        <w:tc>
          <w:tcPr>
            <w:tcW w:w="1336" w:type="dxa"/>
          </w:tcPr>
          <w:p w14:paraId="2D87A579" w14:textId="77777777" w:rsidR="00AB7EBC" w:rsidRPr="00FE37B8" w:rsidRDefault="00AB7EBC">
            <w:pPr>
              <w:pStyle w:val="Compact"/>
              <w:rPr>
                <w:rFonts w:ascii="Helvetica" w:hAnsi="Helvetica"/>
                <w:sz w:val="18"/>
                <w:szCs w:val="18"/>
              </w:rPr>
            </w:pPr>
          </w:p>
        </w:tc>
        <w:tc>
          <w:tcPr>
            <w:tcW w:w="1336" w:type="dxa"/>
          </w:tcPr>
          <w:p w14:paraId="47E3EB39"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0DC3C2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2A09655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4581A7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19FD0A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61913208" w14:textId="77777777" w:rsidTr="005872A5">
        <w:tc>
          <w:tcPr>
            <w:tcW w:w="1336" w:type="dxa"/>
          </w:tcPr>
          <w:p w14:paraId="5EC324EC" w14:textId="77777777" w:rsidR="00AB7EBC" w:rsidRPr="00FE37B8" w:rsidRDefault="00AB7EBC">
            <w:pPr>
              <w:pStyle w:val="Compact"/>
              <w:rPr>
                <w:rFonts w:ascii="Helvetica" w:hAnsi="Helvetica"/>
                <w:sz w:val="18"/>
                <w:szCs w:val="18"/>
              </w:rPr>
            </w:pPr>
          </w:p>
        </w:tc>
        <w:tc>
          <w:tcPr>
            <w:tcW w:w="1336" w:type="dxa"/>
          </w:tcPr>
          <w:p w14:paraId="7F6C5EC0"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7B7BF6F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672" w:type="dxa"/>
          </w:tcPr>
          <w:p w14:paraId="5DBE4E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68CEC1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5EE065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3.09</w:t>
            </w:r>
          </w:p>
        </w:tc>
      </w:tr>
      <w:tr w:rsidR="003C64F0" w:rsidRPr="00CC2F84" w14:paraId="0AE607BC" w14:textId="77777777" w:rsidTr="005872A5">
        <w:tc>
          <w:tcPr>
            <w:tcW w:w="1336" w:type="dxa"/>
          </w:tcPr>
          <w:p w14:paraId="1A395159" w14:textId="77777777" w:rsidR="00AB7EBC" w:rsidRPr="00FE37B8" w:rsidRDefault="00AB7EBC">
            <w:pPr>
              <w:pStyle w:val="Compact"/>
              <w:rPr>
                <w:rFonts w:ascii="Helvetica" w:hAnsi="Helvetica"/>
                <w:sz w:val="18"/>
                <w:szCs w:val="18"/>
              </w:rPr>
            </w:pPr>
          </w:p>
        </w:tc>
        <w:tc>
          <w:tcPr>
            <w:tcW w:w="1336" w:type="dxa"/>
          </w:tcPr>
          <w:p w14:paraId="23F2812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2951630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672" w:type="dxa"/>
          </w:tcPr>
          <w:p w14:paraId="3250BD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5E7B81A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4328A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2.85</w:t>
            </w:r>
          </w:p>
        </w:tc>
      </w:tr>
      <w:tr w:rsidR="003C64F0" w:rsidRPr="00CC2F84" w14:paraId="38494F67" w14:textId="77777777" w:rsidTr="005872A5">
        <w:tc>
          <w:tcPr>
            <w:tcW w:w="1336" w:type="dxa"/>
          </w:tcPr>
          <w:p w14:paraId="35C367C7"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60%</w:t>
            </w:r>
          </w:p>
        </w:tc>
        <w:tc>
          <w:tcPr>
            <w:tcW w:w="1336" w:type="dxa"/>
          </w:tcPr>
          <w:p w14:paraId="247104C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ED104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1.49</w:t>
            </w:r>
          </w:p>
        </w:tc>
        <w:tc>
          <w:tcPr>
            <w:tcW w:w="1672" w:type="dxa"/>
          </w:tcPr>
          <w:p w14:paraId="53AE795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67727D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672" w:type="dxa"/>
          </w:tcPr>
          <w:p w14:paraId="2E48C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3.54</w:t>
            </w:r>
          </w:p>
        </w:tc>
      </w:tr>
      <w:tr w:rsidR="003C64F0" w:rsidRPr="00CC2F84" w14:paraId="0C93F384" w14:textId="77777777" w:rsidTr="005872A5">
        <w:tc>
          <w:tcPr>
            <w:tcW w:w="1336" w:type="dxa"/>
          </w:tcPr>
          <w:p w14:paraId="6F7804B9" w14:textId="77777777" w:rsidR="00AB7EBC" w:rsidRPr="00FE37B8" w:rsidRDefault="00AB7EBC">
            <w:pPr>
              <w:pStyle w:val="Compact"/>
              <w:rPr>
                <w:rFonts w:ascii="Helvetica" w:hAnsi="Helvetica"/>
                <w:sz w:val="18"/>
                <w:szCs w:val="18"/>
              </w:rPr>
            </w:pPr>
          </w:p>
        </w:tc>
        <w:tc>
          <w:tcPr>
            <w:tcW w:w="1336" w:type="dxa"/>
          </w:tcPr>
          <w:p w14:paraId="6A5A130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1C99146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c>
          <w:tcPr>
            <w:tcW w:w="1672" w:type="dxa"/>
          </w:tcPr>
          <w:p w14:paraId="37B0FF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672" w:type="dxa"/>
          </w:tcPr>
          <w:p w14:paraId="1C4D492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w:t>
            </w:r>
          </w:p>
        </w:tc>
        <w:tc>
          <w:tcPr>
            <w:tcW w:w="1672" w:type="dxa"/>
          </w:tcPr>
          <w:p w14:paraId="5BFCCEB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3.90</w:t>
            </w:r>
          </w:p>
        </w:tc>
      </w:tr>
      <w:tr w:rsidR="003C64F0" w:rsidRPr="00CC2F84" w14:paraId="2A9AC949" w14:textId="77777777" w:rsidTr="005872A5">
        <w:tc>
          <w:tcPr>
            <w:tcW w:w="1336" w:type="dxa"/>
          </w:tcPr>
          <w:p w14:paraId="22F1D40A" w14:textId="77777777" w:rsidR="00AB7EBC" w:rsidRPr="00FE37B8" w:rsidRDefault="00AB7EBC">
            <w:pPr>
              <w:pStyle w:val="Compact"/>
              <w:rPr>
                <w:rFonts w:ascii="Helvetica" w:hAnsi="Helvetica"/>
                <w:sz w:val="18"/>
                <w:szCs w:val="18"/>
              </w:rPr>
            </w:pPr>
          </w:p>
        </w:tc>
        <w:tc>
          <w:tcPr>
            <w:tcW w:w="1336" w:type="dxa"/>
          </w:tcPr>
          <w:p w14:paraId="3260493E"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2E69F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548397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5754003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4C9927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2.03</w:t>
            </w:r>
          </w:p>
        </w:tc>
      </w:tr>
      <w:tr w:rsidR="003C64F0" w:rsidRPr="00CC2F84" w14:paraId="5A16083B" w14:textId="77777777" w:rsidTr="005872A5">
        <w:tc>
          <w:tcPr>
            <w:tcW w:w="1336" w:type="dxa"/>
          </w:tcPr>
          <w:p w14:paraId="0F28CF5D" w14:textId="77777777" w:rsidR="00AB7EBC" w:rsidRPr="00FE37B8" w:rsidRDefault="00AB7EBC">
            <w:pPr>
              <w:pStyle w:val="Compact"/>
              <w:rPr>
                <w:rFonts w:ascii="Helvetica" w:hAnsi="Helvetica"/>
                <w:sz w:val="18"/>
                <w:szCs w:val="18"/>
              </w:rPr>
            </w:pPr>
          </w:p>
        </w:tc>
        <w:tc>
          <w:tcPr>
            <w:tcW w:w="1336" w:type="dxa"/>
          </w:tcPr>
          <w:p w14:paraId="2BA7CE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F9A48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3CCD28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25939C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2AF37D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2.11</w:t>
            </w:r>
          </w:p>
        </w:tc>
      </w:tr>
      <w:tr w:rsidR="003C64F0" w:rsidRPr="00CC2F84" w14:paraId="5FDD951D" w14:textId="77777777" w:rsidTr="005872A5">
        <w:tc>
          <w:tcPr>
            <w:tcW w:w="1336" w:type="dxa"/>
          </w:tcPr>
          <w:p w14:paraId="1A4693F5" w14:textId="77777777" w:rsidR="00AB7EBC" w:rsidRPr="00FE37B8" w:rsidRDefault="00AB7EBC">
            <w:pPr>
              <w:pStyle w:val="Compact"/>
              <w:rPr>
                <w:rFonts w:ascii="Helvetica" w:hAnsi="Helvetica"/>
                <w:sz w:val="18"/>
                <w:szCs w:val="18"/>
              </w:rPr>
            </w:pPr>
          </w:p>
        </w:tc>
        <w:tc>
          <w:tcPr>
            <w:tcW w:w="1336" w:type="dxa"/>
          </w:tcPr>
          <w:p w14:paraId="20A6CD4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3A1E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672" w:type="dxa"/>
          </w:tcPr>
          <w:p w14:paraId="33D4AB9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00C6DF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672" w:type="dxa"/>
          </w:tcPr>
          <w:p w14:paraId="687EB47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5782A7C7" w14:textId="77777777" w:rsidTr="005872A5">
        <w:tc>
          <w:tcPr>
            <w:tcW w:w="1336" w:type="dxa"/>
          </w:tcPr>
          <w:p w14:paraId="52AE7012" w14:textId="77777777" w:rsidR="00AB7EBC" w:rsidRPr="00FE37B8" w:rsidRDefault="00AB7EBC">
            <w:pPr>
              <w:pStyle w:val="Compact"/>
              <w:rPr>
                <w:rFonts w:ascii="Helvetica" w:hAnsi="Helvetica"/>
                <w:sz w:val="18"/>
                <w:szCs w:val="18"/>
              </w:rPr>
            </w:pPr>
          </w:p>
        </w:tc>
        <w:tc>
          <w:tcPr>
            <w:tcW w:w="1336" w:type="dxa"/>
          </w:tcPr>
          <w:p w14:paraId="090E4A05"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043A4F6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c>
          <w:tcPr>
            <w:tcW w:w="1672" w:type="dxa"/>
          </w:tcPr>
          <w:p w14:paraId="4C03DA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4AD436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4A37BE0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52AF3020" w14:textId="77777777" w:rsidTr="005872A5">
        <w:tc>
          <w:tcPr>
            <w:tcW w:w="1336" w:type="dxa"/>
          </w:tcPr>
          <w:p w14:paraId="4A6B59D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1</w:t>
            </w:r>
          </w:p>
        </w:tc>
        <w:tc>
          <w:tcPr>
            <w:tcW w:w="1336" w:type="dxa"/>
          </w:tcPr>
          <w:p w14:paraId="1362005F"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31B4F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c>
          <w:tcPr>
            <w:tcW w:w="1672" w:type="dxa"/>
          </w:tcPr>
          <w:p w14:paraId="0619C69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25E368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203600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2.46</w:t>
            </w:r>
          </w:p>
        </w:tc>
      </w:tr>
      <w:tr w:rsidR="003C64F0" w:rsidRPr="00CC2F84" w14:paraId="654B157A" w14:textId="77777777" w:rsidTr="005872A5">
        <w:tc>
          <w:tcPr>
            <w:tcW w:w="1336" w:type="dxa"/>
          </w:tcPr>
          <w:p w14:paraId="25D6226E" w14:textId="77777777" w:rsidR="00AB7EBC" w:rsidRPr="00FE37B8" w:rsidRDefault="00AB7EBC">
            <w:pPr>
              <w:pStyle w:val="Compact"/>
              <w:rPr>
                <w:rFonts w:ascii="Helvetica" w:hAnsi="Helvetica"/>
                <w:sz w:val="18"/>
                <w:szCs w:val="18"/>
              </w:rPr>
            </w:pPr>
          </w:p>
        </w:tc>
        <w:tc>
          <w:tcPr>
            <w:tcW w:w="1336" w:type="dxa"/>
          </w:tcPr>
          <w:p w14:paraId="22F3918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7522D1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672" w:type="dxa"/>
          </w:tcPr>
          <w:p w14:paraId="53C7D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33D040C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57514E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2.60</w:t>
            </w:r>
          </w:p>
        </w:tc>
      </w:tr>
      <w:tr w:rsidR="003C64F0" w:rsidRPr="00CC2F84" w14:paraId="6BEECC2A" w14:textId="77777777" w:rsidTr="005872A5">
        <w:tc>
          <w:tcPr>
            <w:tcW w:w="1336" w:type="dxa"/>
          </w:tcPr>
          <w:p w14:paraId="0C83D512" w14:textId="77777777" w:rsidR="00AB7EBC" w:rsidRPr="00FE37B8" w:rsidRDefault="00AB7EBC">
            <w:pPr>
              <w:pStyle w:val="Compact"/>
              <w:rPr>
                <w:rFonts w:ascii="Helvetica" w:hAnsi="Helvetica"/>
                <w:sz w:val="18"/>
                <w:szCs w:val="18"/>
              </w:rPr>
            </w:pPr>
          </w:p>
        </w:tc>
        <w:tc>
          <w:tcPr>
            <w:tcW w:w="1336" w:type="dxa"/>
          </w:tcPr>
          <w:p w14:paraId="3891CEA9"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4CB1E8E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6041F3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5D35335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5D00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7930391" w14:textId="77777777" w:rsidTr="005872A5">
        <w:tc>
          <w:tcPr>
            <w:tcW w:w="1336" w:type="dxa"/>
          </w:tcPr>
          <w:p w14:paraId="431B4764" w14:textId="77777777" w:rsidR="00AB7EBC" w:rsidRPr="00FE37B8" w:rsidRDefault="00AB7EBC">
            <w:pPr>
              <w:pStyle w:val="Compact"/>
              <w:rPr>
                <w:rFonts w:ascii="Helvetica" w:hAnsi="Helvetica"/>
                <w:sz w:val="18"/>
                <w:szCs w:val="18"/>
              </w:rPr>
            </w:pPr>
          </w:p>
        </w:tc>
        <w:tc>
          <w:tcPr>
            <w:tcW w:w="1336" w:type="dxa"/>
          </w:tcPr>
          <w:p w14:paraId="088EA2F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630EBD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477CC4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18787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619260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r>
      <w:tr w:rsidR="003C64F0" w:rsidRPr="00CC2F84" w14:paraId="012FA440" w14:textId="77777777" w:rsidTr="005872A5">
        <w:tc>
          <w:tcPr>
            <w:tcW w:w="1336" w:type="dxa"/>
          </w:tcPr>
          <w:p w14:paraId="6DFCB926" w14:textId="77777777" w:rsidR="00AB7EBC" w:rsidRPr="00FE37B8" w:rsidRDefault="00AB7EBC">
            <w:pPr>
              <w:pStyle w:val="Compact"/>
              <w:rPr>
                <w:rFonts w:ascii="Helvetica" w:hAnsi="Helvetica"/>
                <w:sz w:val="18"/>
                <w:szCs w:val="18"/>
              </w:rPr>
            </w:pPr>
          </w:p>
        </w:tc>
        <w:tc>
          <w:tcPr>
            <w:tcW w:w="1336" w:type="dxa"/>
          </w:tcPr>
          <w:p w14:paraId="1357E11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2D62F3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672" w:type="dxa"/>
          </w:tcPr>
          <w:p w14:paraId="4828B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5D778E9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4EA73F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2.37</w:t>
            </w:r>
          </w:p>
        </w:tc>
      </w:tr>
      <w:tr w:rsidR="003C64F0" w:rsidRPr="00CC2F84" w14:paraId="4A7E8D72" w14:textId="77777777" w:rsidTr="005872A5">
        <w:tc>
          <w:tcPr>
            <w:tcW w:w="1336" w:type="dxa"/>
          </w:tcPr>
          <w:p w14:paraId="1BBCEB3E" w14:textId="77777777" w:rsidR="00AB7EBC" w:rsidRPr="00FE37B8" w:rsidRDefault="00AB7EBC">
            <w:pPr>
              <w:pStyle w:val="Compact"/>
              <w:rPr>
                <w:rFonts w:ascii="Helvetica" w:hAnsi="Helvetica"/>
                <w:sz w:val="18"/>
                <w:szCs w:val="18"/>
              </w:rPr>
            </w:pPr>
          </w:p>
        </w:tc>
        <w:tc>
          <w:tcPr>
            <w:tcW w:w="1336" w:type="dxa"/>
          </w:tcPr>
          <w:p w14:paraId="399961A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4C43DE2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1.33</w:t>
            </w:r>
          </w:p>
        </w:tc>
        <w:tc>
          <w:tcPr>
            <w:tcW w:w="1672" w:type="dxa"/>
          </w:tcPr>
          <w:p w14:paraId="62AE73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598967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074DB0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2.26</w:t>
            </w:r>
          </w:p>
        </w:tc>
      </w:tr>
      <w:tr w:rsidR="003C64F0" w:rsidRPr="00CC2F84" w14:paraId="3FE1D7E5" w14:textId="77777777" w:rsidTr="005872A5">
        <w:tc>
          <w:tcPr>
            <w:tcW w:w="1336" w:type="dxa"/>
          </w:tcPr>
          <w:p w14:paraId="740530A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3</w:t>
            </w:r>
          </w:p>
        </w:tc>
        <w:tc>
          <w:tcPr>
            <w:tcW w:w="1336" w:type="dxa"/>
          </w:tcPr>
          <w:p w14:paraId="062808CE"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48E67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672" w:type="dxa"/>
          </w:tcPr>
          <w:p w14:paraId="4CAFE3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12BA8C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672" w:type="dxa"/>
          </w:tcPr>
          <w:p w14:paraId="199D3AB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2.70</w:t>
            </w:r>
          </w:p>
        </w:tc>
      </w:tr>
      <w:tr w:rsidR="003C64F0" w:rsidRPr="00CC2F84" w14:paraId="1B155DD4" w14:textId="77777777" w:rsidTr="005872A5">
        <w:tc>
          <w:tcPr>
            <w:tcW w:w="1336" w:type="dxa"/>
          </w:tcPr>
          <w:p w14:paraId="56243120" w14:textId="77777777" w:rsidR="00AB7EBC" w:rsidRPr="00FE37B8" w:rsidRDefault="00AB7EBC">
            <w:pPr>
              <w:pStyle w:val="Compact"/>
              <w:rPr>
                <w:rFonts w:ascii="Helvetica" w:hAnsi="Helvetica"/>
                <w:sz w:val="18"/>
                <w:szCs w:val="18"/>
              </w:rPr>
            </w:pPr>
          </w:p>
        </w:tc>
        <w:tc>
          <w:tcPr>
            <w:tcW w:w="1336" w:type="dxa"/>
          </w:tcPr>
          <w:p w14:paraId="457D76A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793E09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5C0571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57D3FB5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7A5E9F6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2.88</w:t>
            </w:r>
          </w:p>
        </w:tc>
      </w:tr>
      <w:tr w:rsidR="003C64F0" w:rsidRPr="00CC2F84" w14:paraId="2CDF3300" w14:textId="77777777" w:rsidTr="005872A5">
        <w:tc>
          <w:tcPr>
            <w:tcW w:w="1336" w:type="dxa"/>
          </w:tcPr>
          <w:p w14:paraId="1DBD3ECC" w14:textId="77777777" w:rsidR="00AB7EBC" w:rsidRPr="00FE37B8" w:rsidRDefault="00AB7EBC">
            <w:pPr>
              <w:pStyle w:val="Compact"/>
              <w:rPr>
                <w:rFonts w:ascii="Helvetica" w:hAnsi="Helvetica"/>
                <w:sz w:val="18"/>
                <w:szCs w:val="18"/>
              </w:rPr>
            </w:pPr>
          </w:p>
        </w:tc>
        <w:tc>
          <w:tcPr>
            <w:tcW w:w="1336" w:type="dxa"/>
          </w:tcPr>
          <w:p w14:paraId="001ED51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9E21A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3228AB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5D523D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37149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1.77</w:t>
            </w:r>
          </w:p>
        </w:tc>
      </w:tr>
      <w:tr w:rsidR="003C64F0" w:rsidRPr="00CC2F84" w14:paraId="1919B2C8" w14:textId="77777777" w:rsidTr="005872A5">
        <w:tc>
          <w:tcPr>
            <w:tcW w:w="1336" w:type="dxa"/>
          </w:tcPr>
          <w:p w14:paraId="09B44472" w14:textId="77777777" w:rsidR="00AB7EBC" w:rsidRPr="00FE37B8" w:rsidRDefault="00AB7EBC">
            <w:pPr>
              <w:pStyle w:val="Compact"/>
              <w:rPr>
                <w:rFonts w:ascii="Helvetica" w:hAnsi="Helvetica"/>
                <w:sz w:val="18"/>
                <w:szCs w:val="18"/>
              </w:rPr>
            </w:pPr>
          </w:p>
        </w:tc>
        <w:tc>
          <w:tcPr>
            <w:tcW w:w="1336" w:type="dxa"/>
          </w:tcPr>
          <w:p w14:paraId="63B27ACA"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11D8C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75955AF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7DCF065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0A3472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1.79</w:t>
            </w:r>
          </w:p>
        </w:tc>
      </w:tr>
      <w:tr w:rsidR="003C64F0" w:rsidRPr="00CC2F84" w14:paraId="0678516A" w14:textId="77777777" w:rsidTr="005872A5">
        <w:tc>
          <w:tcPr>
            <w:tcW w:w="1336" w:type="dxa"/>
          </w:tcPr>
          <w:p w14:paraId="09EC5610" w14:textId="77777777" w:rsidR="00AB7EBC" w:rsidRPr="00FE37B8" w:rsidRDefault="00AB7EBC">
            <w:pPr>
              <w:pStyle w:val="Compact"/>
              <w:rPr>
                <w:rFonts w:ascii="Helvetica" w:hAnsi="Helvetica"/>
                <w:sz w:val="18"/>
                <w:szCs w:val="18"/>
              </w:rPr>
            </w:pPr>
          </w:p>
        </w:tc>
        <w:tc>
          <w:tcPr>
            <w:tcW w:w="1336" w:type="dxa"/>
          </w:tcPr>
          <w:p w14:paraId="4AAE482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1B12DDA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672" w:type="dxa"/>
          </w:tcPr>
          <w:p w14:paraId="3DCF2A1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4F8D77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011E67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2.59</w:t>
            </w:r>
          </w:p>
        </w:tc>
      </w:tr>
      <w:tr w:rsidR="003C64F0" w:rsidRPr="00CC2F84" w14:paraId="3630B603" w14:textId="77777777" w:rsidTr="005872A5">
        <w:tc>
          <w:tcPr>
            <w:tcW w:w="1336" w:type="dxa"/>
          </w:tcPr>
          <w:p w14:paraId="50D80F46" w14:textId="77777777" w:rsidR="00AB7EBC" w:rsidRPr="00FE37B8" w:rsidRDefault="00AB7EBC">
            <w:pPr>
              <w:pStyle w:val="Compact"/>
              <w:rPr>
                <w:rFonts w:ascii="Helvetica" w:hAnsi="Helvetica"/>
                <w:sz w:val="18"/>
                <w:szCs w:val="18"/>
              </w:rPr>
            </w:pPr>
          </w:p>
        </w:tc>
        <w:tc>
          <w:tcPr>
            <w:tcW w:w="1336" w:type="dxa"/>
          </w:tcPr>
          <w:p w14:paraId="0BCEC584"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167C02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672" w:type="dxa"/>
          </w:tcPr>
          <w:p w14:paraId="2E8B79E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37D167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7769F0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2.42</w:t>
            </w:r>
          </w:p>
        </w:tc>
      </w:tr>
      <w:tr w:rsidR="005872A5" w:rsidRPr="00CC2F84" w14:paraId="4BF79A71" w14:textId="77777777" w:rsidTr="0005400C">
        <w:tc>
          <w:tcPr>
            <w:tcW w:w="1336" w:type="dxa"/>
            <w:vAlign w:val="center"/>
          </w:tcPr>
          <w:p w14:paraId="48D13371" w14:textId="3AE5E246" w:rsidR="005872A5" w:rsidRPr="005872A5" w:rsidRDefault="005872A5" w:rsidP="005872A5">
            <w:pPr>
              <w:pStyle w:val="Compact"/>
              <w:rPr>
                <w:rFonts w:ascii="Helvetica" w:hAnsi="Helvetica"/>
                <w:sz w:val="18"/>
                <w:szCs w:val="18"/>
              </w:rPr>
            </w:pPr>
            <m:oMath>
              <m:r>
                <w:rPr>
                  <w:rFonts w:ascii="Cambria Math" w:hAnsi="Cambria Math"/>
                  <w:sz w:val="18"/>
                  <w:szCs w:val="18"/>
                </w:rPr>
                <m:t>γ</m:t>
              </m:r>
            </m:oMath>
            <w:r w:rsidRPr="005872A5">
              <w:rPr>
                <w:rStyle w:val="apple-converted-space"/>
                <w:rFonts w:ascii="Helvetica" w:hAnsi="Helvetica" w:cs="Segoe UI"/>
                <w:sz w:val="18"/>
                <w:szCs w:val="18"/>
              </w:rPr>
              <w:t> </w:t>
            </w:r>
            <w:r w:rsidRPr="005872A5">
              <w:rPr>
                <w:rFonts w:ascii="Helvetica" w:hAnsi="Helvetica" w:cs="Segoe UI"/>
                <w:sz w:val="18"/>
                <w:szCs w:val="18"/>
              </w:rPr>
              <w:t>= 1/3</w:t>
            </w:r>
          </w:p>
        </w:tc>
        <w:tc>
          <w:tcPr>
            <w:tcW w:w="1336" w:type="dxa"/>
            <w:vAlign w:val="center"/>
          </w:tcPr>
          <w:p w14:paraId="1CAF6206" w14:textId="17DC203A"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East</w:t>
            </w:r>
          </w:p>
        </w:tc>
        <w:tc>
          <w:tcPr>
            <w:tcW w:w="1672" w:type="dxa"/>
            <w:vAlign w:val="center"/>
          </w:tcPr>
          <w:p w14:paraId="0F505035" w14:textId="400BAB52"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1.41</w:t>
            </w:r>
          </w:p>
        </w:tc>
        <w:tc>
          <w:tcPr>
            <w:tcW w:w="1672" w:type="dxa"/>
            <w:vAlign w:val="center"/>
          </w:tcPr>
          <w:p w14:paraId="1721B46F" w14:textId="2C031397"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1.26</w:t>
            </w:r>
          </w:p>
        </w:tc>
        <w:tc>
          <w:tcPr>
            <w:tcW w:w="1672" w:type="dxa"/>
            <w:vAlign w:val="center"/>
          </w:tcPr>
          <w:p w14:paraId="0313BC20" w14:textId="392AD74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−6</w:t>
            </w:r>
          </w:p>
        </w:tc>
        <w:tc>
          <w:tcPr>
            <w:tcW w:w="1672" w:type="dxa"/>
            <w:vAlign w:val="center"/>
          </w:tcPr>
          <w:p w14:paraId="2724DB23" w14:textId="51338847"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2.62</w:t>
            </w:r>
          </w:p>
        </w:tc>
      </w:tr>
      <w:tr w:rsidR="005872A5" w:rsidRPr="00CC2F84" w14:paraId="094A2E8C" w14:textId="77777777" w:rsidTr="0005400C">
        <w:tc>
          <w:tcPr>
            <w:tcW w:w="1336" w:type="dxa"/>
            <w:vAlign w:val="center"/>
          </w:tcPr>
          <w:p w14:paraId="57C1CF4C" w14:textId="77777777" w:rsidR="005872A5" w:rsidRPr="005872A5" w:rsidRDefault="005872A5" w:rsidP="005872A5">
            <w:pPr>
              <w:pStyle w:val="Compact"/>
              <w:rPr>
                <w:rFonts w:ascii="Helvetica" w:hAnsi="Helvetica"/>
                <w:sz w:val="18"/>
                <w:szCs w:val="18"/>
              </w:rPr>
            </w:pPr>
          </w:p>
        </w:tc>
        <w:tc>
          <w:tcPr>
            <w:tcW w:w="1336" w:type="dxa"/>
            <w:vAlign w:val="center"/>
          </w:tcPr>
          <w:p w14:paraId="413A8069" w14:textId="36BFAB01"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Southeast</w:t>
            </w:r>
          </w:p>
        </w:tc>
        <w:tc>
          <w:tcPr>
            <w:tcW w:w="1672" w:type="dxa"/>
            <w:vAlign w:val="center"/>
          </w:tcPr>
          <w:p w14:paraId="7C5D01E6" w14:textId="6D73379D"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1.45</w:t>
            </w:r>
          </w:p>
        </w:tc>
        <w:tc>
          <w:tcPr>
            <w:tcW w:w="1672" w:type="dxa"/>
            <w:vAlign w:val="center"/>
          </w:tcPr>
          <w:p w14:paraId="171ED8E2" w14:textId="6B4831F9"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1.28</w:t>
            </w:r>
          </w:p>
        </w:tc>
        <w:tc>
          <w:tcPr>
            <w:tcW w:w="1672" w:type="dxa"/>
            <w:vAlign w:val="center"/>
          </w:tcPr>
          <w:p w14:paraId="1573010A" w14:textId="0A87B56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−6</w:t>
            </w:r>
          </w:p>
        </w:tc>
        <w:tc>
          <w:tcPr>
            <w:tcW w:w="1672" w:type="dxa"/>
            <w:vAlign w:val="center"/>
          </w:tcPr>
          <w:p w14:paraId="77FB932D" w14:textId="0BB3B67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2.78</w:t>
            </w:r>
          </w:p>
        </w:tc>
      </w:tr>
      <w:tr w:rsidR="005872A5" w:rsidRPr="00CC2F84" w14:paraId="616A0D8E" w14:textId="77777777" w:rsidTr="0005400C">
        <w:tc>
          <w:tcPr>
            <w:tcW w:w="1336" w:type="dxa"/>
            <w:vAlign w:val="center"/>
          </w:tcPr>
          <w:p w14:paraId="048993E7" w14:textId="77777777" w:rsidR="005872A5" w:rsidRPr="005872A5" w:rsidRDefault="005872A5" w:rsidP="005872A5">
            <w:pPr>
              <w:pStyle w:val="Compact"/>
              <w:rPr>
                <w:rFonts w:ascii="Helvetica" w:hAnsi="Helvetica"/>
                <w:sz w:val="18"/>
                <w:szCs w:val="18"/>
              </w:rPr>
            </w:pPr>
          </w:p>
        </w:tc>
        <w:tc>
          <w:tcPr>
            <w:tcW w:w="1336" w:type="dxa"/>
            <w:vAlign w:val="center"/>
          </w:tcPr>
          <w:p w14:paraId="2CFBBEC4" w14:textId="0129BB13"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Midwest</w:t>
            </w:r>
          </w:p>
        </w:tc>
        <w:tc>
          <w:tcPr>
            <w:tcW w:w="1672" w:type="dxa"/>
            <w:vAlign w:val="center"/>
          </w:tcPr>
          <w:p w14:paraId="50D2215F" w14:textId="7BDAAFB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1.24</w:t>
            </w:r>
          </w:p>
        </w:tc>
        <w:tc>
          <w:tcPr>
            <w:tcW w:w="1672" w:type="dxa"/>
            <w:vAlign w:val="center"/>
          </w:tcPr>
          <w:p w14:paraId="28570DE2" w14:textId="4DB61FA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1.17</w:t>
            </w:r>
          </w:p>
        </w:tc>
        <w:tc>
          <w:tcPr>
            <w:tcW w:w="1672" w:type="dxa"/>
            <w:vAlign w:val="center"/>
          </w:tcPr>
          <w:p w14:paraId="2EBC5ECF" w14:textId="39B1FFE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−4</w:t>
            </w:r>
          </w:p>
        </w:tc>
        <w:tc>
          <w:tcPr>
            <w:tcW w:w="1672" w:type="dxa"/>
            <w:vAlign w:val="center"/>
          </w:tcPr>
          <w:p w14:paraId="0B8DFE86" w14:textId="260CA9E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1.73</w:t>
            </w:r>
          </w:p>
        </w:tc>
      </w:tr>
      <w:tr w:rsidR="005872A5" w:rsidRPr="00CC2F84" w14:paraId="61FEF9C2" w14:textId="77777777" w:rsidTr="0005400C">
        <w:tc>
          <w:tcPr>
            <w:tcW w:w="1336" w:type="dxa"/>
            <w:vAlign w:val="center"/>
          </w:tcPr>
          <w:p w14:paraId="35844761" w14:textId="77777777" w:rsidR="005872A5" w:rsidRPr="005872A5" w:rsidRDefault="005872A5" w:rsidP="005872A5">
            <w:pPr>
              <w:pStyle w:val="Compact"/>
              <w:rPr>
                <w:rFonts w:ascii="Helvetica" w:hAnsi="Helvetica"/>
                <w:sz w:val="18"/>
                <w:szCs w:val="18"/>
              </w:rPr>
            </w:pPr>
          </w:p>
        </w:tc>
        <w:tc>
          <w:tcPr>
            <w:tcW w:w="1336" w:type="dxa"/>
            <w:vAlign w:val="center"/>
          </w:tcPr>
          <w:p w14:paraId="2EB31D12" w14:textId="326C32E8"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Southwest</w:t>
            </w:r>
          </w:p>
        </w:tc>
        <w:tc>
          <w:tcPr>
            <w:tcW w:w="1672" w:type="dxa"/>
            <w:vAlign w:val="center"/>
          </w:tcPr>
          <w:p w14:paraId="286F044C" w14:textId="51A6AAD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1.22</w:t>
            </w:r>
          </w:p>
        </w:tc>
        <w:tc>
          <w:tcPr>
            <w:tcW w:w="1672" w:type="dxa"/>
            <w:vAlign w:val="center"/>
          </w:tcPr>
          <w:p w14:paraId="46049965" w14:textId="1C36898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1.15</w:t>
            </w:r>
          </w:p>
        </w:tc>
        <w:tc>
          <w:tcPr>
            <w:tcW w:w="1672" w:type="dxa"/>
            <w:vAlign w:val="center"/>
          </w:tcPr>
          <w:p w14:paraId="397DA3F7" w14:textId="2313095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−3</w:t>
            </w:r>
          </w:p>
        </w:tc>
        <w:tc>
          <w:tcPr>
            <w:tcW w:w="1672" w:type="dxa"/>
            <w:vAlign w:val="center"/>
          </w:tcPr>
          <w:p w14:paraId="24080044" w14:textId="7430E05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1.75</w:t>
            </w:r>
          </w:p>
        </w:tc>
      </w:tr>
      <w:tr w:rsidR="005872A5" w:rsidRPr="00CC2F84" w14:paraId="5B17E077" w14:textId="77777777" w:rsidTr="0005400C">
        <w:tc>
          <w:tcPr>
            <w:tcW w:w="1336" w:type="dxa"/>
            <w:vAlign w:val="center"/>
          </w:tcPr>
          <w:p w14:paraId="72E5A11B" w14:textId="77777777" w:rsidR="005872A5" w:rsidRPr="005872A5" w:rsidRDefault="005872A5" w:rsidP="005872A5">
            <w:pPr>
              <w:pStyle w:val="Compact"/>
              <w:rPr>
                <w:rFonts w:ascii="Helvetica" w:hAnsi="Helvetica"/>
                <w:sz w:val="18"/>
                <w:szCs w:val="18"/>
              </w:rPr>
            </w:pPr>
          </w:p>
        </w:tc>
        <w:tc>
          <w:tcPr>
            <w:tcW w:w="1336" w:type="dxa"/>
            <w:vAlign w:val="center"/>
          </w:tcPr>
          <w:p w14:paraId="6E627B00" w14:textId="28DD8EA3"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Northwest</w:t>
            </w:r>
          </w:p>
        </w:tc>
        <w:tc>
          <w:tcPr>
            <w:tcW w:w="1672" w:type="dxa"/>
            <w:vAlign w:val="center"/>
          </w:tcPr>
          <w:p w14:paraId="531598DF" w14:textId="1619FFD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1.40</w:t>
            </w:r>
          </w:p>
        </w:tc>
        <w:tc>
          <w:tcPr>
            <w:tcW w:w="1672" w:type="dxa"/>
            <w:vAlign w:val="center"/>
          </w:tcPr>
          <w:p w14:paraId="7E96962C" w14:textId="1250A7B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1.25</w:t>
            </w:r>
          </w:p>
        </w:tc>
        <w:tc>
          <w:tcPr>
            <w:tcW w:w="1672" w:type="dxa"/>
            <w:vAlign w:val="center"/>
          </w:tcPr>
          <w:p w14:paraId="720C1D27" w14:textId="0F5FA3B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−5</w:t>
            </w:r>
          </w:p>
        </w:tc>
        <w:tc>
          <w:tcPr>
            <w:tcW w:w="1672" w:type="dxa"/>
            <w:vAlign w:val="center"/>
          </w:tcPr>
          <w:p w14:paraId="55C75515" w14:textId="627D9AF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2.52</w:t>
            </w:r>
          </w:p>
        </w:tc>
      </w:tr>
      <w:tr w:rsidR="005872A5" w:rsidRPr="00CC2F84" w14:paraId="27CC6F8A" w14:textId="77777777" w:rsidTr="0005400C">
        <w:tc>
          <w:tcPr>
            <w:tcW w:w="1336" w:type="dxa"/>
            <w:vAlign w:val="center"/>
          </w:tcPr>
          <w:p w14:paraId="252A9F40" w14:textId="77777777" w:rsidR="005872A5" w:rsidRPr="005872A5" w:rsidRDefault="005872A5" w:rsidP="005872A5">
            <w:pPr>
              <w:pStyle w:val="Compact"/>
              <w:rPr>
                <w:rFonts w:ascii="Helvetica" w:hAnsi="Helvetica"/>
                <w:sz w:val="18"/>
                <w:szCs w:val="18"/>
              </w:rPr>
            </w:pPr>
          </w:p>
        </w:tc>
        <w:tc>
          <w:tcPr>
            <w:tcW w:w="1336" w:type="dxa"/>
            <w:vAlign w:val="center"/>
          </w:tcPr>
          <w:p w14:paraId="6F2C2FE4" w14:textId="6CE4794D"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California</w:t>
            </w:r>
          </w:p>
        </w:tc>
        <w:tc>
          <w:tcPr>
            <w:tcW w:w="1672" w:type="dxa"/>
            <w:vAlign w:val="center"/>
          </w:tcPr>
          <w:p w14:paraId="0D362F46" w14:textId="09040C3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1.35</w:t>
            </w:r>
          </w:p>
        </w:tc>
        <w:tc>
          <w:tcPr>
            <w:tcW w:w="1672" w:type="dxa"/>
            <w:vAlign w:val="center"/>
          </w:tcPr>
          <w:p w14:paraId="72C0440D" w14:textId="6A59820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1.21</w:t>
            </w:r>
          </w:p>
        </w:tc>
        <w:tc>
          <w:tcPr>
            <w:tcW w:w="1672" w:type="dxa"/>
            <w:vAlign w:val="center"/>
          </w:tcPr>
          <w:p w14:paraId="54FFACB2" w14:textId="1AE7C10F"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−5</w:t>
            </w:r>
          </w:p>
        </w:tc>
        <w:tc>
          <w:tcPr>
            <w:tcW w:w="1672" w:type="dxa"/>
            <w:vAlign w:val="center"/>
          </w:tcPr>
          <w:p w14:paraId="6F90F9CF" w14:textId="605F845F"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2.38</w:t>
            </w:r>
          </w:p>
        </w:tc>
      </w:tr>
      <w:tr w:rsidR="005872A5" w:rsidRPr="00CC2F84" w14:paraId="522B7962" w14:textId="77777777" w:rsidTr="0005400C">
        <w:tc>
          <w:tcPr>
            <w:tcW w:w="1336" w:type="dxa"/>
            <w:vAlign w:val="center"/>
          </w:tcPr>
          <w:p w14:paraId="69675F35" w14:textId="2588B669" w:rsidR="005872A5" w:rsidRPr="005872A5" w:rsidRDefault="005872A5" w:rsidP="005872A5">
            <w:pPr>
              <w:pStyle w:val="Compact"/>
              <w:rPr>
                <w:rFonts w:ascii="Helvetica" w:hAnsi="Helvetica"/>
                <w:sz w:val="18"/>
                <w:szCs w:val="18"/>
              </w:rPr>
            </w:pPr>
            <m:oMath>
              <m:r>
                <w:rPr>
                  <w:rFonts w:ascii="Cambria Math" w:hAnsi="Cambria Math"/>
                  <w:sz w:val="18"/>
                  <w:szCs w:val="18"/>
                </w:rPr>
                <m:t>γ</m:t>
              </m:r>
            </m:oMath>
            <w:r w:rsidRPr="005872A5">
              <w:rPr>
                <w:rStyle w:val="apple-converted-space"/>
                <w:rFonts w:ascii="Helvetica" w:hAnsi="Helvetica" w:cs="Segoe UI"/>
                <w:sz w:val="18"/>
                <w:szCs w:val="18"/>
              </w:rPr>
              <w:t> </w:t>
            </w:r>
            <w:r w:rsidRPr="005872A5">
              <w:rPr>
                <w:rFonts w:ascii="Helvetica" w:hAnsi="Helvetica" w:cs="Segoe UI"/>
                <w:sz w:val="18"/>
                <w:szCs w:val="18"/>
              </w:rPr>
              <w:t>= 1/10</w:t>
            </w:r>
          </w:p>
        </w:tc>
        <w:tc>
          <w:tcPr>
            <w:tcW w:w="1336" w:type="dxa"/>
            <w:vAlign w:val="center"/>
          </w:tcPr>
          <w:p w14:paraId="3DBC55E3" w14:textId="7EB5A23B"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East</w:t>
            </w:r>
          </w:p>
        </w:tc>
        <w:tc>
          <w:tcPr>
            <w:tcW w:w="1672" w:type="dxa"/>
            <w:vAlign w:val="center"/>
          </w:tcPr>
          <w:p w14:paraId="7D37B2F0" w14:textId="224E964F"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1.41</w:t>
            </w:r>
          </w:p>
        </w:tc>
        <w:tc>
          <w:tcPr>
            <w:tcW w:w="1672" w:type="dxa"/>
            <w:vAlign w:val="center"/>
          </w:tcPr>
          <w:p w14:paraId="5CD89A58" w14:textId="7A4F657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1.26</w:t>
            </w:r>
          </w:p>
        </w:tc>
        <w:tc>
          <w:tcPr>
            <w:tcW w:w="1672" w:type="dxa"/>
            <w:vAlign w:val="center"/>
          </w:tcPr>
          <w:p w14:paraId="7CA6173A" w14:textId="72C30BC2"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−21</w:t>
            </w:r>
          </w:p>
        </w:tc>
        <w:tc>
          <w:tcPr>
            <w:tcW w:w="1672" w:type="dxa"/>
            <w:vAlign w:val="center"/>
          </w:tcPr>
          <w:p w14:paraId="0AD6168B" w14:textId="05DFC316"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2.62</w:t>
            </w:r>
          </w:p>
        </w:tc>
      </w:tr>
      <w:tr w:rsidR="005872A5" w:rsidRPr="00CC2F84" w14:paraId="35FF0ACE" w14:textId="77777777" w:rsidTr="0005400C">
        <w:tc>
          <w:tcPr>
            <w:tcW w:w="1336" w:type="dxa"/>
            <w:vAlign w:val="center"/>
          </w:tcPr>
          <w:p w14:paraId="211086C1" w14:textId="77777777" w:rsidR="005872A5" w:rsidRPr="005872A5" w:rsidRDefault="005872A5" w:rsidP="005872A5">
            <w:pPr>
              <w:pStyle w:val="Compact"/>
              <w:rPr>
                <w:rFonts w:ascii="Helvetica" w:hAnsi="Helvetica"/>
                <w:sz w:val="18"/>
                <w:szCs w:val="18"/>
              </w:rPr>
            </w:pPr>
          </w:p>
        </w:tc>
        <w:tc>
          <w:tcPr>
            <w:tcW w:w="1336" w:type="dxa"/>
            <w:vAlign w:val="center"/>
          </w:tcPr>
          <w:p w14:paraId="120E4FFD" w14:textId="1E04D908"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Southeast</w:t>
            </w:r>
          </w:p>
        </w:tc>
        <w:tc>
          <w:tcPr>
            <w:tcW w:w="1672" w:type="dxa"/>
            <w:vAlign w:val="center"/>
          </w:tcPr>
          <w:p w14:paraId="4A1F6763" w14:textId="1129386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1.45</w:t>
            </w:r>
          </w:p>
        </w:tc>
        <w:tc>
          <w:tcPr>
            <w:tcW w:w="1672" w:type="dxa"/>
            <w:vAlign w:val="center"/>
          </w:tcPr>
          <w:p w14:paraId="31CE2FEF" w14:textId="5A40CC1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1.28</w:t>
            </w:r>
          </w:p>
        </w:tc>
        <w:tc>
          <w:tcPr>
            <w:tcW w:w="1672" w:type="dxa"/>
            <w:vAlign w:val="center"/>
          </w:tcPr>
          <w:p w14:paraId="4E11BE0A" w14:textId="5F604E5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−22</w:t>
            </w:r>
          </w:p>
        </w:tc>
        <w:tc>
          <w:tcPr>
            <w:tcW w:w="1672" w:type="dxa"/>
            <w:vAlign w:val="center"/>
          </w:tcPr>
          <w:p w14:paraId="19B453C9" w14:textId="52C4B03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2.78</w:t>
            </w:r>
          </w:p>
        </w:tc>
      </w:tr>
      <w:tr w:rsidR="005872A5" w:rsidRPr="00CC2F84" w14:paraId="1C569411" w14:textId="77777777" w:rsidTr="0005400C">
        <w:tc>
          <w:tcPr>
            <w:tcW w:w="1336" w:type="dxa"/>
            <w:vAlign w:val="center"/>
          </w:tcPr>
          <w:p w14:paraId="487DDF0F" w14:textId="77777777" w:rsidR="005872A5" w:rsidRPr="005872A5" w:rsidRDefault="005872A5" w:rsidP="005872A5">
            <w:pPr>
              <w:pStyle w:val="Compact"/>
              <w:rPr>
                <w:rFonts w:ascii="Helvetica" w:hAnsi="Helvetica"/>
                <w:sz w:val="18"/>
                <w:szCs w:val="18"/>
              </w:rPr>
            </w:pPr>
          </w:p>
        </w:tc>
        <w:tc>
          <w:tcPr>
            <w:tcW w:w="1336" w:type="dxa"/>
            <w:vAlign w:val="center"/>
          </w:tcPr>
          <w:p w14:paraId="1FE330AC" w14:textId="29BA0D57"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Midwest</w:t>
            </w:r>
          </w:p>
        </w:tc>
        <w:tc>
          <w:tcPr>
            <w:tcW w:w="1672" w:type="dxa"/>
            <w:vAlign w:val="center"/>
          </w:tcPr>
          <w:p w14:paraId="69CEF160" w14:textId="1A918DD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1.24</w:t>
            </w:r>
          </w:p>
        </w:tc>
        <w:tc>
          <w:tcPr>
            <w:tcW w:w="1672" w:type="dxa"/>
            <w:vAlign w:val="center"/>
          </w:tcPr>
          <w:p w14:paraId="430EE73C" w14:textId="47C07FDB"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1.17</w:t>
            </w:r>
          </w:p>
        </w:tc>
        <w:tc>
          <w:tcPr>
            <w:tcW w:w="1672" w:type="dxa"/>
            <w:vAlign w:val="center"/>
          </w:tcPr>
          <w:p w14:paraId="2DC9D033" w14:textId="74E268E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w:t>
            </w:r>
          </w:p>
        </w:tc>
        <w:tc>
          <w:tcPr>
            <w:tcW w:w="1672" w:type="dxa"/>
            <w:vAlign w:val="center"/>
          </w:tcPr>
          <w:p w14:paraId="3245017B" w14:textId="178D5DA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1.74</w:t>
            </w:r>
          </w:p>
        </w:tc>
      </w:tr>
      <w:tr w:rsidR="005872A5" w:rsidRPr="00CC2F84" w14:paraId="2E239E1C" w14:textId="77777777" w:rsidTr="0005400C">
        <w:tc>
          <w:tcPr>
            <w:tcW w:w="1336" w:type="dxa"/>
            <w:vAlign w:val="center"/>
          </w:tcPr>
          <w:p w14:paraId="51DBB850" w14:textId="77777777" w:rsidR="005872A5" w:rsidRPr="005872A5" w:rsidRDefault="005872A5" w:rsidP="005872A5">
            <w:pPr>
              <w:pStyle w:val="Compact"/>
              <w:rPr>
                <w:rFonts w:ascii="Helvetica" w:hAnsi="Helvetica"/>
                <w:sz w:val="18"/>
                <w:szCs w:val="18"/>
              </w:rPr>
            </w:pPr>
          </w:p>
        </w:tc>
        <w:tc>
          <w:tcPr>
            <w:tcW w:w="1336" w:type="dxa"/>
            <w:vAlign w:val="center"/>
          </w:tcPr>
          <w:p w14:paraId="753AC6CD" w14:textId="772011ED"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Southwest</w:t>
            </w:r>
          </w:p>
        </w:tc>
        <w:tc>
          <w:tcPr>
            <w:tcW w:w="1672" w:type="dxa"/>
            <w:vAlign w:val="center"/>
          </w:tcPr>
          <w:p w14:paraId="6AE99C55" w14:textId="1358452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1.23</w:t>
            </w:r>
          </w:p>
        </w:tc>
        <w:tc>
          <w:tcPr>
            <w:tcW w:w="1672" w:type="dxa"/>
            <w:vAlign w:val="center"/>
          </w:tcPr>
          <w:p w14:paraId="1F1F5E72" w14:textId="0E044F9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1.15</w:t>
            </w:r>
          </w:p>
        </w:tc>
        <w:tc>
          <w:tcPr>
            <w:tcW w:w="1672" w:type="dxa"/>
            <w:vAlign w:val="center"/>
          </w:tcPr>
          <w:p w14:paraId="1176EEBE" w14:textId="4B7FB3C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−10</w:t>
            </w:r>
          </w:p>
        </w:tc>
        <w:tc>
          <w:tcPr>
            <w:tcW w:w="1672" w:type="dxa"/>
            <w:vAlign w:val="center"/>
          </w:tcPr>
          <w:p w14:paraId="1AB1B2C3" w14:textId="5668B8A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1.75</w:t>
            </w:r>
          </w:p>
        </w:tc>
      </w:tr>
      <w:tr w:rsidR="005872A5" w:rsidRPr="00CC2F84" w14:paraId="0E3762E1" w14:textId="77777777" w:rsidTr="0005400C">
        <w:tc>
          <w:tcPr>
            <w:tcW w:w="1336" w:type="dxa"/>
            <w:vAlign w:val="center"/>
          </w:tcPr>
          <w:p w14:paraId="3E1CC10E" w14:textId="77777777" w:rsidR="005872A5" w:rsidRPr="005872A5" w:rsidRDefault="005872A5" w:rsidP="005872A5">
            <w:pPr>
              <w:pStyle w:val="Compact"/>
              <w:rPr>
                <w:rFonts w:ascii="Helvetica" w:hAnsi="Helvetica"/>
                <w:sz w:val="18"/>
                <w:szCs w:val="18"/>
              </w:rPr>
            </w:pPr>
          </w:p>
        </w:tc>
        <w:tc>
          <w:tcPr>
            <w:tcW w:w="1336" w:type="dxa"/>
            <w:vAlign w:val="center"/>
          </w:tcPr>
          <w:p w14:paraId="70270056" w14:textId="7DE70FFA"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Northwest</w:t>
            </w:r>
          </w:p>
        </w:tc>
        <w:tc>
          <w:tcPr>
            <w:tcW w:w="1672" w:type="dxa"/>
            <w:vAlign w:val="center"/>
          </w:tcPr>
          <w:p w14:paraId="2344E3AC" w14:textId="1B28FE5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1.40</w:t>
            </w:r>
          </w:p>
        </w:tc>
        <w:tc>
          <w:tcPr>
            <w:tcW w:w="1672" w:type="dxa"/>
            <w:vAlign w:val="center"/>
          </w:tcPr>
          <w:p w14:paraId="24DEFDB3" w14:textId="4BE840B7"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1.25</w:t>
            </w:r>
          </w:p>
        </w:tc>
        <w:tc>
          <w:tcPr>
            <w:tcW w:w="1672" w:type="dxa"/>
            <w:vAlign w:val="center"/>
          </w:tcPr>
          <w:p w14:paraId="19B7890E" w14:textId="425CF91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−19</w:t>
            </w:r>
          </w:p>
        </w:tc>
        <w:tc>
          <w:tcPr>
            <w:tcW w:w="1672" w:type="dxa"/>
            <w:vAlign w:val="center"/>
          </w:tcPr>
          <w:p w14:paraId="3111AD70" w14:textId="7DC702A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2.52</w:t>
            </w:r>
          </w:p>
        </w:tc>
      </w:tr>
      <w:tr w:rsidR="005872A5" w:rsidRPr="00CC2F84" w14:paraId="274EEC9F" w14:textId="77777777" w:rsidTr="0005400C">
        <w:tc>
          <w:tcPr>
            <w:tcW w:w="1336" w:type="dxa"/>
            <w:vAlign w:val="center"/>
          </w:tcPr>
          <w:p w14:paraId="0EF6BCC8" w14:textId="77777777" w:rsidR="005872A5" w:rsidRPr="005872A5" w:rsidRDefault="005872A5" w:rsidP="005872A5">
            <w:pPr>
              <w:pStyle w:val="Compact"/>
              <w:rPr>
                <w:rFonts w:ascii="Helvetica" w:hAnsi="Helvetica"/>
                <w:sz w:val="18"/>
                <w:szCs w:val="18"/>
              </w:rPr>
            </w:pPr>
          </w:p>
        </w:tc>
        <w:tc>
          <w:tcPr>
            <w:tcW w:w="1336" w:type="dxa"/>
            <w:vAlign w:val="center"/>
          </w:tcPr>
          <w:p w14:paraId="2AB508D8" w14:textId="585DE73D"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California</w:t>
            </w:r>
          </w:p>
        </w:tc>
        <w:tc>
          <w:tcPr>
            <w:tcW w:w="1672" w:type="dxa"/>
            <w:vAlign w:val="center"/>
          </w:tcPr>
          <w:p w14:paraId="7E21052E" w14:textId="4598C47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1.35</w:t>
            </w:r>
          </w:p>
        </w:tc>
        <w:tc>
          <w:tcPr>
            <w:tcW w:w="1672" w:type="dxa"/>
            <w:vAlign w:val="center"/>
          </w:tcPr>
          <w:p w14:paraId="53D0B730" w14:textId="03ADF532"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1.21</w:t>
            </w:r>
          </w:p>
        </w:tc>
        <w:tc>
          <w:tcPr>
            <w:tcW w:w="1672" w:type="dxa"/>
            <w:vAlign w:val="center"/>
          </w:tcPr>
          <w:p w14:paraId="0910817C" w14:textId="0B6E83D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−15</w:t>
            </w:r>
          </w:p>
        </w:tc>
        <w:tc>
          <w:tcPr>
            <w:tcW w:w="1672" w:type="dxa"/>
            <w:vAlign w:val="center"/>
          </w:tcPr>
          <w:p w14:paraId="59442BBE" w14:textId="50B8889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2.38</w:t>
            </w:r>
          </w:p>
        </w:tc>
      </w:tr>
      <w:tr w:rsidR="005872A5" w:rsidRPr="00CC2F84" w14:paraId="06D2A63C" w14:textId="77777777" w:rsidTr="005872A5">
        <w:tc>
          <w:tcPr>
            <w:tcW w:w="1336" w:type="dxa"/>
          </w:tcPr>
          <w:p w14:paraId="3D43EEFE" w14:textId="77777777" w:rsidR="005872A5" w:rsidRPr="00FE37B8" w:rsidRDefault="005872A5" w:rsidP="005872A5">
            <w:pPr>
              <w:pStyle w:val="Compact"/>
              <w:rPr>
                <w:rFonts w:ascii="Helvetica" w:hAnsi="Helvetica"/>
                <w:sz w:val="18"/>
                <w:szCs w:val="18"/>
              </w:rPr>
            </w:pPr>
          </w:p>
        </w:tc>
        <w:tc>
          <w:tcPr>
            <w:tcW w:w="1336" w:type="dxa"/>
          </w:tcPr>
          <w:p w14:paraId="7234626F" w14:textId="77777777" w:rsidR="005872A5" w:rsidRPr="00FE37B8" w:rsidRDefault="005872A5" w:rsidP="005872A5">
            <w:pPr>
              <w:pStyle w:val="Compact"/>
              <w:rPr>
                <w:rFonts w:ascii="Helvetica" w:hAnsi="Helvetica"/>
                <w:sz w:val="18"/>
                <w:szCs w:val="18"/>
              </w:rPr>
            </w:pPr>
          </w:p>
        </w:tc>
        <w:tc>
          <w:tcPr>
            <w:tcW w:w="1672" w:type="dxa"/>
          </w:tcPr>
          <w:p w14:paraId="5EB12632" w14:textId="77777777" w:rsidR="005872A5" w:rsidRPr="00FE37B8" w:rsidRDefault="005872A5" w:rsidP="005872A5">
            <w:pPr>
              <w:pStyle w:val="Compact"/>
              <w:jc w:val="center"/>
              <w:rPr>
                <w:rFonts w:ascii="Helvetica" w:hAnsi="Helvetica"/>
                <w:sz w:val="18"/>
                <w:szCs w:val="18"/>
              </w:rPr>
            </w:pPr>
          </w:p>
        </w:tc>
        <w:tc>
          <w:tcPr>
            <w:tcW w:w="1672" w:type="dxa"/>
          </w:tcPr>
          <w:p w14:paraId="4D133F54" w14:textId="77777777" w:rsidR="005872A5" w:rsidRPr="00FE37B8" w:rsidRDefault="005872A5" w:rsidP="005872A5">
            <w:pPr>
              <w:pStyle w:val="Compact"/>
              <w:jc w:val="center"/>
              <w:rPr>
                <w:rFonts w:ascii="Helvetica" w:hAnsi="Helvetica"/>
                <w:sz w:val="18"/>
                <w:szCs w:val="18"/>
              </w:rPr>
            </w:pPr>
          </w:p>
        </w:tc>
        <w:tc>
          <w:tcPr>
            <w:tcW w:w="1672" w:type="dxa"/>
          </w:tcPr>
          <w:p w14:paraId="76715A52" w14:textId="77777777" w:rsidR="005872A5" w:rsidRPr="00FE37B8" w:rsidRDefault="005872A5" w:rsidP="005872A5">
            <w:pPr>
              <w:pStyle w:val="Compact"/>
              <w:jc w:val="center"/>
              <w:rPr>
                <w:rFonts w:ascii="Helvetica" w:hAnsi="Helvetica"/>
                <w:sz w:val="18"/>
                <w:szCs w:val="18"/>
              </w:rPr>
            </w:pPr>
          </w:p>
        </w:tc>
        <w:tc>
          <w:tcPr>
            <w:tcW w:w="1672" w:type="dxa"/>
          </w:tcPr>
          <w:p w14:paraId="75A2EFB3" w14:textId="77777777" w:rsidR="005872A5" w:rsidRPr="00FE37B8" w:rsidRDefault="005872A5" w:rsidP="005872A5">
            <w:pPr>
              <w:pStyle w:val="Compact"/>
              <w:jc w:val="center"/>
              <w:rPr>
                <w:rFonts w:ascii="Helvetica" w:hAnsi="Helvetica"/>
                <w:sz w:val="18"/>
                <w:szCs w:val="18"/>
              </w:rPr>
            </w:pPr>
          </w:p>
        </w:tc>
      </w:tr>
      <w:tr w:rsidR="005872A5" w:rsidRPr="00CC2F84" w14:paraId="7E716E54" w14:textId="77777777" w:rsidTr="005872A5">
        <w:tc>
          <w:tcPr>
            <w:tcW w:w="1336" w:type="dxa"/>
          </w:tcPr>
          <w:p w14:paraId="7618C566" w14:textId="77777777" w:rsidR="005872A5" w:rsidRPr="00FE37B8" w:rsidRDefault="005872A5" w:rsidP="005872A5">
            <w:pPr>
              <w:pStyle w:val="Compact"/>
              <w:rPr>
                <w:rFonts w:ascii="Helvetica" w:hAnsi="Helvetica"/>
                <w:sz w:val="18"/>
                <w:szCs w:val="18"/>
              </w:rPr>
            </w:pPr>
          </w:p>
        </w:tc>
        <w:tc>
          <w:tcPr>
            <w:tcW w:w="1336" w:type="dxa"/>
          </w:tcPr>
          <w:p w14:paraId="2F59C474" w14:textId="77777777" w:rsidR="005872A5" w:rsidRPr="00FE37B8" w:rsidRDefault="005872A5" w:rsidP="005872A5">
            <w:pPr>
              <w:pStyle w:val="Compact"/>
              <w:rPr>
                <w:rFonts w:ascii="Helvetica" w:hAnsi="Helvetica"/>
                <w:sz w:val="18"/>
                <w:szCs w:val="18"/>
              </w:rPr>
            </w:pPr>
          </w:p>
        </w:tc>
        <w:tc>
          <w:tcPr>
            <w:tcW w:w="1672" w:type="dxa"/>
          </w:tcPr>
          <w:p w14:paraId="21D26D49" w14:textId="77777777" w:rsidR="005872A5" w:rsidRPr="00FE37B8" w:rsidRDefault="005872A5" w:rsidP="005872A5">
            <w:pPr>
              <w:pStyle w:val="Compact"/>
              <w:jc w:val="center"/>
              <w:rPr>
                <w:rFonts w:ascii="Helvetica" w:hAnsi="Helvetica"/>
                <w:sz w:val="18"/>
                <w:szCs w:val="18"/>
              </w:rPr>
            </w:pPr>
          </w:p>
        </w:tc>
        <w:tc>
          <w:tcPr>
            <w:tcW w:w="1672" w:type="dxa"/>
          </w:tcPr>
          <w:p w14:paraId="20B74683" w14:textId="77777777" w:rsidR="005872A5" w:rsidRPr="00FE37B8" w:rsidRDefault="005872A5" w:rsidP="005872A5">
            <w:pPr>
              <w:pStyle w:val="Compact"/>
              <w:jc w:val="center"/>
              <w:rPr>
                <w:rFonts w:ascii="Helvetica" w:hAnsi="Helvetica"/>
                <w:sz w:val="18"/>
                <w:szCs w:val="18"/>
              </w:rPr>
            </w:pPr>
          </w:p>
        </w:tc>
        <w:tc>
          <w:tcPr>
            <w:tcW w:w="1672" w:type="dxa"/>
          </w:tcPr>
          <w:p w14:paraId="3218E3E3" w14:textId="77777777" w:rsidR="005872A5" w:rsidRPr="00FE37B8" w:rsidRDefault="005872A5" w:rsidP="005872A5">
            <w:pPr>
              <w:pStyle w:val="Compact"/>
              <w:jc w:val="center"/>
              <w:rPr>
                <w:rFonts w:ascii="Helvetica" w:hAnsi="Helvetica"/>
                <w:sz w:val="18"/>
                <w:szCs w:val="18"/>
              </w:rPr>
            </w:pPr>
          </w:p>
        </w:tc>
        <w:tc>
          <w:tcPr>
            <w:tcW w:w="1672" w:type="dxa"/>
          </w:tcPr>
          <w:p w14:paraId="7FEB3C33" w14:textId="77777777" w:rsidR="005872A5" w:rsidRPr="00FE37B8" w:rsidRDefault="005872A5" w:rsidP="005872A5">
            <w:pPr>
              <w:pStyle w:val="Compact"/>
              <w:jc w:val="center"/>
              <w:rPr>
                <w:rFonts w:ascii="Helvetica" w:hAnsi="Helvetica"/>
                <w:sz w:val="18"/>
                <w:szCs w:val="18"/>
              </w:rPr>
            </w:pPr>
          </w:p>
        </w:tc>
      </w:tr>
      <w:tr w:rsidR="005872A5" w:rsidRPr="00CC2F84" w14:paraId="2607C00A" w14:textId="77777777" w:rsidTr="005872A5">
        <w:tc>
          <w:tcPr>
            <w:tcW w:w="1336" w:type="dxa"/>
          </w:tcPr>
          <w:p w14:paraId="6D0D8744" w14:textId="77777777" w:rsidR="005872A5" w:rsidRPr="00FE37B8" w:rsidRDefault="005872A5" w:rsidP="005872A5">
            <w:pPr>
              <w:pStyle w:val="Compact"/>
              <w:rPr>
                <w:rFonts w:ascii="Helvetica" w:hAnsi="Helvetica"/>
                <w:sz w:val="18"/>
                <w:szCs w:val="18"/>
              </w:rPr>
            </w:pPr>
          </w:p>
        </w:tc>
        <w:tc>
          <w:tcPr>
            <w:tcW w:w="1336" w:type="dxa"/>
          </w:tcPr>
          <w:p w14:paraId="3B0B2594" w14:textId="77777777" w:rsidR="005872A5" w:rsidRPr="00FE37B8" w:rsidRDefault="005872A5" w:rsidP="005872A5">
            <w:pPr>
              <w:pStyle w:val="Compact"/>
              <w:rPr>
                <w:rFonts w:ascii="Helvetica" w:hAnsi="Helvetica"/>
                <w:sz w:val="18"/>
                <w:szCs w:val="18"/>
              </w:rPr>
            </w:pPr>
          </w:p>
        </w:tc>
        <w:tc>
          <w:tcPr>
            <w:tcW w:w="1672" w:type="dxa"/>
          </w:tcPr>
          <w:p w14:paraId="35AD6B91" w14:textId="77777777" w:rsidR="005872A5" w:rsidRPr="00FE37B8" w:rsidRDefault="005872A5" w:rsidP="005872A5">
            <w:pPr>
              <w:pStyle w:val="Compact"/>
              <w:jc w:val="center"/>
              <w:rPr>
                <w:rFonts w:ascii="Helvetica" w:hAnsi="Helvetica"/>
                <w:sz w:val="18"/>
                <w:szCs w:val="18"/>
              </w:rPr>
            </w:pPr>
          </w:p>
        </w:tc>
        <w:tc>
          <w:tcPr>
            <w:tcW w:w="1672" w:type="dxa"/>
          </w:tcPr>
          <w:p w14:paraId="59047A7B" w14:textId="77777777" w:rsidR="005872A5" w:rsidRPr="00FE37B8" w:rsidRDefault="005872A5" w:rsidP="005872A5">
            <w:pPr>
              <w:pStyle w:val="Compact"/>
              <w:jc w:val="center"/>
              <w:rPr>
                <w:rFonts w:ascii="Helvetica" w:hAnsi="Helvetica"/>
                <w:sz w:val="18"/>
                <w:szCs w:val="18"/>
              </w:rPr>
            </w:pPr>
          </w:p>
        </w:tc>
        <w:tc>
          <w:tcPr>
            <w:tcW w:w="1672" w:type="dxa"/>
          </w:tcPr>
          <w:p w14:paraId="1BDBB49A" w14:textId="77777777" w:rsidR="005872A5" w:rsidRPr="00FE37B8" w:rsidRDefault="005872A5" w:rsidP="005872A5">
            <w:pPr>
              <w:pStyle w:val="Compact"/>
              <w:jc w:val="center"/>
              <w:rPr>
                <w:rFonts w:ascii="Helvetica" w:hAnsi="Helvetica"/>
                <w:sz w:val="18"/>
                <w:szCs w:val="18"/>
              </w:rPr>
            </w:pPr>
          </w:p>
        </w:tc>
        <w:tc>
          <w:tcPr>
            <w:tcW w:w="1672" w:type="dxa"/>
          </w:tcPr>
          <w:p w14:paraId="56AC2B58" w14:textId="77777777" w:rsidR="005872A5" w:rsidRPr="00FE37B8" w:rsidRDefault="005872A5" w:rsidP="005872A5">
            <w:pPr>
              <w:pStyle w:val="Compact"/>
              <w:jc w:val="center"/>
              <w:rPr>
                <w:rFonts w:ascii="Helvetica" w:hAnsi="Helvetica"/>
                <w:sz w:val="18"/>
                <w:szCs w:val="18"/>
              </w:rPr>
            </w:pPr>
          </w:p>
        </w:tc>
      </w:tr>
      <w:tr w:rsidR="005872A5" w:rsidRPr="00CC2F84" w14:paraId="388C7FF2" w14:textId="77777777" w:rsidTr="005872A5">
        <w:tc>
          <w:tcPr>
            <w:tcW w:w="1336" w:type="dxa"/>
          </w:tcPr>
          <w:p w14:paraId="49244D8C" w14:textId="77777777" w:rsidR="005872A5" w:rsidRPr="00FE37B8" w:rsidRDefault="005872A5" w:rsidP="005872A5">
            <w:pPr>
              <w:pStyle w:val="Compact"/>
              <w:rPr>
                <w:rFonts w:ascii="Helvetica" w:hAnsi="Helvetica"/>
                <w:sz w:val="18"/>
                <w:szCs w:val="18"/>
              </w:rPr>
            </w:pPr>
          </w:p>
        </w:tc>
        <w:tc>
          <w:tcPr>
            <w:tcW w:w="1336" w:type="dxa"/>
          </w:tcPr>
          <w:p w14:paraId="10BFDBF0" w14:textId="77777777" w:rsidR="005872A5" w:rsidRPr="00FE37B8" w:rsidRDefault="005872A5" w:rsidP="005872A5">
            <w:pPr>
              <w:pStyle w:val="Compact"/>
              <w:rPr>
                <w:rFonts w:ascii="Helvetica" w:hAnsi="Helvetica"/>
                <w:sz w:val="18"/>
                <w:szCs w:val="18"/>
              </w:rPr>
            </w:pPr>
          </w:p>
        </w:tc>
        <w:tc>
          <w:tcPr>
            <w:tcW w:w="1672" w:type="dxa"/>
          </w:tcPr>
          <w:p w14:paraId="2B654521" w14:textId="77777777" w:rsidR="005872A5" w:rsidRPr="00FE37B8" w:rsidRDefault="005872A5" w:rsidP="005872A5">
            <w:pPr>
              <w:pStyle w:val="Compact"/>
              <w:jc w:val="center"/>
              <w:rPr>
                <w:rFonts w:ascii="Helvetica" w:hAnsi="Helvetica"/>
                <w:sz w:val="18"/>
                <w:szCs w:val="18"/>
              </w:rPr>
            </w:pPr>
          </w:p>
        </w:tc>
        <w:tc>
          <w:tcPr>
            <w:tcW w:w="1672" w:type="dxa"/>
          </w:tcPr>
          <w:p w14:paraId="6719CCA4" w14:textId="77777777" w:rsidR="005872A5" w:rsidRPr="00FE37B8" w:rsidRDefault="005872A5" w:rsidP="005872A5">
            <w:pPr>
              <w:pStyle w:val="Compact"/>
              <w:jc w:val="center"/>
              <w:rPr>
                <w:rFonts w:ascii="Helvetica" w:hAnsi="Helvetica"/>
                <w:sz w:val="18"/>
                <w:szCs w:val="18"/>
              </w:rPr>
            </w:pPr>
          </w:p>
        </w:tc>
        <w:tc>
          <w:tcPr>
            <w:tcW w:w="1672" w:type="dxa"/>
          </w:tcPr>
          <w:p w14:paraId="63CC9E9F" w14:textId="77777777" w:rsidR="005872A5" w:rsidRPr="00FE37B8" w:rsidRDefault="005872A5" w:rsidP="005872A5">
            <w:pPr>
              <w:pStyle w:val="Compact"/>
              <w:jc w:val="center"/>
              <w:rPr>
                <w:rFonts w:ascii="Helvetica" w:hAnsi="Helvetica"/>
                <w:sz w:val="18"/>
                <w:szCs w:val="18"/>
              </w:rPr>
            </w:pPr>
          </w:p>
        </w:tc>
        <w:tc>
          <w:tcPr>
            <w:tcW w:w="1672" w:type="dxa"/>
          </w:tcPr>
          <w:p w14:paraId="3BEE1AF2" w14:textId="77777777" w:rsidR="005872A5" w:rsidRPr="00FE37B8" w:rsidRDefault="005872A5" w:rsidP="005872A5">
            <w:pPr>
              <w:pStyle w:val="Compact"/>
              <w:jc w:val="center"/>
              <w:rPr>
                <w:rFonts w:ascii="Helvetica" w:hAnsi="Helvetica"/>
                <w:sz w:val="18"/>
                <w:szCs w:val="18"/>
              </w:rPr>
            </w:pPr>
          </w:p>
        </w:tc>
      </w:tr>
      <w:tr w:rsidR="005872A5" w:rsidRPr="00CC2F84" w14:paraId="3CC5C718" w14:textId="77777777" w:rsidTr="005872A5">
        <w:tc>
          <w:tcPr>
            <w:tcW w:w="1336" w:type="dxa"/>
          </w:tcPr>
          <w:p w14:paraId="03AC8787" w14:textId="77777777" w:rsidR="005872A5" w:rsidRPr="00FE37B8" w:rsidRDefault="005872A5" w:rsidP="005872A5">
            <w:pPr>
              <w:pStyle w:val="Compact"/>
              <w:rPr>
                <w:rFonts w:ascii="Helvetica" w:hAnsi="Helvetica"/>
                <w:sz w:val="18"/>
                <w:szCs w:val="18"/>
              </w:rPr>
            </w:pPr>
          </w:p>
        </w:tc>
        <w:tc>
          <w:tcPr>
            <w:tcW w:w="1336" w:type="dxa"/>
          </w:tcPr>
          <w:p w14:paraId="0CD7F58D" w14:textId="77777777" w:rsidR="005872A5" w:rsidRPr="00FE37B8" w:rsidRDefault="005872A5" w:rsidP="005872A5">
            <w:pPr>
              <w:pStyle w:val="Compact"/>
              <w:rPr>
                <w:rFonts w:ascii="Helvetica" w:hAnsi="Helvetica"/>
                <w:sz w:val="18"/>
                <w:szCs w:val="18"/>
              </w:rPr>
            </w:pPr>
          </w:p>
        </w:tc>
        <w:tc>
          <w:tcPr>
            <w:tcW w:w="1672" w:type="dxa"/>
          </w:tcPr>
          <w:p w14:paraId="53F3DBD7" w14:textId="77777777" w:rsidR="005872A5" w:rsidRPr="00FE37B8" w:rsidRDefault="005872A5" w:rsidP="005872A5">
            <w:pPr>
              <w:pStyle w:val="Compact"/>
              <w:jc w:val="center"/>
              <w:rPr>
                <w:rFonts w:ascii="Helvetica" w:hAnsi="Helvetica"/>
                <w:sz w:val="18"/>
                <w:szCs w:val="18"/>
              </w:rPr>
            </w:pPr>
          </w:p>
        </w:tc>
        <w:tc>
          <w:tcPr>
            <w:tcW w:w="1672" w:type="dxa"/>
          </w:tcPr>
          <w:p w14:paraId="4D45BB18" w14:textId="77777777" w:rsidR="005872A5" w:rsidRPr="00FE37B8" w:rsidRDefault="005872A5" w:rsidP="005872A5">
            <w:pPr>
              <w:pStyle w:val="Compact"/>
              <w:jc w:val="center"/>
              <w:rPr>
                <w:rFonts w:ascii="Helvetica" w:hAnsi="Helvetica"/>
                <w:sz w:val="18"/>
                <w:szCs w:val="18"/>
              </w:rPr>
            </w:pPr>
          </w:p>
        </w:tc>
        <w:tc>
          <w:tcPr>
            <w:tcW w:w="1672" w:type="dxa"/>
          </w:tcPr>
          <w:p w14:paraId="07276874" w14:textId="77777777" w:rsidR="005872A5" w:rsidRPr="00FE37B8" w:rsidRDefault="005872A5" w:rsidP="005872A5">
            <w:pPr>
              <w:pStyle w:val="Compact"/>
              <w:jc w:val="center"/>
              <w:rPr>
                <w:rFonts w:ascii="Helvetica" w:hAnsi="Helvetica"/>
                <w:sz w:val="18"/>
                <w:szCs w:val="18"/>
              </w:rPr>
            </w:pPr>
          </w:p>
        </w:tc>
        <w:tc>
          <w:tcPr>
            <w:tcW w:w="1672" w:type="dxa"/>
          </w:tcPr>
          <w:p w14:paraId="0DDEF0BA" w14:textId="77777777" w:rsidR="005872A5" w:rsidRPr="00FE37B8" w:rsidRDefault="005872A5" w:rsidP="005872A5">
            <w:pPr>
              <w:pStyle w:val="Compact"/>
              <w:jc w:val="center"/>
              <w:rPr>
                <w:rFonts w:ascii="Helvetica" w:hAnsi="Helvetica"/>
                <w:sz w:val="18"/>
                <w:szCs w:val="18"/>
              </w:rPr>
            </w:pPr>
          </w:p>
        </w:tc>
      </w:tr>
    </w:tbl>
    <w:p w14:paraId="11890521" w14:textId="77777777" w:rsidR="00C40D09" w:rsidRPr="00CC2F84" w:rsidRDefault="00C40D09">
      <w:pPr>
        <w:pStyle w:val="BodyText"/>
        <w:rPr>
          <w:rFonts w:ascii="Helvetica" w:hAnsi="Helvetica"/>
          <w:b/>
          <w:bCs/>
        </w:rPr>
      </w:pPr>
    </w:p>
    <w:p w14:paraId="3A620157" w14:textId="77777777" w:rsidR="00C40D09" w:rsidRPr="00CC2F84" w:rsidRDefault="00C40D09">
      <w:pPr>
        <w:rPr>
          <w:rFonts w:ascii="Helvetica" w:hAnsi="Helvetica"/>
          <w:b/>
          <w:bCs/>
        </w:rPr>
      </w:pPr>
      <w:r w:rsidRPr="00CC2F84">
        <w:rPr>
          <w:rFonts w:ascii="Helvetica" w:hAnsi="Helvetica"/>
          <w:b/>
          <w:bCs/>
        </w:rPr>
        <w:br w:type="page"/>
      </w:r>
    </w:p>
    <w:p w14:paraId="05C350B5" w14:textId="50968B12"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S5. Estimated harvest-related crop production losses due to epidemic-induced workforce illness.</w:t>
      </w:r>
      <w:r w:rsidRPr="00FE37B8">
        <w:rPr>
          <w:rFonts w:ascii="Helvetica" w:hAnsi="Helvetica"/>
          <w:sz w:val="20"/>
          <w:szCs w:val="20"/>
        </w:rPr>
        <w:t xml:space="preserve"> For each crop, we report the worst-case epidemic peak timing (the day of the year on which the community symptomatic peak would cause the largest production loss), the corresponding maximum production loss as a percentage of total annual production, and the estimated dollar value of that loss based on 2024 California crop values. Values assume half of all infections are sufficiently symptomatic to cause missed work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0.5</m:t>
        </m:r>
      </m:oMath>
      <w:r w:rsidRPr="00FE37B8">
        <w:rPr>
          <w:rFonts w:ascii="Helvetica" w:hAnsi="Helvetica"/>
          <w:sz w:val="20"/>
          <w:szCs w:val="20"/>
        </w:rPr>
        <w:t>).</w:t>
      </w:r>
    </w:p>
    <w:tbl>
      <w:tblPr>
        <w:tblStyle w:val="Table"/>
        <w:tblW w:w="5000" w:type="pct"/>
        <w:tblLayout w:type="fixed"/>
        <w:tblLook w:val="0020" w:firstRow="1" w:lastRow="0" w:firstColumn="0" w:lastColumn="0" w:noHBand="0" w:noVBand="0"/>
      </w:tblPr>
      <w:tblGrid>
        <w:gridCol w:w="1702"/>
        <w:gridCol w:w="1702"/>
        <w:gridCol w:w="2127"/>
        <w:gridCol w:w="2127"/>
        <w:gridCol w:w="1702"/>
      </w:tblGrid>
      <w:tr w:rsidR="003C64F0" w:rsidRPr="00CC2F84" w14:paraId="7211236D"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440" w:type="dxa"/>
          </w:tcPr>
          <w:p w14:paraId="30FBEB66" w14:textId="77777777" w:rsidR="00AB7EBC" w:rsidRPr="00FE37B8" w:rsidRDefault="006B4661">
            <w:pPr>
              <w:pStyle w:val="Compact"/>
              <w:rPr>
                <w:rFonts w:ascii="Helvetica" w:hAnsi="Helvetica"/>
                <w:sz w:val="18"/>
                <w:szCs w:val="18"/>
              </w:rPr>
            </w:pPr>
            <w:r w:rsidRPr="00FE37B8">
              <w:rPr>
                <w:rFonts w:ascii="Helvetica" w:hAnsi="Helvetica"/>
                <w:sz w:val="18"/>
                <w:szCs w:val="18"/>
              </w:rPr>
              <w:t>Crop</w:t>
            </w:r>
          </w:p>
        </w:tc>
        <w:tc>
          <w:tcPr>
            <w:tcW w:w="1440" w:type="dxa"/>
          </w:tcPr>
          <w:p w14:paraId="4B82720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2024 value (USD)</w:t>
            </w:r>
          </w:p>
        </w:tc>
        <w:tc>
          <w:tcPr>
            <w:tcW w:w="1800" w:type="dxa"/>
          </w:tcPr>
          <w:p w14:paraId="665C9B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Worst peak day</w:t>
            </w:r>
          </w:p>
        </w:tc>
        <w:tc>
          <w:tcPr>
            <w:tcW w:w="1800" w:type="dxa"/>
          </w:tcPr>
          <w:p w14:paraId="09BDE9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loss (%)</w:t>
            </w:r>
          </w:p>
        </w:tc>
        <w:tc>
          <w:tcPr>
            <w:tcW w:w="1440" w:type="dxa"/>
          </w:tcPr>
          <w:p w14:paraId="55C1421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Max loss (USD)</w:t>
            </w:r>
          </w:p>
        </w:tc>
      </w:tr>
      <w:tr w:rsidR="003C64F0" w:rsidRPr="00CC2F84" w14:paraId="12E93B77" w14:textId="77777777">
        <w:tc>
          <w:tcPr>
            <w:tcW w:w="1440" w:type="dxa"/>
          </w:tcPr>
          <w:p w14:paraId="1688F9D9" w14:textId="77777777" w:rsidR="00AB7EBC" w:rsidRPr="00FE37B8" w:rsidRDefault="006B4661">
            <w:pPr>
              <w:pStyle w:val="Compact"/>
              <w:rPr>
                <w:rFonts w:ascii="Helvetica" w:hAnsi="Helvetica"/>
                <w:sz w:val="18"/>
                <w:szCs w:val="18"/>
              </w:rPr>
            </w:pPr>
            <w:r w:rsidRPr="00FE37B8">
              <w:rPr>
                <w:rFonts w:ascii="Helvetica" w:hAnsi="Helvetica"/>
                <w:sz w:val="18"/>
                <w:szCs w:val="18"/>
              </w:rPr>
              <w:t>Strawberries</w:t>
            </w:r>
          </w:p>
        </w:tc>
        <w:tc>
          <w:tcPr>
            <w:tcW w:w="1440" w:type="dxa"/>
          </w:tcPr>
          <w:p w14:paraId="1FE5A6D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$3,456,522,000</w:t>
            </w:r>
          </w:p>
        </w:tc>
        <w:tc>
          <w:tcPr>
            <w:tcW w:w="1800" w:type="dxa"/>
          </w:tcPr>
          <w:p w14:paraId="483F4C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800" w:type="dxa"/>
          </w:tcPr>
          <w:p w14:paraId="3F66604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0.62%</w:t>
            </w:r>
          </w:p>
        </w:tc>
        <w:tc>
          <w:tcPr>
            <w:tcW w:w="1440" w:type="dxa"/>
          </w:tcPr>
          <w:p w14:paraId="558964B4"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$21,511,907</w:t>
            </w:r>
          </w:p>
        </w:tc>
      </w:tr>
      <w:tr w:rsidR="003C64F0" w:rsidRPr="00CC2F84" w14:paraId="2A045695" w14:textId="77777777">
        <w:tc>
          <w:tcPr>
            <w:tcW w:w="1440" w:type="dxa"/>
          </w:tcPr>
          <w:p w14:paraId="189AF131" w14:textId="77777777" w:rsidR="00AB7EBC" w:rsidRPr="00FE37B8" w:rsidRDefault="006B4661">
            <w:pPr>
              <w:pStyle w:val="Compact"/>
              <w:rPr>
                <w:rFonts w:ascii="Helvetica" w:hAnsi="Helvetica"/>
                <w:sz w:val="18"/>
                <w:szCs w:val="18"/>
              </w:rPr>
            </w:pPr>
            <w:r w:rsidRPr="00FE37B8">
              <w:rPr>
                <w:rFonts w:ascii="Helvetica" w:hAnsi="Helvetica"/>
                <w:sz w:val="18"/>
                <w:szCs w:val="18"/>
              </w:rPr>
              <w:t>Iceberg lettuce</w:t>
            </w:r>
          </w:p>
        </w:tc>
        <w:tc>
          <w:tcPr>
            <w:tcW w:w="1440" w:type="dxa"/>
          </w:tcPr>
          <w:p w14:paraId="0B2397A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$1,245,105,000</w:t>
            </w:r>
          </w:p>
        </w:tc>
        <w:tc>
          <w:tcPr>
            <w:tcW w:w="1800" w:type="dxa"/>
          </w:tcPr>
          <w:p w14:paraId="6F7EAE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c>
          <w:tcPr>
            <w:tcW w:w="1800" w:type="dxa"/>
          </w:tcPr>
          <w:p w14:paraId="69F93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18F92B71"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$6,257,962</w:t>
            </w:r>
          </w:p>
        </w:tc>
      </w:tr>
      <w:tr w:rsidR="003C64F0" w:rsidRPr="00CC2F84" w14:paraId="746509D4" w14:textId="77777777">
        <w:tc>
          <w:tcPr>
            <w:tcW w:w="1440" w:type="dxa"/>
          </w:tcPr>
          <w:p w14:paraId="037A6561" w14:textId="77777777" w:rsidR="00AB7EBC" w:rsidRPr="00FE37B8" w:rsidRDefault="006B4661">
            <w:pPr>
              <w:pStyle w:val="Compact"/>
              <w:rPr>
                <w:rFonts w:ascii="Helvetica" w:hAnsi="Helvetica"/>
                <w:sz w:val="18"/>
                <w:szCs w:val="18"/>
              </w:rPr>
            </w:pPr>
            <w:r w:rsidRPr="00FE37B8">
              <w:rPr>
                <w:rFonts w:ascii="Helvetica" w:hAnsi="Helvetica"/>
                <w:sz w:val="18"/>
                <w:szCs w:val="18"/>
              </w:rPr>
              <w:t>Oranges</w:t>
            </w:r>
          </w:p>
        </w:tc>
        <w:tc>
          <w:tcPr>
            <w:tcW w:w="1440" w:type="dxa"/>
          </w:tcPr>
          <w:p w14:paraId="098FE62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$852,507,000</w:t>
            </w:r>
          </w:p>
        </w:tc>
        <w:tc>
          <w:tcPr>
            <w:tcW w:w="1800" w:type="dxa"/>
          </w:tcPr>
          <w:p w14:paraId="707D043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800" w:type="dxa"/>
          </w:tcPr>
          <w:p w14:paraId="071785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2C6D33B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$4,275,115</w:t>
            </w:r>
          </w:p>
        </w:tc>
      </w:tr>
      <w:bookmarkEnd w:id="0"/>
      <w:bookmarkEnd w:id="82"/>
      <w:bookmarkEnd w:id="98"/>
    </w:tbl>
    <w:p w14:paraId="633705DF" w14:textId="77777777" w:rsidR="00056704" w:rsidRPr="00CC2F84" w:rsidRDefault="00056704">
      <w:pPr>
        <w:rPr>
          <w:rFonts w:ascii="Helvetica" w:hAnsi="Helvetica"/>
        </w:rPr>
      </w:pPr>
    </w:p>
    <w:sectPr w:rsidR="00056704" w:rsidRPr="00CC2F8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uis de Pablo" w:date="2026-03-06T15:16:00Z" w:initials="LP">
    <w:p w14:paraId="74F786A6" w14:textId="2D353E87" w:rsidR="007015F9" w:rsidRDefault="00000000">
      <w:pPr>
        <w:pStyle w:val="CommentText"/>
      </w:pPr>
      <w:r>
        <w:rPr>
          <w:rStyle w:val="CommentReference"/>
        </w:rPr>
        <w:annotationRef/>
      </w:r>
      <w:r w:rsidRPr="15E8E153">
        <w:t xml:space="preserve">The introduction is very clear and easy to read! I like the flow of ideas. I have just a couple thoughts on things that could be added. </w:t>
      </w:r>
    </w:p>
    <w:p w14:paraId="7DDD2FAE" w14:textId="53CA4AAB" w:rsidR="007015F9" w:rsidRDefault="007015F9">
      <w:pPr>
        <w:pStyle w:val="CommentText"/>
      </w:pPr>
    </w:p>
    <w:p w14:paraId="21EFFA9A" w14:textId="4F7E990A" w:rsidR="007015F9" w:rsidRDefault="00000000">
      <w:pPr>
        <w:pStyle w:val="CommentText"/>
      </w:pPr>
      <w:r w:rsidRPr="1C87016C">
        <w:t>First, I think the intrinsic value (not sure if this is the right word for this) of the health of the agricultural workforce could be hinted at a bit more in the introduction. I think the second and third paragraphs start to get at that, but there's nothing explicit about this point. The paper is primarily focused on the instrumental value of agricultural workers to the food supply and by proxy the economy and the health of the general population, so I don't think this needs to be a major point. But, I think including a nod to the intrinsic value of people's health earlier in the introduction might make the paper come across more compassionately.</w:t>
      </w:r>
    </w:p>
    <w:p w14:paraId="2AE18D72" w14:textId="3B74914D" w:rsidR="007015F9" w:rsidRDefault="007015F9">
      <w:pPr>
        <w:pStyle w:val="CommentText"/>
      </w:pPr>
    </w:p>
    <w:p w14:paraId="1380FBE5" w14:textId="6A2396BA" w:rsidR="007015F9" w:rsidRDefault="00000000">
      <w:pPr>
        <w:pStyle w:val="CommentText"/>
      </w:pPr>
      <w:r w:rsidRPr="316672F4">
        <w:t>Second, I think the interactive tool could be highlighted a bit more. There's a lot to look at there, and I think that should be highlighted somewhere in the paper. For example, I don't think it's stated anywhere (unless I missed it) that there are many more crops available in the tool than are discussed in the paper. This is a major contribution and adds to the generalizability of the study, and readers might miss it if they are just skimming the paper. I think just a sentence describing what the tool is somewhere in the last paragraph would be sufficient.</w:t>
      </w:r>
    </w:p>
    <w:p w14:paraId="2635F3DB" w14:textId="72BCDCF9" w:rsidR="007015F9" w:rsidRDefault="00000000">
      <w:pPr>
        <w:pStyle w:val="CommentText"/>
      </w:pPr>
      <w:r w:rsidRPr="12FE739F">
        <w:t>Great work!</w:t>
      </w:r>
    </w:p>
  </w:comment>
  <w:comment w:id="3" w:author="Naia Ormaza Zulueta" w:date="2026-02-26T19:00:00Z" w:initials="OZN">
    <w:p w14:paraId="13714425" w14:textId="77777777" w:rsidR="006E2B93" w:rsidRDefault="006E2B93" w:rsidP="006E2B93">
      <w:r>
        <w:rPr>
          <w:rStyle w:val="CommentReference"/>
        </w:rPr>
        <w:annotationRef/>
      </w:r>
      <w:r>
        <w:rPr>
          <w:sz w:val="20"/>
          <w:szCs w:val="20"/>
        </w:rPr>
        <w:t>So, upfront: the introduction reads really well. It was all very clear to me, well-structured, and super well referenced. The narrative arc from COVID-19 disruptions, to worker vulnerabilities, to. surveillance challenges, to modeling need flowed naturally, Stephen. What follows here are just a few thoughts from the perspective of someone outside this specific field (things I'd gently flag if I were reviewing the paper, but none of them are major concerns at all)</w:t>
      </w:r>
    </w:p>
    <w:p w14:paraId="7B4FFCF4" w14:textId="77777777" w:rsidR="006E2B93" w:rsidRDefault="006E2B93" w:rsidP="006E2B93">
      <w:r>
        <w:rPr>
          <w:sz w:val="20"/>
          <w:szCs w:val="20"/>
        </w:rPr>
        <w:t>1.The informal/undocumented workforce. This is alluded when mentioning workers who are "undocumented or on temporary visas" in the surveillance paragraph, but it might be worth being a bit more direct about the scale of it (I got a similar comment in my paper of ag workforce from two of the reviewers), a large share of the U.S. agricultural workforce is informal or undocumented, and that's central to so many of the vulnerabilities that are described here (no insurance, employer-tied housing, reluctance to seek care). It also has implications for how complete the ACS and NAWS data can really be, which a reviewer might ask about. Even a sentence or two making this more explicit could work?</w:t>
      </w:r>
    </w:p>
    <w:p w14:paraId="46A821B7" w14:textId="77777777" w:rsidR="006E2B93" w:rsidRDefault="006E2B93" w:rsidP="006E2B93">
      <w:r>
        <w:rPr>
          <w:sz w:val="20"/>
          <w:szCs w:val="20"/>
        </w:rPr>
        <w:t>2.Situating the work relative to existing models. The part "we currently lack quantitative frameworks", super true, but a reviewer might push back by pointing to a few adjacent efforts? I did a search this morning and found some examples that might not be 100% relatable, but just in case: for instance, there's a recent agent-based model of COVID-19 transmission in food production facilities (PMC12022078), some essential-worker disease modeling work (e.g., Kaplan et al., PLOS ONE 2020), and retrospective analyses linking farmworker illness to output losses. Maybe briefly nodding to that work and then sharpening what makes this contribution distinct, so, a generalizable, population-level, household-structured framework that works prospectively for novel respiratory pathogens, not just retrospectively for COVID-19. That could make the gap claim feel bulletproof?</w:t>
      </w:r>
    </w:p>
    <w:p w14:paraId="3B2233BC" w14:textId="77777777" w:rsidR="006E2B93" w:rsidRDefault="006E2B93" w:rsidP="006E2B93">
      <w:r>
        <w:rPr>
          <w:sz w:val="20"/>
          <w:szCs w:val="20"/>
        </w:rPr>
        <w:t xml:space="preserve">3.Workplace and occupational transmission. The focus on household crowding as the key driver made a lot of sense to me when you first introduced me the topic, given the model design, and it's well-supported by the literature that you cite here. That said, I think readers could naturally wonder, as I did, about the occupational side (shared transport, close-quarters fieldwork, communal facilities). A brief mention that the model intentionally zeroes in on household structure as one well-documented dimension, with workplace transmission as a natural direction for future work, would help manage expectations upfront, but again, this is just a suggestion with an eye of an “outsider”. </w:t>
      </w:r>
    </w:p>
    <w:p w14:paraId="2A278D5D" w14:textId="77777777" w:rsidR="006E2B93" w:rsidRDefault="006E2B93" w:rsidP="006E2B93">
      <w:r>
        <w:rPr>
          <w:sz w:val="20"/>
          <w:szCs w:val="20"/>
        </w:rPr>
        <w:t>4.Broader pathogen framing. The title does say "respiratory illness outbreaks" broadly, but the introduction leans heavily on COVID-19 and influenza. Given everything happening with H5N1 avian influenza right now for example, even a passing mention could make the paper feel more timely, right? and broaden its appeal. It wouldn't require changing anything in the model, just that broader mention.</w:t>
      </w:r>
    </w:p>
    <w:p w14:paraId="4A66E900" w14:textId="77777777" w:rsidR="006E2B93" w:rsidRDefault="006E2B93" w:rsidP="006E2B93">
      <w:r>
        <w:rPr>
          <w:sz w:val="20"/>
          <w:szCs w:val="20"/>
        </w:rPr>
        <w:t>5.Vaccination access. Super nice job laying out healthcare access barriers and chronic conditions, but vaccination uptake is another piece of that puzzle, esp in the US, right? it was notably lower among farmworkers during COVID-19? Not totally sure, maybe teammates can check. Since the model assumes a fully susceptible population, briefly mentioning vaccination disparities could actually help motivate that modeling choice?</w:t>
      </w:r>
    </w:p>
    <w:p w14:paraId="69057206" w14:textId="77777777" w:rsidR="006E2B93" w:rsidRDefault="006E2B93" w:rsidP="006E2B93">
      <w:r>
        <w:rPr>
          <w:sz w:val="20"/>
          <w:szCs w:val="20"/>
        </w:rPr>
        <w:t>6.Setting up the crop selection. The jump to strawberries, lettuce, and oranges in the final paragraph felt slightly abrupt to me on first read. I think a sentence somewhere earlier distinguishing labor-intensive (hand-harvested) crops from mechanized agriculture would prime the reader for why these specific crops are the right test cases.</w:t>
      </w:r>
    </w:p>
    <w:p w14:paraId="10F445E5" w14:textId="77777777" w:rsidR="006E2B93" w:rsidRDefault="006E2B93" w:rsidP="006E2B93">
      <w:r>
        <w:rPr>
          <w:sz w:val="20"/>
          <w:szCs w:val="20"/>
        </w:rPr>
        <w:t> </w:t>
      </w:r>
    </w:p>
    <w:p w14:paraId="654FE4E6" w14:textId="77777777" w:rsidR="006E2B93" w:rsidRDefault="006E2B93" w:rsidP="006E2B93"/>
  </w:comment>
  <w:comment w:id="4" w:author="Stephen Kissler" w:date="2026-02-28T16:01:00Z" w:initials="SK">
    <w:p w14:paraId="0E24DD6F" w14:textId="3978E324" w:rsidR="00F53651" w:rsidRDefault="00F53651">
      <w:pPr>
        <w:pStyle w:val="CommentText"/>
      </w:pPr>
      <w:r>
        <w:rPr>
          <w:rStyle w:val="CommentReference"/>
        </w:rPr>
        <w:annotationRef/>
      </w:r>
      <w:r w:rsidRPr="4815B868">
        <w:t xml:space="preserve">All this is SUPER helpful -- I'll work on incorporating some additional points based on your suggestions! </w:t>
      </w:r>
    </w:p>
  </w:comment>
  <w:comment w:id="6" w:author="Katherine Bardsley" w:date="2026-02-27T09:14:00Z" w:initials="KB">
    <w:p w14:paraId="6768E0C7" w14:textId="77777777" w:rsidR="00752B45" w:rsidRDefault="00F477F7" w:rsidP="00752B45">
      <w:pPr>
        <w:pStyle w:val="CommentText"/>
      </w:pPr>
      <w:r>
        <w:rPr>
          <w:rStyle w:val="CommentReference"/>
        </w:rPr>
        <w:annotationRef/>
      </w:r>
      <w:r w:rsidR="00752B45">
        <w:t>I’m conflicted about whether this part feels like it fits. It does address the point of respiratory disease leading to disruption of the food supply chain, but it doesn’t directly relate to the labor-driven impacts that are the focus here, so I’m not sure if it is critical for the setup here?</w:t>
      </w:r>
    </w:p>
  </w:comment>
  <w:comment w:id="7" w:author="Stephen Kissler" w:date="2026-02-28T16:02:00Z" w:initials="SK">
    <w:p w14:paraId="0F7DE20E" w14:textId="1F153752" w:rsidR="00F53651" w:rsidRDefault="00F53651">
      <w:pPr>
        <w:pStyle w:val="CommentText"/>
      </w:pPr>
      <w:r>
        <w:rPr>
          <w:rStyle w:val="CommentReference"/>
        </w:rPr>
        <w:annotationRef/>
      </w:r>
      <w:r w:rsidRPr="3BD5D8BC">
        <w:t xml:space="preserve">Good point -- I'll re-visit this as I revise the intro, and may well cut it. </w:t>
      </w:r>
    </w:p>
  </w:comment>
  <w:comment w:id="12" w:author="Guest User" w:date="2026-03-06T14:56:00Z" w:initials="GU">
    <w:p w14:paraId="73823ECA" w14:textId="07116A63" w:rsidR="007015F9" w:rsidRDefault="00000000">
      <w:pPr>
        <w:pStyle w:val="CommentText"/>
      </w:pPr>
      <w:r>
        <w:rPr>
          <w:rStyle w:val="CommentReference"/>
        </w:rPr>
        <w:annotationRef/>
      </w:r>
      <w:r w:rsidRPr="0CE3D9E7">
        <w:t>But there are other crops in the tool right? Do they use the same data? Maybe throw in a sentence here with something like "Data for ___ additional crops was obtained and included in the interactive tool."</w:t>
      </w:r>
    </w:p>
  </w:comment>
  <w:comment w:id="13" w:author="Guest User" w:date="2026-03-06T15:06:00Z" w:initials="GU">
    <w:p w14:paraId="325EC477" w14:textId="0FAB8173" w:rsidR="007015F9" w:rsidRDefault="00000000">
      <w:pPr>
        <w:pStyle w:val="CommentText"/>
      </w:pPr>
      <w:r>
        <w:rPr>
          <w:rStyle w:val="CommentReference"/>
        </w:rPr>
        <w:annotationRef/>
      </w:r>
      <w:r w:rsidRPr="2CDEB9EF">
        <w:t>Reviewers may want to know a bit more about why these crops were selected. We could consider adding a sentence here, though it might be worth leaving some low hanging fruit for reviewers to focus on.</w:t>
      </w:r>
    </w:p>
  </w:comment>
  <w:comment w:id="14" w:author="Katherine Bardsley" w:date="2026-02-27T09:30:00Z" w:initials="KB">
    <w:p w14:paraId="5FD28FCB" w14:textId="77777777" w:rsidR="00CC53A0" w:rsidRDefault="00CC53A0" w:rsidP="00CC53A0">
      <w:pPr>
        <w:pStyle w:val="CommentText"/>
      </w:pPr>
      <w:r>
        <w:rPr>
          <w:rStyle w:val="CommentReference"/>
        </w:rPr>
        <w:annotationRef/>
      </w:r>
      <w:r>
        <w:t>I think we need to justify/make clear the California focus (either here or in the intro) before we suddenly talk about subsetting the data to California. (I think it is a natural thing to do, it just feels abrupt as written.)</w:t>
      </w:r>
    </w:p>
  </w:comment>
  <w:comment w:id="15" w:author="Emma Keppler" w:date="2026-03-02T11:24:00Z" w:initials="EK">
    <w:p w14:paraId="2CAE9A90" w14:textId="67020430" w:rsidR="00F53651" w:rsidRDefault="00F53651">
      <w:pPr>
        <w:pStyle w:val="CommentText"/>
      </w:pPr>
      <w:r>
        <w:rPr>
          <w:rStyle w:val="CommentReference"/>
        </w:rPr>
        <w:annotationRef/>
      </w:r>
      <w:r w:rsidRPr="4C77A94E">
        <w:t>I agree I think the discussion of California specifically should be included early on in the into. Even in the first paragraph when you discuss covid-19 economic loss if there are specific numbers for California that can show a high percentage of that loss came out of California that would be clear from the beginning you are looking at California Alternatively, The last paragraph of the intro, where you first mention California, could go into greater detail and describe how much California contributes overall to US agricultural production of these crops or the total migrant workforce.</w:t>
      </w:r>
    </w:p>
  </w:comment>
  <w:comment w:id="16" w:author="Guest User" w:date="2026-03-06T14:43:00Z" w:initials="GU">
    <w:p w14:paraId="175760EE" w14:textId="4E6883C8" w:rsidR="007015F9" w:rsidRDefault="00000000">
      <w:pPr>
        <w:pStyle w:val="CommentText"/>
      </w:pPr>
      <w:r>
        <w:rPr>
          <w:rStyle w:val="CommentReference"/>
        </w:rPr>
        <w:annotationRef/>
      </w:r>
      <w:r w:rsidRPr="33A9908F">
        <w:t>+1</w:t>
      </w:r>
    </w:p>
  </w:comment>
  <w:comment w:id="17" w:author="Katherine Bardsley" w:date="2026-02-27T09:35:00Z" w:initials="KB">
    <w:p w14:paraId="315C1514" w14:textId="77777777" w:rsidR="00FF5A2B" w:rsidRDefault="00FF5A2B" w:rsidP="00FF5A2B">
      <w:pPr>
        <w:pStyle w:val="CommentText"/>
      </w:pPr>
      <w:r>
        <w:rPr>
          <w:rStyle w:val="CommentReference"/>
        </w:rPr>
        <w:annotationRef/>
      </w:r>
      <w:r>
        <w:t>Maybe add a clause at the end here to justify why this was done or what was found. When I read this, I felt like I needed to go to the SI to understand this part and I think it would be helpful if the reader didn’t feel that was necessary.</w:t>
      </w:r>
    </w:p>
  </w:comment>
  <w:comment w:id="18" w:author="Katherine Bardsley" w:date="2026-02-27T09:41:00Z" w:initials="KB">
    <w:p w14:paraId="51BD34EB" w14:textId="77777777" w:rsidR="008A2FDA" w:rsidRDefault="008A2FDA" w:rsidP="008A2FDA">
      <w:pPr>
        <w:pStyle w:val="CommentText"/>
      </w:pPr>
      <w:r>
        <w:rPr>
          <w:rStyle w:val="CommentReference"/>
        </w:rPr>
        <w:annotationRef/>
      </w:r>
      <w:r>
        <w:t>For example, perhaps add: “, confirming that the crop movement data provide a reasonable proxy for seasonal harvest patterns.”</w:t>
      </w:r>
    </w:p>
  </w:comment>
  <w:comment w:id="19" w:author="Stephen Kissler" w:date="2026-02-28T16:05:00Z" w:initials="SK">
    <w:p w14:paraId="61F8DBC0" w14:textId="7D9598DA" w:rsidR="00F53651" w:rsidRDefault="00F53651">
      <w:pPr>
        <w:pStyle w:val="CommentText"/>
      </w:pPr>
      <w:r>
        <w:rPr>
          <w:rStyle w:val="CommentReference"/>
        </w:rPr>
        <w:annotationRef/>
      </w:r>
      <w:r w:rsidRPr="69254A35">
        <w:t xml:space="preserve">Nice -- I've added this. </w:t>
      </w:r>
    </w:p>
  </w:comment>
  <w:comment w:id="20" w:author="Emma Keppler" w:date="2026-03-02T12:07:00Z" w:initials="EK">
    <w:p w14:paraId="4D9B19A1" w14:textId="47949D39" w:rsidR="00F53651" w:rsidRDefault="00F53651">
      <w:pPr>
        <w:pStyle w:val="CommentText"/>
      </w:pPr>
      <w:r>
        <w:rPr>
          <w:rStyle w:val="CommentReference"/>
        </w:rPr>
        <w:annotationRef/>
      </w:r>
      <w:r w:rsidRPr="2E8F3DD2">
        <w:t>small thing, but you use "lettuce", "iceburg lettuce", and "head lettuce" in just the intro and methods. I know they are referring all to the same thing but it would be helpful if it was kept consistent</w:t>
      </w:r>
    </w:p>
  </w:comment>
  <w:comment w:id="23" w:author="Naia Ormaza Zulueta" w:date="2026-02-27T09:27:00Z" w:initials="OZN">
    <w:p w14:paraId="1D202717" w14:textId="77777777" w:rsidR="00260729" w:rsidRDefault="00260729" w:rsidP="00260729">
      <w:r>
        <w:rPr>
          <w:rStyle w:val="CommentReference"/>
        </w:rPr>
        <w:annotationRef/>
      </w:r>
      <w:r>
        <w:rPr>
          <w:sz w:val="20"/>
          <w:szCs w:val="20"/>
        </w:rPr>
        <w:t xml:space="preserve">Agricultural workers make up… ~1–2% (?) of the regional population, which is a pretty small group. In my experience with env systems modeling, when you have a small compartment in a deterministic model, stochastic effects that a continuous approximation smooths over (ie, random fade-out, timing variability) can matter quite a bit. I imagine the same can be true in epidemiology. I suspect deterministic models are standard for this kind of comparison (as in other fields), but I was wondering whether a stochastic version might produce somewhat different results for the time-to-peak and peak prevalence comparisons, where the exact trajectory shape matters. And if it’d be possible to just suggest what that might look like for a curious reviewer. </w:t>
      </w:r>
    </w:p>
  </w:comment>
  <w:comment w:id="24" w:author="Stephen Kissler" w:date="2026-02-28T16:06:00Z" w:initials="SK">
    <w:p w14:paraId="5C48CC97" w14:textId="799F3B7A" w:rsidR="00F53651" w:rsidRDefault="00F53651">
      <w:pPr>
        <w:pStyle w:val="CommentText"/>
      </w:pPr>
      <w:r>
        <w:rPr>
          <w:rStyle w:val="CommentReference"/>
        </w:rPr>
        <w:annotationRef/>
      </w:r>
      <w:r w:rsidRPr="28589021">
        <w:t xml:space="preserve">Great point. I'm hopeful that, since the main analysis is at the regional level, even 1-2% of the population is enough people to justify using a deterministic model, but this is definitely something we should address. For now, I'll mention this in the Discussion, but we can consider including something here, too. </w:t>
      </w:r>
    </w:p>
  </w:comment>
  <w:comment w:id="25" w:author="Naia Ormaza Zulueta" w:date="2026-02-27T09:15:00Z" w:initials="OZN">
    <w:p w14:paraId="37877621" w14:textId="77777777" w:rsidR="002856C8" w:rsidRDefault="002856C8" w:rsidP="002856C8">
      <w:r>
        <w:rPr>
          <w:rStyle w:val="CommentReference"/>
        </w:rPr>
        <w:annotationRef/>
      </w:r>
      <w:r>
        <w:rPr>
          <w:sz w:val="20"/>
          <w:szCs w:val="20"/>
        </w:rPr>
        <w:t>I found myself pausing here for a bit. Agricultural worker households tend to be larger and often can contain multiple workers, right? So the actual number of agricultural worker households might be smaller than the worker share would suggest? Since the household is the fundamental unit of the model, and this mapping feeds into everything downstream it might be worth a sentence or two just clarifying this as a simplification and giving the reader a sense of which direction any bias might go</w:t>
      </w:r>
    </w:p>
  </w:comment>
  <w:comment w:id="26" w:author="Stephen Kissler" w:date="2026-02-28T16:12:00Z" w:initials="SK">
    <w:p w14:paraId="6B0C4436" w14:textId="0F146CBB" w:rsidR="00F53651" w:rsidRDefault="00F53651">
      <w:pPr>
        <w:pStyle w:val="CommentText"/>
      </w:pPr>
      <w:r>
        <w:rPr>
          <w:rStyle w:val="CommentReference"/>
        </w:rPr>
        <w:annotationRef/>
      </w:r>
      <w:r w:rsidRPr="118C9572">
        <w:t xml:space="preserve">Good catch -- this might be worth a brief additional sensitivity analysis. Since the relative population sizes only enter into the model via the mixing matrix, this might impact how the assortativity parameter </w:t>
      </w:r>
      <w:r w:rsidRPr="7C014192">
        <w:rPr>
          <w:i/>
          <w:iCs/>
        </w:rPr>
        <w:t>η</w:t>
      </w:r>
      <w:r w:rsidRPr="70A89FEF">
        <w:t xml:space="preserve"> plays into the findings. The disease dynamics in the general community are basically unaffected by what happens in the agricultural workforce, since the agricultural workforce is so much smaller; while fewer agricultural households would (I think) make the disease dynamics among agricultural workers more similar to the general population for a given value of </w:t>
      </w:r>
      <w:r w:rsidRPr="49FBC305">
        <w:rPr>
          <w:i/>
          <w:iCs/>
        </w:rPr>
        <w:t>η</w:t>
      </w:r>
      <w:r w:rsidRPr="521C2303">
        <w:t xml:space="preserve">. I'll check! </w:t>
      </w:r>
    </w:p>
  </w:comment>
  <w:comment w:id="27" w:author="Katherine Bardsley" w:date="2026-02-27T09:52:00Z" w:initials="KB">
    <w:p w14:paraId="4DE24167" w14:textId="77777777" w:rsidR="00E56AAA" w:rsidRDefault="00E56AAA" w:rsidP="00E56AAA">
      <w:pPr>
        <w:pStyle w:val="CommentText"/>
      </w:pPr>
      <w:r>
        <w:rPr>
          <w:rStyle w:val="CommentReference"/>
        </w:rPr>
        <w:annotationRef/>
      </w:r>
      <w:r>
        <w:t>I think I’m missing something here, which is almost definitely just the result of my own confusion. If this is quantifying community mixing in the way that I think it is, why are mAC and mCA different values?</w:t>
      </w:r>
    </w:p>
  </w:comment>
  <w:comment w:id="28" w:author="Katherine Bardsley" w:date="2026-02-27T10:19:00Z" w:initials="KB">
    <w:p w14:paraId="1BBE9474" w14:textId="77777777" w:rsidR="001A6932" w:rsidRDefault="00BE296C" w:rsidP="001A6932">
      <w:pPr>
        <w:pStyle w:val="CommentText"/>
      </w:pPr>
      <w:r>
        <w:rPr>
          <w:rStyle w:val="CommentReference"/>
        </w:rPr>
        <w:annotationRef/>
      </w:r>
      <w:r w:rsidR="001A6932">
        <w:t>Update: this part of things now makes sense to me, but it took me a really long time to unpack what was going on here</w:t>
      </w:r>
    </w:p>
  </w:comment>
  <w:comment w:id="29" w:author="Katherine Bardsley" w:date="2026-02-27T10:24:00Z" w:initials="KB">
    <w:p w14:paraId="4F9D91D7" w14:textId="77777777" w:rsidR="000D5E05" w:rsidRDefault="000D5E05" w:rsidP="000D5E05">
      <w:pPr>
        <w:pStyle w:val="CommentText"/>
      </w:pPr>
      <w:r>
        <w:rPr>
          <w:rStyle w:val="CommentReference"/>
        </w:rPr>
        <w:annotationRef/>
      </w:r>
      <w:r>
        <w:t>I’m assuming the order of the variables in the mixing matrix (i.e., mAC vs. mCA) and what that means is just a standard way that’s done? Because that is part of what mixed me up here, so it could be worth VERY briefly explaining if we think it is something we may not expect the reader to know. But if the reader should know that, don’t worry about it.</w:t>
      </w:r>
    </w:p>
  </w:comment>
  <w:comment w:id="30" w:author="Stephen Kissler" w:date="2026-02-28T16:13:00Z" w:initials="SK">
    <w:p w14:paraId="23909C2E" w14:textId="7BE705ED" w:rsidR="00F53651" w:rsidRDefault="00F53651">
      <w:pPr>
        <w:pStyle w:val="CommentText"/>
      </w:pPr>
      <w:r>
        <w:rPr>
          <w:rStyle w:val="CommentReference"/>
        </w:rPr>
        <w:annotationRef/>
      </w:r>
      <w:r w:rsidRPr="7D55F841">
        <w:t xml:space="preserve">This is helpful -- yes, this is a standard way of modeling assortative mixing in quantitative epi, but since this will likely get read by people outside that narrow field, some additional explanations and citations are probably warranted here. </w:t>
      </w:r>
    </w:p>
  </w:comment>
  <w:comment w:id="32" w:author="Naia Ormaza Zulueta" w:date="2026-02-27T15:15:00Z" w:initials="OZN">
    <w:p w14:paraId="01E3BD9E" w14:textId="77777777" w:rsidR="002F759C" w:rsidRDefault="00544FAF" w:rsidP="002F759C">
      <w:r>
        <w:rPr>
          <w:rStyle w:val="CommentReference"/>
        </w:rPr>
        <w:annotationRef/>
      </w:r>
      <w:r w:rsidR="002F759C">
        <w:rPr>
          <w:sz w:val="20"/>
          <w:szCs w:val="20"/>
        </w:rPr>
        <w:t>liked to Katherine's comment below, since the paper positions itself as a general framework for respiratory outbreaks, I found myself wondering too: would the results look different for a pathogen with a longer infectious period? I saw tht COVID-19 is often cited as having an infectious period of roughly 8-10 days. From what I understand, a longer infectious period with the same R_0 should produce a slower, flatter epidemic curve, right? and I'd imagine that interacts differently with the seasonal harvest windows. The sensitivity analyses on R_0 are super thorough, but \gamma stays fixed throughout, so I thought eeven a brief comment about how this might matter could be interesting (maybe it's not done bc it's not really interesting to do so, in that case, ignore my comment :) )</w:t>
      </w:r>
    </w:p>
  </w:comment>
  <w:comment w:id="33" w:author="Stephen Kissler" w:date="2026-02-28T16:17:00Z" w:initials="SK">
    <w:p w14:paraId="1FA9B4E3" w14:textId="11D0C616" w:rsidR="00F53651" w:rsidRDefault="00F53651">
      <w:pPr>
        <w:pStyle w:val="CommentText"/>
      </w:pPr>
      <w:r>
        <w:rPr>
          <w:rStyle w:val="CommentReference"/>
        </w:rPr>
        <w:annotationRef/>
      </w:r>
      <w:r w:rsidRPr="33B55D7E">
        <w:t xml:space="preserve">Yeah this is an important point. I mostly kept it fixed to avoid having to do </w:t>
      </w:r>
      <w:r w:rsidRPr="4F4CA1B6">
        <w:rPr>
          <w:i/>
          <w:iCs/>
        </w:rPr>
        <w:t>too</w:t>
      </w:r>
      <w:r w:rsidRPr="7309FBC3">
        <w:t xml:space="preserve"> many additional sensitivity analyses, but you're right that this might actually have an interesting and important impact on how the epidemic interacts with harvest windows. Let me mull this over and decide whether it's worth generating a full sensitivity analysis or just hand-waving about what the expected impact would be... (Since gamma determines tau, which in turn determines beta, changing gamma requires fully re-calibrating and re-parameterizing the model, so it's a bit bigger lift than the other sensitivity analyses; but I think could be done without too much trouble) </w:t>
      </w:r>
    </w:p>
  </w:comment>
  <w:comment w:id="34" w:author="Naia Ormaza Zulueta" w:date="2026-02-27T15:29:00Z" w:initials="OZN">
    <w:p w14:paraId="334FE9E5" w14:textId="77777777" w:rsidR="003F1FB8" w:rsidRDefault="003F1FB8" w:rsidP="003F1FB8">
      <w:r>
        <w:rPr>
          <w:rStyle w:val="CommentReference"/>
        </w:rPr>
        <w:annotationRef/>
      </w:r>
      <w:r>
        <w:rPr>
          <w:sz w:val="20"/>
          <w:szCs w:val="20"/>
        </w:rPr>
        <w:t>The model holds transmission rates constant, and so the framing of R_0 = 1.5 as already reflexting behavioral mitigation is a way to address this implicitly (is this correct?). One thing that struck me, though: agricultural workers probably have less ability to modify their behavior during an outbreak compared to the general population (they can't work from home, they may lack paid sick leave, there may be employer pressure to keep working… or more thatn for the general population, anyways). Somewhat counterintuitively, this might mean the constant-transmission assumption is actually more realistic for this population than for the general community, right? I thought that was an interesting point that could actually work in the paper's favour in a way if made explicit</w:t>
      </w:r>
    </w:p>
    <w:p w14:paraId="37809376" w14:textId="77777777" w:rsidR="003F1FB8" w:rsidRDefault="003F1FB8" w:rsidP="003F1FB8"/>
  </w:comment>
  <w:comment w:id="35" w:author="Stephen Kissler" w:date="2026-02-28T16:21:00Z" w:initials="SK">
    <w:p w14:paraId="2FC4C9B4" w14:textId="45DCF07C" w:rsidR="00F53651" w:rsidRDefault="00F53651">
      <w:pPr>
        <w:pStyle w:val="CommentText"/>
      </w:pPr>
      <w:r>
        <w:rPr>
          <w:rStyle w:val="CommentReference"/>
        </w:rPr>
        <w:annotationRef/>
      </w:r>
      <w:r w:rsidRPr="7B021ED0">
        <w:t xml:space="preserve">Yes, good point; this probably deserves some additional commentary. In the model, we fix R0 at the national level to 1.5 (or 1.2, or 2, or 3); but within regions, and within sub-populations in a region, it might differ from that value depending on household size and crowding. But, of course, there are other things that could also impact the region/subpop-sepcific R0 that we don't model. </w:t>
      </w:r>
    </w:p>
  </w:comment>
  <w:comment w:id="36" w:author="Katherine Bardsley" w:date="2026-02-27T10:42:00Z" w:initials="KB">
    <w:p w14:paraId="53418BF2" w14:textId="77777777" w:rsidR="00DA64D5" w:rsidRDefault="00DA64D5" w:rsidP="00DA64D5">
      <w:pPr>
        <w:pStyle w:val="CommentText"/>
      </w:pPr>
      <w:r>
        <w:rPr>
          <w:rStyle w:val="CommentReference"/>
        </w:rPr>
        <w:annotationRef/>
      </w:r>
      <w:r>
        <w:t>Citation/justification?</w:t>
      </w:r>
    </w:p>
  </w:comment>
  <w:comment w:id="37" w:author="Stephen Kissler" w:date="2026-02-28T16:24:00Z" w:initials="SK">
    <w:p w14:paraId="1CC9B4C7" w14:textId="153C75D5" w:rsidR="00F53651" w:rsidRDefault="00F53651">
      <w:pPr>
        <w:pStyle w:val="CommentText"/>
      </w:pPr>
      <w:r>
        <w:rPr>
          <w:rStyle w:val="CommentReference"/>
        </w:rPr>
        <w:annotationRef/>
      </w:r>
      <w:r w:rsidRPr="0107138F">
        <w:t xml:space="preserve">Will add! </w:t>
      </w:r>
    </w:p>
  </w:comment>
  <w:comment w:id="39" w:author="Naia Ormaza Zulueta" w:date="2026-02-27T09:30:00Z" w:initials="OZN">
    <w:p w14:paraId="1F106871" w14:textId="6892ECE0" w:rsidR="00AE4062" w:rsidRDefault="00AE4062" w:rsidP="00AE4062">
      <w:r>
        <w:rPr>
          <w:rStyle w:val="CommentReference"/>
        </w:rPr>
        <w:annotationRef/>
      </w:r>
      <w:r>
        <w:rPr>
          <w:sz w:val="20"/>
          <w:szCs w:val="20"/>
        </w:rPr>
        <w:t>The initialization procedure is super nicely described in the supplement!! I found it super super helpful. One thing I found myself wondering, though: in practice, wouldn't an outbreak more likely arrive first in the general population and then spread into the agricultural workforce (or the reverse for something zoonotic)? From my understanding of how these models work, symmetric seeding means you can't capture any delay in epidemic onset between the two groups, so both epidemics are essentially born at the same moment. For the time-to-peak comparisons especially, I wonder if this matters. Like in climate modeling, this would be like an initial conditions sensitivity question that might not change the equilibrium, right? but it could change the transient dynamics</w:t>
      </w:r>
    </w:p>
  </w:comment>
  <w:comment w:id="40" w:author="Stephen Kissler" w:date="2026-02-28T16:26:00Z" w:initials="SK">
    <w:p w14:paraId="2F144311" w14:textId="405AF5B7" w:rsidR="00F53651" w:rsidRDefault="00F53651">
      <w:pPr>
        <w:pStyle w:val="CommentText"/>
      </w:pPr>
      <w:r>
        <w:rPr>
          <w:rStyle w:val="CommentReference"/>
        </w:rPr>
        <w:annotationRef/>
      </w:r>
      <w:r w:rsidRPr="5342D8BA">
        <w:t xml:space="preserve">Great idea -- this deserves some sensitivity analysis for sure. For some infections, one might argue that we'd expect it to arrive </w:t>
      </w:r>
      <w:r w:rsidRPr="19908B18">
        <w:rPr>
          <w:i/>
          <w:iCs/>
        </w:rPr>
        <w:t>first</w:t>
      </w:r>
      <w:r w:rsidRPr="0DE13568">
        <w:t xml:space="preserve"> in the agricultural population (there's some evidence this happened with the 2009 H1N1 pandemic in the US), so we should probably assess all scenarios -- general community first, agricultural workers first, and simultaneous. </w:t>
      </w:r>
    </w:p>
  </w:comment>
  <w:comment w:id="41" w:author="Katherine Bardsley" w:date="2026-02-27T10:52:00Z" w:initials="KB">
    <w:p w14:paraId="36158E85" w14:textId="77777777" w:rsidR="007E0AD7" w:rsidRDefault="007E0AD7" w:rsidP="007E0AD7">
      <w:pPr>
        <w:pStyle w:val="CommentText"/>
      </w:pPr>
      <w:r>
        <w:rPr>
          <w:rStyle w:val="CommentReference"/>
        </w:rPr>
        <w:annotationRef/>
      </w:r>
      <w:r>
        <w:t>I had to read this a few times before it became clear what you did here. It might be helpful to remind the reader that the ACS data is for the general population if there’s space?</w:t>
      </w:r>
    </w:p>
  </w:comment>
  <w:comment w:id="42" w:author="Stephen Kissler" w:date="2026-02-28T16:27:00Z" w:initials="SK">
    <w:p w14:paraId="739D2183" w14:textId="44DA2C08" w:rsidR="00F53651" w:rsidRDefault="00F53651">
      <w:pPr>
        <w:pStyle w:val="CommentText"/>
      </w:pPr>
      <w:r>
        <w:rPr>
          <w:rStyle w:val="CommentReference"/>
        </w:rPr>
        <w:annotationRef/>
      </w:r>
      <w:r w:rsidRPr="5A7AA47E">
        <w:t xml:space="preserve">Definitely - added! </w:t>
      </w:r>
    </w:p>
  </w:comment>
  <w:comment w:id="44" w:author="Naia Ormaza Zulueta" w:date="2026-02-27T15:21:00Z" w:initials="OZN">
    <w:p w14:paraId="1DAAB7BE" w14:textId="77777777" w:rsidR="001766F8" w:rsidRDefault="001766F8" w:rsidP="001766F8">
      <w:r>
        <w:rPr>
          <w:rStyle w:val="CommentReference"/>
        </w:rPr>
        <w:annotationRef/>
      </w:r>
      <w:r>
        <w:rPr>
          <w:sz w:val="20"/>
          <w:szCs w:val="20"/>
        </w:rPr>
        <w:t>One thing I wondered about from an agricultural operations perspective: don't many harvest operations need a minimum crew size to function? Things like running a packing line, filling a truck, coordinating a picking crew across a field. If so, production might drop more steeply than linearly below some threshold. Conversely, farmers might compensate by hiring replacement workers or extending shifts. This cuts both ways, but I wasn't sure whether the linear assumption might be masking some of that or if it could be something to explore (if it's easy to, even as a quick suppl check)</w:t>
      </w:r>
    </w:p>
  </w:comment>
  <w:comment w:id="45" w:author="Stephen Kissler" w:date="2026-02-28T16:28:00Z" w:initials="SK">
    <w:p w14:paraId="544D1B3C" w14:textId="2240C9B6" w:rsidR="00F53651" w:rsidRDefault="00F53651">
      <w:pPr>
        <w:pStyle w:val="CommentText"/>
      </w:pPr>
      <w:r>
        <w:rPr>
          <w:rStyle w:val="CommentReference"/>
        </w:rPr>
        <w:annotationRef/>
      </w:r>
      <w:r w:rsidRPr="09C988F2">
        <w:t xml:space="preserve">Good point; I think maybe I'll just add a comment on this to the Discussion, since there are so many complex nonlinearities that could enter in here; but this would be a really interesting thing to investigate. </w:t>
      </w:r>
    </w:p>
  </w:comment>
  <w:comment w:id="48" w:author="Naia Ormaza Zulueta" w:date="2026-02-27T15:53:00Z" w:initials="OZN">
    <w:p w14:paraId="38122CEC" w14:textId="77777777" w:rsidR="00A339E6" w:rsidRDefault="00A339E6" w:rsidP="00A339E6">
      <w:r>
        <w:rPr>
          <w:rStyle w:val="CommentReference"/>
        </w:rPr>
        <w:annotationRef/>
      </w:r>
      <w:r>
        <w:rPr>
          <w:sz w:val="20"/>
          <w:szCs w:val="20"/>
        </w:rPr>
        <w:t xml:space="preserve">I thought this was a really really useful finding that might deserve a bit more emphasis. it basically tells the reader that the linear interpolation of crowding by household size, which is somewhat of a modeling choice, doesn't actually drive the results, right?. The total crowding proportion matters much more than how it's distributed. As someone evaluating the robustness of the approach, I'd find that reassuring! (If I'm not missing something critical) </w:t>
      </w:r>
    </w:p>
  </w:comment>
  <w:comment w:id="49" w:author="Stephen Kissler" w:date="2026-02-28T16:29:00Z" w:initials="SK">
    <w:p w14:paraId="76BB6954" w14:textId="1E6F4CB1" w:rsidR="00F53651" w:rsidRDefault="00F53651">
      <w:pPr>
        <w:pStyle w:val="CommentText"/>
      </w:pPr>
      <w:r>
        <w:rPr>
          <w:rStyle w:val="CommentReference"/>
        </w:rPr>
        <w:annotationRef/>
      </w:r>
      <w:r w:rsidRPr="3708FA6C">
        <w:t xml:space="preserve">You've got the right interpretation! I'll add a comment to this effect to the Discussion (I like to keep Results sections as cut-and-dried as possible) </w:t>
      </w:r>
    </w:p>
  </w:comment>
  <w:comment w:id="51" w:author="Luis de Pablo" w:date="2026-03-06T15:25:00Z" w:initials="LP">
    <w:p w14:paraId="36982E7C" w14:textId="3A343243" w:rsidR="007015F9" w:rsidRDefault="00000000">
      <w:pPr>
        <w:pStyle w:val="CommentText"/>
      </w:pPr>
      <w:r>
        <w:rPr>
          <w:rStyle w:val="CommentReference"/>
        </w:rPr>
        <w:annotationRef/>
      </w:r>
      <w:r w:rsidRPr="697EC751">
        <w:t>Just to make sure I understand this correctly, these losses are assuming the worst possible outbreak timing and adding up the total loss across the entire outbreak?</w:t>
      </w:r>
    </w:p>
  </w:comment>
  <w:comment w:id="52" w:author="Stephen Kissler" w:date="2026-03-17T13:04:00Z" w:initials="SK">
    <w:p w14:paraId="0E4DB56B" w14:textId="77777777" w:rsidR="00506189" w:rsidRDefault="00506189" w:rsidP="00506189">
      <w:r>
        <w:rPr>
          <w:rStyle w:val="CommentReference"/>
        </w:rPr>
        <w:annotationRef/>
      </w:r>
      <w:r>
        <w:rPr>
          <w:sz w:val="20"/>
          <w:szCs w:val="20"/>
        </w:rPr>
        <w:t xml:space="preserve">Yes, that's correct! </w:t>
      </w:r>
    </w:p>
  </w:comment>
  <w:comment w:id="53" w:author="Katherine Bardsley" w:date="2026-02-27T11:07:00Z" w:initials="KB">
    <w:p w14:paraId="55069927" w14:textId="77777777" w:rsidR="00044BD8" w:rsidRDefault="00044BD8" w:rsidP="00044BD8">
      <w:pPr>
        <w:pStyle w:val="CommentText"/>
      </w:pPr>
      <w:r>
        <w:rPr>
          <w:rStyle w:val="CommentReference"/>
        </w:rPr>
        <w:annotationRef/>
      </w:r>
      <w:r>
        <w:t>Is head lettuce the same as iceberg lettuce here?</w:t>
      </w:r>
    </w:p>
  </w:comment>
  <w:comment w:id="54" w:author="Stephen Kissler" w:date="2026-02-28T16:30:00Z" w:initials="SK">
    <w:p w14:paraId="61D31A49" w14:textId="1EBCC682" w:rsidR="00F53651" w:rsidRDefault="00F53651">
      <w:pPr>
        <w:pStyle w:val="CommentText"/>
      </w:pPr>
      <w:r>
        <w:rPr>
          <w:rStyle w:val="CommentReference"/>
        </w:rPr>
        <w:annotationRef/>
      </w:r>
      <w:r w:rsidRPr="1E0D15DD">
        <w:t xml:space="preserve">Head lettuce is a superset of iceberg lettuce (I think!); and the economic values were only reported at the head lettuce scale. </w:t>
      </w:r>
    </w:p>
  </w:comment>
  <w:comment w:id="56" w:author="Naia Ormaza Zulueta" w:date="2026-02-27T16:06:00Z" w:initials="OZN">
    <w:p w14:paraId="149361A8" w14:textId="77777777" w:rsidR="00387BDC" w:rsidRDefault="00387BDC" w:rsidP="00387BDC">
      <w:r>
        <w:rPr>
          <w:rStyle w:val="CommentReference"/>
        </w:rPr>
        <w:annotationRef/>
      </w:r>
      <w:r>
        <w:rPr>
          <w:sz w:val="20"/>
          <w:szCs w:val="20"/>
        </w:rPr>
        <w:t>I found that the discussion's comparison with observed covid-19 data is really well done (compare and then explain why they differ, it totally anticipates the reader's reaction)</w:t>
      </w:r>
    </w:p>
  </w:comment>
  <w:comment w:id="57" w:author="Stephen Kissler" w:date="2026-02-28T16:31:00Z" w:initials="SK">
    <w:p w14:paraId="12D28D9D" w14:textId="35E1A455" w:rsidR="00F53651" w:rsidRDefault="00F53651">
      <w:pPr>
        <w:pStyle w:val="CommentText"/>
      </w:pPr>
      <w:r>
        <w:rPr>
          <w:rStyle w:val="CommentReference"/>
        </w:rPr>
        <w:annotationRef/>
      </w:r>
      <w:r w:rsidRPr="588C04F9">
        <w:t xml:space="preserve">Thanks, that's helpful to hear! </w:t>
      </w:r>
    </w:p>
  </w:comment>
  <w:comment w:id="58" w:author="Luis de Pablo" w:date="2026-03-06T18:26:00Z" w:initials="LP">
    <w:p w14:paraId="615BD2AD" w14:textId="25CEF9CE" w:rsidR="007015F9" w:rsidRDefault="00000000">
      <w:pPr>
        <w:pStyle w:val="CommentText"/>
      </w:pPr>
      <w:r>
        <w:rPr>
          <w:rStyle w:val="CommentReference"/>
        </w:rPr>
        <w:annotationRef/>
      </w:r>
      <w:r w:rsidRPr="10853345">
        <w:t>this could be a good place to discuss broader impacts for public health. Maybe something along the lines of, "our results highlight the vulnerability this population, and the need for targeted health interventions etc."</w:t>
      </w:r>
    </w:p>
  </w:comment>
  <w:comment w:id="59" w:author="Luis de Pablo" w:date="2026-03-06T18:28:00Z" w:initials="LP">
    <w:p w14:paraId="4E21393B" w14:textId="3B55E8E9" w:rsidR="007015F9" w:rsidRDefault="00000000">
      <w:pPr>
        <w:pStyle w:val="CommentText"/>
      </w:pPr>
      <w:r>
        <w:rPr>
          <w:rStyle w:val="CommentReference"/>
        </w:rPr>
        <w:annotationRef/>
      </w:r>
      <w:r w:rsidRPr="700BDF18">
        <w:t>The tool is super cool and works great on my machine! I think we should introduce it a bit more in the introduction and methods sections, since in my view it's a major contribution of the manuscript. I think we could frame it as adding to the predictive value of this paper, since we aren't modeling a past outbreak so much as providing a framework to predict the impact of future epidemics.</w:t>
      </w:r>
    </w:p>
  </w:comment>
  <w:comment w:id="60" w:author="Katherine Bardsley" w:date="2026-02-27T11:22:00Z" w:initials="KB">
    <w:p w14:paraId="7279D8D1" w14:textId="77777777" w:rsidR="00281348" w:rsidRDefault="00281348" w:rsidP="00281348">
      <w:pPr>
        <w:pStyle w:val="CommentText"/>
      </w:pPr>
      <w:r>
        <w:rPr>
          <w:rStyle w:val="CommentReference"/>
        </w:rPr>
        <w:annotationRef/>
      </w:r>
      <w:r>
        <w:t>This is awesome! Do we need to include a note here about how readers can access this? Or is having it in the code linked at the end enough?</w:t>
      </w:r>
    </w:p>
  </w:comment>
  <w:comment w:id="61" w:author="Stephen Kissler" w:date="2026-02-28T16:31:00Z" w:initials="SK">
    <w:p w14:paraId="613813B2" w14:textId="0F3D1683" w:rsidR="00F53651" w:rsidRDefault="00F53651">
      <w:pPr>
        <w:pStyle w:val="CommentText"/>
      </w:pPr>
      <w:r>
        <w:rPr>
          <w:rStyle w:val="CommentReference"/>
        </w:rPr>
        <w:annotationRef/>
      </w:r>
      <w:r w:rsidRPr="30DBAF4D">
        <w:t xml:space="preserve">Yes, I'll add this in once I've decided how to deploy it (right now, you can access it directly from the GitHub and running it locally on your machine, but I'll probably deploy it as a website) </w:t>
      </w:r>
    </w:p>
  </w:comment>
  <w:comment w:id="64" w:author="Naia Ormaza Zulueta" w:date="2026-02-27T16:08:00Z" w:initials="OZN">
    <w:p w14:paraId="233FCEC4" w14:textId="77777777" w:rsidR="00E32831" w:rsidRDefault="00E32831" w:rsidP="00E32831">
      <w:r>
        <w:rPr>
          <w:rStyle w:val="CommentReference"/>
        </w:rPr>
        <w:annotationRef/>
      </w:r>
      <w:r>
        <w:rPr>
          <w:sz w:val="20"/>
          <w:szCs w:val="20"/>
        </w:rPr>
        <w:t>This paragraph: unusually thorough and honest. The point about oranges staying on the tree, that farm-level impacts could show "all or nothing" dynamics, admission that county-level resutls have low confidence... I really really enjoyed this transparency</w:t>
      </w:r>
    </w:p>
  </w:comment>
  <w:comment w:id="65" w:author="Stephen Kissler" w:date="2026-02-28T16:31:00Z" w:initials="SK">
    <w:p w14:paraId="22D8D2E7" w14:textId="7B78A1CA" w:rsidR="00F53651" w:rsidRDefault="00F53651">
      <w:pPr>
        <w:pStyle w:val="CommentText"/>
      </w:pPr>
      <w:r>
        <w:rPr>
          <w:rStyle w:val="CommentReference"/>
        </w:rPr>
        <w:annotationRef/>
      </w:r>
      <w:r w:rsidRPr="38129C20">
        <w:t xml:space="preserve">Thank you! </w:t>
      </w:r>
    </w:p>
  </w:comment>
  <w:comment w:id="66" w:author="Emma Keppler" w:date="2026-03-02T14:03:00Z" w:initials="EK">
    <w:p w14:paraId="15DA9486" w14:textId="40F2A071" w:rsidR="00F53651" w:rsidRDefault="00F53651">
      <w:pPr>
        <w:pStyle w:val="CommentText"/>
      </w:pPr>
      <w:r>
        <w:rPr>
          <w:rStyle w:val="CommentReference"/>
        </w:rPr>
        <w:annotationRef/>
      </w:r>
      <w:r w:rsidRPr="04A35A72">
        <w:t>This seems like an important point but the phrasing in this paragraph is out of place to me. Is it supposed to be connected to limitations of  the NAWS data? It also seems like it could be elaborated on how it relates to the structure of the model</w:t>
      </w:r>
    </w:p>
  </w:comment>
  <w:comment w:id="63" w:author="Luis de Pablo" w:date="2026-03-06T18:30:00Z" w:initials="LP">
    <w:p w14:paraId="3BBD90F9" w14:textId="2E64AA35" w:rsidR="007015F9" w:rsidRDefault="00000000">
      <w:pPr>
        <w:pStyle w:val="CommentText"/>
      </w:pPr>
      <w:r>
        <w:rPr>
          <w:rStyle w:val="CommentReference"/>
        </w:rPr>
        <w:annotationRef/>
      </w:r>
      <w:r w:rsidRPr="7080727E">
        <w:t>This is great!</w:t>
      </w:r>
    </w:p>
  </w:comment>
  <w:comment w:id="68" w:author="Emma Keppler" w:date="2026-03-02T15:53:00Z" w:initials="EK">
    <w:p w14:paraId="18A36B85" w14:textId="427909C8" w:rsidR="00F53651" w:rsidRDefault="00F53651">
      <w:pPr>
        <w:pStyle w:val="CommentText"/>
      </w:pPr>
      <w:r>
        <w:rPr>
          <w:rStyle w:val="CommentReference"/>
        </w:rPr>
        <w:annotationRef/>
      </w:r>
      <w:r w:rsidRPr="5B220F61">
        <w:t>It's interesting and probably meaningful to the analysis that household crowdedness for both general population and agricultural workers is so high in California compared to other regions. It could be a connection worth mentioning in the discussion since crowdedness is such a big factor to the disease spread.</w:t>
      </w:r>
    </w:p>
  </w:comment>
  <w:comment w:id="69" w:author="Katherine Bardsley" w:date="2026-02-27T10:58:00Z" w:initials="KB">
    <w:p w14:paraId="3182B84A" w14:textId="7052DA99" w:rsidR="00C779D5" w:rsidRDefault="00C779D5" w:rsidP="00C779D5">
      <w:pPr>
        <w:pStyle w:val="CommentText"/>
      </w:pPr>
      <w:r>
        <w:rPr>
          <w:rStyle w:val="CommentReference"/>
        </w:rPr>
        <w:annotationRef/>
      </w:r>
      <w:r>
        <w:t>This is a cool way to visualize this!</w:t>
      </w:r>
    </w:p>
  </w:comment>
  <w:comment w:id="70" w:author="Naia Ormaza Zulueta" w:date="2026-02-27T15:58:00Z" w:initials="OZN">
    <w:p w14:paraId="08080CE1" w14:textId="77777777" w:rsidR="00D327CF" w:rsidRDefault="00D327CF" w:rsidP="00D327CF">
      <w:r>
        <w:rPr>
          <w:rStyle w:val="CommentReference"/>
        </w:rPr>
        <w:annotationRef/>
      </w:r>
      <w:r>
        <w:rPr>
          <w:sz w:val="20"/>
          <w:szCs w:val="20"/>
        </w:rPr>
        <w:t>TOTALLY agree. You can immediately see the shift towward larger households for agricultural workers without needing to process any numbers here. (And I really liked the design choice to overlay county-level histograms for the general community against single regional bars for ag workers in panel B)</w:t>
      </w:r>
    </w:p>
  </w:comment>
  <w:comment w:id="71" w:author="Stephen Kissler" w:date="2026-02-28T16:33:00Z" w:initials="SK">
    <w:p w14:paraId="4D3774DB" w14:textId="081AAB44" w:rsidR="00F53651" w:rsidRDefault="00F53651">
      <w:pPr>
        <w:pStyle w:val="CommentText"/>
      </w:pPr>
      <w:r>
        <w:rPr>
          <w:rStyle w:val="CommentReference"/>
        </w:rPr>
        <w:annotationRef/>
      </w:r>
      <w:r w:rsidRPr="637C1196">
        <w:t xml:space="preserve">Thanks! I played with lots of different strategies here, I'm glad to hear this one worked out. </w:t>
      </w:r>
    </w:p>
  </w:comment>
  <w:comment w:id="72" w:author="Katherine Bardsley" w:date="2026-02-27T11:10:00Z" w:initials="KB">
    <w:p w14:paraId="7EBB06B7" w14:textId="77777777" w:rsidR="00BF30F2" w:rsidRDefault="00BF30F2" w:rsidP="00BF30F2">
      <w:pPr>
        <w:pStyle w:val="CommentText"/>
      </w:pPr>
      <w:r>
        <w:rPr>
          <w:rStyle w:val="CommentReference"/>
        </w:rPr>
        <w:annotationRef/>
      </w:r>
      <w:r>
        <w:t>I really like what you did with this figure! I think it is very clear and helpful.</w:t>
      </w:r>
    </w:p>
  </w:comment>
  <w:comment w:id="73" w:author="Naia Ormaza Zulueta" w:date="2026-02-27T16:04:00Z" w:initials="OZN">
    <w:p w14:paraId="20D2DBCD" w14:textId="77777777" w:rsidR="00B43727" w:rsidRDefault="00B43727" w:rsidP="00B43727">
      <w:r>
        <w:rPr>
          <w:rStyle w:val="CommentReference"/>
        </w:rPr>
        <w:annotationRef/>
      </w:r>
      <w:r>
        <w:rPr>
          <w:sz w:val="20"/>
          <w:szCs w:val="20"/>
        </w:rPr>
        <w:t xml:space="preserve">Fully agree, the star of the paper, in my opinion :) </w:t>
      </w:r>
    </w:p>
  </w:comment>
  <w:comment w:id="74" w:author="Katherine Bardsley" w:date="2026-02-27T11:08:00Z" w:initials="KB">
    <w:p w14:paraId="21959D05" w14:textId="005EDE1D" w:rsidR="00044BD8" w:rsidRDefault="00044BD8" w:rsidP="00044BD8">
      <w:pPr>
        <w:pStyle w:val="CommentText"/>
      </w:pPr>
      <w:r>
        <w:rPr>
          <w:rStyle w:val="CommentReference"/>
        </w:rPr>
        <w:annotationRef/>
      </w:r>
      <w:r>
        <w:t>Panel (A and B) labels missing</w:t>
      </w:r>
    </w:p>
  </w:comment>
  <w:comment w:id="75" w:author="Katherine Bardsley" w:date="2026-02-27T11:12:00Z" w:initials="KB">
    <w:p w14:paraId="0775EDF4" w14:textId="77777777" w:rsidR="006A0787" w:rsidRDefault="006A0787" w:rsidP="006A0787">
      <w:pPr>
        <w:pStyle w:val="CommentText"/>
      </w:pPr>
      <w:r>
        <w:rPr>
          <w:rStyle w:val="CommentReference"/>
        </w:rPr>
        <w:annotationRef/>
      </w:r>
      <w:r>
        <w:t>Will it confuse the viewer to see another curve here on a different scale? Another option would be to include vertical lines indicating when agricultural workers were symptomatic.</w:t>
      </w:r>
    </w:p>
  </w:comment>
  <w:comment w:id="86" w:author="Katherine Bardsley" w:date="2026-02-27T11:34:00Z" w:initials="KB">
    <w:p w14:paraId="03D7C3A4" w14:textId="77777777" w:rsidR="00A80E7E" w:rsidRDefault="00A80E7E" w:rsidP="00A80E7E">
      <w:pPr>
        <w:pStyle w:val="CommentText"/>
      </w:pPr>
      <w:r>
        <w:rPr>
          <w:rStyle w:val="CommentReference"/>
        </w:rPr>
        <w:annotationRef/>
      </w:r>
      <w:r>
        <w:t>Consider defining which variables you are using for each of those things here in parentheses</w:t>
      </w:r>
    </w:p>
  </w:comment>
  <w:comment w:id="92" w:author="Naia Ormaza Zulueta" w:date="2026-02-27T16:25:00Z" w:initials="OZN">
    <w:p w14:paraId="098A8489" w14:textId="77777777" w:rsidR="00485085" w:rsidRDefault="00485085" w:rsidP="00485085">
      <w:r>
        <w:rPr>
          <w:rStyle w:val="CommentReference"/>
        </w:rPr>
        <w:annotationRef/>
      </w:r>
      <w:r>
        <w:rPr>
          <w:sz w:val="20"/>
          <w:szCs w:val="20"/>
        </w:rPr>
        <w:t>Really clear derivation. One question: the formula for the SAR is exact for a pair (one infectious, one susceptible), but in larger households wouldn't multi-generational transmission (A to B to C) make the realized attack rate somewhat higher than the calibrated SAR? If I understand correctly, the simulation itself handles this fine, it's really about whether the literature SAR values used for calibration were estimated in ways that account for this. It's a bit like using a bimolecular rate constant in a crowded reaction environment (that’s how I think about it in this context). Doing some search (while I was trying to understand it), I found some work on chain binomial models (Addy, Longini &amp; Haber 1991; Ball &amp; Neal 2002; arXiv 2403.03948) that addresses this more formally. Probably a standard approximation, and well-knoown in the field but given that larger households are the paper's key mechanism, I thought that a sentence acknowledging it might be worth adding (esp for a reader like myself from outside!).</w:t>
      </w:r>
    </w:p>
    <w:p w14:paraId="5DA45DBF" w14:textId="77777777" w:rsidR="00485085" w:rsidRDefault="00485085" w:rsidP="00485085"/>
  </w:comment>
  <w:comment w:id="95" w:author="Katherine Bardsley" w:date="2026-02-27T11:50:00Z" w:initials="KB">
    <w:p w14:paraId="4CA7545A" w14:textId="77777777" w:rsidR="00F16303" w:rsidRDefault="00F16303" w:rsidP="00F16303">
      <w:pPr>
        <w:pStyle w:val="CommentText"/>
      </w:pPr>
      <w:r>
        <w:rPr>
          <w:rStyle w:val="CommentReference"/>
        </w:rPr>
        <w:annotationRef/>
      </w:r>
      <w:r>
        <w:t>Is there a way to make the legend more clear about the fact that general community is a dashed line?</w:t>
      </w:r>
    </w:p>
  </w:comment>
  <w:comment w:id="96" w:author="Katherine Bardsley" w:date="2026-02-27T11:51:00Z" w:initials="KB">
    <w:p w14:paraId="1C2EB7F4" w14:textId="77777777" w:rsidR="002C1180" w:rsidRDefault="002C1180" w:rsidP="002C1180">
      <w:pPr>
        <w:pStyle w:val="CommentText"/>
      </w:pPr>
      <w:r>
        <w:rPr>
          <w:rStyle w:val="CommentReference"/>
        </w:rPr>
        <w:annotationRef/>
      </w:r>
      <w:r>
        <w:t>Same for below</w:t>
      </w:r>
    </w:p>
  </w:comment>
  <w:comment w:id="97" w:author="Katherine Bardsley" w:date="2026-02-27T11:55:00Z" w:initials="KB">
    <w:p w14:paraId="7D6A43A9" w14:textId="77777777" w:rsidR="008150B0" w:rsidRDefault="008150B0" w:rsidP="008150B0">
      <w:pPr>
        <w:pStyle w:val="CommentText"/>
      </w:pPr>
      <w:r>
        <w:rPr>
          <w:rStyle w:val="CommentReference"/>
        </w:rPr>
        <w:annotationRef/>
      </w:r>
      <w:r>
        <w:t>That spike in orange shipments in early 2020 is kind of interesting...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35F3DB" w15:done="1"/>
  <w15:commentEx w15:paraId="654FE4E6" w15:done="1"/>
  <w15:commentEx w15:paraId="0E24DD6F" w15:paraIdParent="654FE4E6" w15:done="1"/>
  <w15:commentEx w15:paraId="6768E0C7" w15:done="1"/>
  <w15:commentEx w15:paraId="0F7DE20E" w15:paraIdParent="6768E0C7" w15:done="1"/>
  <w15:commentEx w15:paraId="73823ECA" w15:done="1"/>
  <w15:commentEx w15:paraId="325EC477" w15:done="1"/>
  <w15:commentEx w15:paraId="5FD28FCB" w15:done="1"/>
  <w15:commentEx w15:paraId="2CAE9A90" w15:paraIdParent="5FD28FCB" w15:done="1"/>
  <w15:commentEx w15:paraId="175760EE" w15:paraIdParent="5FD28FCB" w15:done="1"/>
  <w15:commentEx w15:paraId="315C1514" w15:done="1"/>
  <w15:commentEx w15:paraId="51BD34EB" w15:paraIdParent="315C1514" w15:done="1"/>
  <w15:commentEx w15:paraId="61F8DBC0" w15:paraIdParent="315C1514" w15:done="1"/>
  <w15:commentEx w15:paraId="4D9B19A1" w15:done="1"/>
  <w15:commentEx w15:paraId="1D202717" w15:done="1"/>
  <w15:commentEx w15:paraId="5C48CC97" w15:paraIdParent="1D202717" w15:done="1"/>
  <w15:commentEx w15:paraId="37877621" w15:done="1"/>
  <w15:commentEx w15:paraId="6B0C4436" w15:paraIdParent="37877621" w15:done="1"/>
  <w15:commentEx w15:paraId="4DE24167" w15:done="1"/>
  <w15:commentEx w15:paraId="1BBE9474" w15:paraIdParent="4DE24167" w15:done="1"/>
  <w15:commentEx w15:paraId="4F9D91D7" w15:paraIdParent="4DE24167" w15:done="1"/>
  <w15:commentEx w15:paraId="23909C2E" w15:paraIdParent="4DE24167" w15:done="1"/>
  <w15:commentEx w15:paraId="01E3BD9E" w15:done="1"/>
  <w15:commentEx w15:paraId="1FA9B4E3" w15:paraIdParent="01E3BD9E" w15:done="1"/>
  <w15:commentEx w15:paraId="37809376" w15:done="1"/>
  <w15:commentEx w15:paraId="2FC4C9B4" w15:paraIdParent="37809376" w15:done="1"/>
  <w15:commentEx w15:paraId="53418BF2" w15:done="1"/>
  <w15:commentEx w15:paraId="1CC9B4C7" w15:paraIdParent="53418BF2" w15:done="1"/>
  <w15:commentEx w15:paraId="1F106871" w15:done="1"/>
  <w15:commentEx w15:paraId="2F144311" w15:paraIdParent="1F106871" w15:done="1"/>
  <w15:commentEx w15:paraId="36158E85" w15:done="1"/>
  <w15:commentEx w15:paraId="739D2183" w15:paraIdParent="36158E85" w15:done="1"/>
  <w15:commentEx w15:paraId="1DAAB7BE" w15:done="1"/>
  <w15:commentEx w15:paraId="544D1B3C" w15:paraIdParent="1DAAB7BE" w15:done="1"/>
  <w15:commentEx w15:paraId="38122CEC" w15:done="1"/>
  <w15:commentEx w15:paraId="76BB6954" w15:paraIdParent="38122CEC" w15:done="1"/>
  <w15:commentEx w15:paraId="36982E7C" w15:done="1"/>
  <w15:commentEx w15:paraId="0E4DB56B" w15:paraIdParent="36982E7C" w15:done="1"/>
  <w15:commentEx w15:paraId="55069927" w15:done="1"/>
  <w15:commentEx w15:paraId="61D31A49" w15:paraIdParent="55069927" w15:done="1"/>
  <w15:commentEx w15:paraId="149361A8" w15:done="1"/>
  <w15:commentEx w15:paraId="12D28D9D" w15:paraIdParent="149361A8" w15:done="1"/>
  <w15:commentEx w15:paraId="615BD2AD" w15:done="1"/>
  <w15:commentEx w15:paraId="4E21393B" w15:done="1"/>
  <w15:commentEx w15:paraId="7279D8D1" w15:done="1"/>
  <w15:commentEx w15:paraId="613813B2" w15:paraIdParent="7279D8D1" w15:done="1"/>
  <w15:commentEx w15:paraId="233FCEC4" w15:done="1"/>
  <w15:commentEx w15:paraId="22D8D2E7" w15:paraIdParent="233FCEC4" w15:done="1"/>
  <w15:commentEx w15:paraId="15DA9486" w15:done="1"/>
  <w15:commentEx w15:paraId="3BBD90F9" w15:done="1"/>
  <w15:commentEx w15:paraId="18A36B85" w15:done="1"/>
  <w15:commentEx w15:paraId="3182B84A" w15:done="1"/>
  <w15:commentEx w15:paraId="08080CE1" w15:paraIdParent="3182B84A" w15:done="1"/>
  <w15:commentEx w15:paraId="4D3774DB" w15:paraIdParent="3182B84A" w15:done="1"/>
  <w15:commentEx w15:paraId="7EBB06B7" w15:done="1"/>
  <w15:commentEx w15:paraId="20D2DBCD" w15:paraIdParent="7EBB06B7" w15:done="1"/>
  <w15:commentEx w15:paraId="21959D05" w15:done="1"/>
  <w15:commentEx w15:paraId="0775EDF4" w15:done="1"/>
  <w15:commentEx w15:paraId="03D7C3A4" w15:done="1"/>
  <w15:commentEx w15:paraId="5DA45DBF" w15:done="1"/>
  <w15:commentEx w15:paraId="4CA7545A" w15:done="1"/>
  <w15:commentEx w15:paraId="1C2EB7F4" w15:paraIdParent="4CA7545A" w15:done="1"/>
  <w15:commentEx w15:paraId="7D6A43A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D84D64" w16cex:dateUtc="2026-03-06T22:16:00Z"/>
  <w16cex:commentExtensible w16cex:durableId="64E4BBD9" w16cex:dateUtc="2026-02-27T03:00:00Z">
    <w16cex:extLst>
      <w16:ext w16:uri="{CE6994B0-6A32-4C9F-8C6B-6E91EDA988CE}">
        <cr:reactions xmlns:cr="http://schemas.microsoft.com/office/comments/2020/reactions">
          <cr:reaction reactionType="1">
            <cr:reactionInfo dateUtc="2026-02-27T16:23:37Z">
              <cr:user userId="S::kaba6117@colorado.edu::6ecdbdc6-6910-419d-86fa-06c25a71d6e1" userProvider="AD" userName="Katherine Bardsley"/>
            </cr:reactionInfo>
          </cr:reaction>
        </cr:reactions>
      </w16:ext>
    </w16cex:extLst>
  </w16cex:commentExtensible>
  <w16cex:commentExtensible w16cex:durableId="78A0B703" w16cex:dateUtc="2026-02-28T23:01:00Z"/>
  <w16cex:commentExtensible w16cex:durableId="30AE75D2" w16cex:dateUtc="2026-02-27T16:14:00Z"/>
  <w16cex:commentExtensible w16cex:durableId="6E6F1A22" w16cex:dateUtc="2026-02-28T23:02:00Z"/>
  <w16cex:commentExtensible w16cex:durableId="4A24BF0E" w16cex:dateUtc="2026-03-06T21:56:00Z"/>
  <w16cex:commentExtensible w16cex:durableId="0C9B098B" w16cex:dateUtc="2026-03-06T22:06:00Z"/>
  <w16cex:commentExtensible w16cex:durableId="0522935D" w16cex:dateUtc="2026-02-27T16:30:00Z"/>
  <w16cex:commentExtensible w16cex:durableId="65D15F3C" w16cex:dateUtc="2026-03-02T18:24:00Z"/>
  <w16cex:commentExtensible w16cex:durableId="2B71EE27" w16cex:dateUtc="2026-03-06T21:43:00Z"/>
  <w16cex:commentExtensible w16cex:durableId="17EE3F32" w16cex:dateUtc="2026-02-27T16:35:00Z"/>
  <w16cex:commentExtensible w16cex:durableId="51489922" w16cex:dateUtc="2026-02-27T16:41:00Z"/>
  <w16cex:commentExtensible w16cex:durableId="65B204A5" w16cex:dateUtc="2026-02-28T23:05:00Z"/>
  <w16cex:commentExtensible w16cex:durableId="0645166E" w16cex:dateUtc="2026-03-02T19:07:00Z"/>
  <w16cex:commentExtensible w16cex:durableId="7B1A0C96" w16cex:dateUtc="2026-02-27T17:27:00Z"/>
  <w16cex:commentExtensible w16cex:durableId="27ACC5BC" w16cex:dateUtc="2026-02-28T23:06:00Z"/>
  <w16cex:commentExtensible w16cex:durableId="649A87B3" w16cex:dateUtc="2026-02-27T17:15:00Z"/>
  <w16cex:commentExtensible w16cex:durableId="46FD1AAA" w16cex:dateUtc="2026-02-28T23:12:00Z"/>
  <w16cex:commentExtensible w16cex:durableId="5E37BF03" w16cex:dateUtc="2026-02-27T16:52:00Z"/>
  <w16cex:commentExtensible w16cex:durableId="5853EF82" w16cex:dateUtc="2026-02-27T17:19:00Z"/>
  <w16cex:commentExtensible w16cex:durableId="304D7A86" w16cex:dateUtc="2026-02-27T17:24:00Z"/>
  <w16cex:commentExtensible w16cex:durableId="62D874D3" w16cex:dateUtc="2026-02-28T23:13:00Z"/>
  <w16cex:commentExtensible w16cex:durableId="2A9728ED" w16cex:dateUtc="2026-02-27T23:15:00Z"/>
  <w16cex:commentExtensible w16cex:durableId="3AE1E4A2" w16cex:dateUtc="2026-02-28T23:17:00Z"/>
  <w16cex:commentExtensible w16cex:durableId="2E0EAB06" w16cex:dateUtc="2026-02-27T23:29:00Z"/>
  <w16cex:commentExtensible w16cex:durableId="02A37765" w16cex:dateUtc="2026-02-28T23:21:00Z"/>
  <w16cex:commentExtensible w16cex:durableId="71F0266B" w16cex:dateUtc="2026-02-27T17:42:00Z"/>
  <w16cex:commentExtensible w16cex:durableId="249F17E0" w16cex:dateUtc="2026-02-28T23:24:00Z"/>
  <w16cex:commentExtensible w16cex:durableId="4E0C2E23" w16cex:dateUtc="2026-02-27T17:30:00Z"/>
  <w16cex:commentExtensible w16cex:durableId="7461FCCE" w16cex:dateUtc="2026-02-28T23:26:00Z"/>
  <w16cex:commentExtensible w16cex:durableId="1C40C035" w16cex:dateUtc="2026-02-27T17:52:00Z"/>
  <w16cex:commentExtensible w16cex:durableId="0FD8730F" w16cex:dateUtc="2026-02-28T23:27:00Z"/>
  <w16cex:commentExtensible w16cex:durableId="44DD6C3F" w16cex:dateUtc="2026-02-27T23:21:00Z"/>
  <w16cex:commentExtensible w16cex:durableId="14BBA69D" w16cex:dateUtc="2026-02-28T23:28:00Z"/>
  <w16cex:commentExtensible w16cex:durableId="4EB34835" w16cex:dateUtc="2026-02-27T23:53:00Z"/>
  <w16cex:commentExtensible w16cex:durableId="5158A28F" w16cex:dateUtc="2026-02-28T23:29:00Z"/>
  <w16cex:commentExtensible w16cex:durableId="15CFD511" w16cex:dateUtc="2026-03-06T22:25:00Z"/>
  <w16cex:commentExtensible w16cex:durableId="47D3DEEE" w16cex:dateUtc="2026-03-17T19:04:00Z"/>
  <w16cex:commentExtensible w16cex:durableId="25829538" w16cex:dateUtc="2026-02-27T18:07:00Z"/>
  <w16cex:commentExtensible w16cex:durableId="712F6321" w16cex:dateUtc="2026-02-28T23:30:00Z"/>
  <w16cex:commentExtensible w16cex:durableId="7B9EDED7" w16cex:dateUtc="2026-02-28T00:06:00Z"/>
  <w16cex:commentExtensible w16cex:durableId="369A8FF9" w16cex:dateUtc="2026-02-28T23:31:00Z"/>
  <w16cex:commentExtensible w16cex:durableId="6AADDA21" w16cex:dateUtc="2026-03-07T01:26:00Z"/>
  <w16cex:commentExtensible w16cex:durableId="69DB5ED8" w16cex:dateUtc="2026-03-07T01:28:00Z"/>
  <w16cex:commentExtensible w16cex:durableId="572D16EB" w16cex:dateUtc="2026-02-27T18:22:00Z"/>
  <w16cex:commentExtensible w16cex:durableId="25D647CC" w16cex:dateUtc="2026-02-28T23:31:00Z"/>
  <w16cex:commentExtensible w16cex:durableId="426EE2DC" w16cex:dateUtc="2026-02-28T00:08:00Z"/>
  <w16cex:commentExtensible w16cex:durableId="31B5C813" w16cex:dateUtc="2026-02-28T23:31:00Z"/>
  <w16cex:commentExtensible w16cex:durableId="40D8FA5C" w16cex:dateUtc="2026-03-02T21:03:00Z"/>
  <w16cex:commentExtensible w16cex:durableId="0BD8A589" w16cex:dateUtc="2026-03-07T01:30:00Z"/>
  <w16cex:commentExtensible w16cex:durableId="03A89C8B" w16cex:dateUtc="2026-03-02T22:53:00Z"/>
  <w16cex:commentExtensible w16cex:durableId="48DA5B0C" w16cex:dateUtc="2026-02-27T17:58:00Z"/>
  <w16cex:commentExtensible w16cex:durableId="56277EFC" w16cex:dateUtc="2026-02-27T23:58:00Z"/>
  <w16cex:commentExtensible w16cex:durableId="6C9586D9" w16cex:dateUtc="2026-02-28T23:33:00Z"/>
  <w16cex:commentExtensible w16cex:durableId="6308D2DB" w16cex:dateUtc="2026-02-27T18:10:00Z"/>
  <w16cex:commentExtensible w16cex:durableId="440D9008" w16cex:dateUtc="2026-02-28T00:04:00Z"/>
  <w16cex:commentExtensible w16cex:durableId="24648F4C" w16cex:dateUtc="2026-02-27T18:08:00Z"/>
  <w16cex:commentExtensible w16cex:durableId="0C238274" w16cex:dateUtc="2026-02-27T18:12:00Z"/>
  <w16cex:commentExtensible w16cex:durableId="780FC5FF" w16cex:dateUtc="2026-02-27T18:34:00Z"/>
  <w16cex:commentExtensible w16cex:durableId="69574DEC" w16cex:dateUtc="2026-02-28T00:25:00Z"/>
  <w16cex:commentExtensible w16cex:durableId="35B9D52E" w16cex:dateUtc="2026-02-27T18:50:00Z"/>
  <w16cex:commentExtensible w16cex:durableId="3E2837A6" w16cex:dateUtc="2026-02-27T18:51:00Z"/>
  <w16cex:commentExtensible w16cex:durableId="76EC4DD3" w16cex:dateUtc="2026-02-27T1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35F3DB" w16cid:durableId="16D84D64"/>
  <w16cid:commentId w16cid:paraId="654FE4E6" w16cid:durableId="64E4BBD9"/>
  <w16cid:commentId w16cid:paraId="0E24DD6F" w16cid:durableId="78A0B703"/>
  <w16cid:commentId w16cid:paraId="6768E0C7" w16cid:durableId="30AE75D2"/>
  <w16cid:commentId w16cid:paraId="0F7DE20E" w16cid:durableId="6E6F1A22"/>
  <w16cid:commentId w16cid:paraId="73823ECA" w16cid:durableId="4A24BF0E"/>
  <w16cid:commentId w16cid:paraId="325EC477" w16cid:durableId="0C9B098B"/>
  <w16cid:commentId w16cid:paraId="5FD28FCB" w16cid:durableId="0522935D"/>
  <w16cid:commentId w16cid:paraId="2CAE9A90" w16cid:durableId="65D15F3C"/>
  <w16cid:commentId w16cid:paraId="175760EE" w16cid:durableId="2B71EE27"/>
  <w16cid:commentId w16cid:paraId="315C1514" w16cid:durableId="17EE3F32"/>
  <w16cid:commentId w16cid:paraId="51BD34EB" w16cid:durableId="51489922"/>
  <w16cid:commentId w16cid:paraId="61F8DBC0" w16cid:durableId="65B204A5"/>
  <w16cid:commentId w16cid:paraId="4D9B19A1" w16cid:durableId="0645166E"/>
  <w16cid:commentId w16cid:paraId="1D202717" w16cid:durableId="7B1A0C96"/>
  <w16cid:commentId w16cid:paraId="5C48CC97" w16cid:durableId="27ACC5BC"/>
  <w16cid:commentId w16cid:paraId="37877621" w16cid:durableId="649A87B3"/>
  <w16cid:commentId w16cid:paraId="6B0C4436" w16cid:durableId="46FD1AAA"/>
  <w16cid:commentId w16cid:paraId="4DE24167" w16cid:durableId="5E37BF03"/>
  <w16cid:commentId w16cid:paraId="1BBE9474" w16cid:durableId="5853EF82"/>
  <w16cid:commentId w16cid:paraId="4F9D91D7" w16cid:durableId="304D7A86"/>
  <w16cid:commentId w16cid:paraId="23909C2E" w16cid:durableId="62D874D3"/>
  <w16cid:commentId w16cid:paraId="01E3BD9E" w16cid:durableId="2A9728ED"/>
  <w16cid:commentId w16cid:paraId="1FA9B4E3" w16cid:durableId="3AE1E4A2"/>
  <w16cid:commentId w16cid:paraId="37809376" w16cid:durableId="2E0EAB06"/>
  <w16cid:commentId w16cid:paraId="2FC4C9B4" w16cid:durableId="02A37765"/>
  <w16cid:commentId w16cid:paraId="53418BF2" w16cid:durableId="71F0266B"/>
  <w16cid:commentId w16cid:paraId="1CC9B4C7" w16cid:durableId="249F17E0"/>
  <w16cid:commentId w16cid:paraId="1F106871" w16cid:durableId="4E0C2E23"/>
  <w16cid:commentId w16cid:paraId="2F144311" w16cid:durableId="7461FCCE"/>
  <w16cid:commentId w16cid:paraId="36158E85" w16cid:durableId="1C40C035"/>
  <w16cid:commentId w16cid:paraId="739D2183" w16cid:durableId="0FD8730F"/>
  <w16cid:commentId w16cid:paraId="1DAAB7BE" w16cid:durableId="44DD6C3F"/>
  <w16cid:commentId w16cid:paraId="544D1B3C" w16cid:durableId="14BBA69D"/>
  <w16cid:commentId w16cid:paraId="38122CEC" w16cid:durableId="4EB34835"/>
  <w16cid:commentId w16cid:paraId="76BB6954" w16cid:durableId="5158A28F"/>
  <w16cid:commentId w16cid:paraId="36982E7C" w16cid:durableId="15CFD511"/>
  <w16cid:commentId w16cid:paraId="0E4DB56B" w16cid:durableId="47D3DEEE"/>
  <w16cid:commentId w16cid:paraId="55069927" w16cid:durableId="25829538"/>
  <w16cid:commentId w16cid:paraId="61D31A49" w16cid:durableId="712F6321"/>
  <w16cid:commentId w16cid:paraId="149361A8" w16cid:durableId="7B9EDED7"/>
  <w16cid:commentId w16cid:paraId="12D28D9D" w16cid:durableId="369A8FF9"/>
  <w16cid:commentId w16cid:paraId="615BD2AD" w16cid:durableId="6AADDA21"/>
  <w16cid:commentId w16cid:paraId="4E21393B" w16cid:durableId="69DB5ED8"/>
  <w16cid:commentId w16cid:paraId="7279D8D1" w16cid:durableId="572D16EB"/>
  <w16cid:commentId w16cid:paraId="613813B2" w16cid:durableId="25D647CC"/>
  <w16cid:commentId w16cid:paraId="233FCEC4" w16cid:durableId="426EE2DC"/>
  <w16cid:commentId w16cid:paraId="22D8D2E7" w16cid:durableId="31B5C813"/>
  <w16cid:commentId w16cid:paraId="15DA9486" w16cid:durableId="40D8FA5C"/>
  <w16cid:commentId w16cid:paraId="3BBD90F9" w16cid:durableId="0BD8A589"/>
  <w16cid:commentId w16cid:paraId="18A36B85" w16cid:durableId="03A89C8B"/>
  <w16cid:commentId w16cid:paraId="3182B84A" w16cid:durableId="48DA5B0C"/>
  <w16cid:commentId w16cid:paraId="08080CE1" w16cid:durableId="56277EFC"/>
  <w16cid:commentId w16cid:paraId="4D3774DB" w16cid:durableId="6C9586D9"/>
  <w16cid:commentId w16cid:paraId="7EBB06B7" w16cid:durableId="6308D2DB"/>
  <w16cid:commentId w16cid:paraId="20D2DBCD" w16cid:durableId="440D9008"/>
  <w16cid:commentId w16cid:paraId="21959D05" w16cid:durableId="24648F4C"/>
  <w16cid:commentId w16cid:paraId="0775EDF4" w16cid:durableId="0C238274"/>
  <w16cid:commentId w16cid:paraId="03D7C3A4" w16cid:durableId="780FC5FF"/>
  <w16cid:commentId w16cid:paraId="5DA45DBF" w16cid:durableId="69574DEC"/>
  <w16cid:commentId w16cid:paraId="4CA7545A" w16cid:durableId="35B9D52E"/>
  <w16cid:commentId w16cid:paraId="1C2EB7F4" w16cid:durableId="3E2837A6"/>
  <w16cid:commentId w16cid:paraId="7D6A43A9" w16cid:durableId="76EC4D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Helvetica">
    <w:panose1 w:val="00000000000000000000"/>
    <w:charset w:val="00"/>
    <w:family w:val="auto"/>
    <w:pitch w:val="variable"/>
    <w:sig w:usb0="E00002FF" w:usb1="5000785B" w:usb2="00000000" w:usb3="00000000" w:csb0="0000019F" w:csb1="00000000"/>
  </w:font>
  <w:font w:name="Times New Roman (Headings CS)">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D0DA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7E93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07900821">
    <w:abstractNumId w:val="0"/>
  </w:num>
  <w:num w:numId="2" w16cid:durableId="11989339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 de Pablo">
    <w15:presenceInfo w15:providerId="AD" w15:userId="S::lude8513@colorado.edu::3a39e0a0-d689-46e7-8040-5942ade37380"/>
  </w15:person>
  <w15:person w15:author="Naia Ormaza Zulueta">
    <w15:presenceInfo w15:providerId="AD" w15:userId="S::naor4183@colorado.edu::b79125e7-60c9-43f4-b706-e1a6de1f0695"/>
  </w15:person>
  <w15:person w15:author="Stephen Kissler">
    <w15:presenceInfo w15:providerId="AD" w15:userId="S::kisslers@colorado.edu::21cf5d96-5f6d-43cf-a686-d63159aa76a2"/>
  </w15:person>
  <w15:person w15:author="Katherine Bardsley">
    <w15:presenceInfo w15:providerId="AD" w15:userId="S::kaba6117@colorado.edu::6ecdbdc6-6910-419d-86fa-06c25a71d6e1"/>
  </w15:person>
  <w15:person w15:author="Guest User">
    <w15:presenceInfo w15:providerId="AD" w15:userId="S::urn:spo:tenantanon#eae4ff7e-5c88-415c-9ed1-e37959d8fc75::"/>
  </w15:person>
  <w15:person w15:author="Emma Keppler">
    <w15:presenceInfo w15:providerId="AD" w15:userId="S::emke5612@colorado.edu::eb1dcb52-0a91-42b7-b7a8-fa9c1596e0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EBC"/>
    <w:rsid w:val="0001387C"/>
    <w:rsid w:val="00015D82"/>
    <w:rsid w:val="00026B95"/>
    <w:rsid w:val="0004181D"/>
    <w:rsid w:val="00044BD8"/>
    <w:rsid w:val="0005234F"/>
    <w:rsid w:val="0005607D"/>
    <w:rsid w:val="00056704"/>
    <w:rsid w:val="00057786"/>
    <w:rsid w:val="00080725"/>
    <w:rsid w:val="00085491"/>
    <w:rsid w:val="00086A35"/>
    <w:rsid w:val="00093B6A"/>
    <w:rsid w:val="000B2A2D"/>
    <w:rsid w:val="000B2E6C"/>
    <w:rsid w:val="000B6539"/>
    <w:rsid w:val="000B7631"/>
    <w:rsid w:val="000C35A9"/>
    <w:rsid w:val="000D5E05"/>
    <w:rsid w:val="00112E83"/>
    <w:rsid w:val="001140FE"/>
    <w:rsid w:val="00117A9B"/>
    <w:rsid w:val="00126CF2"/>
    <w:rsid w:val="00142932"/>
    <w:rsid w:val="00145FF8"/>
    <w:rsid w:val="001509B1"/>
    <w:rsid w:val="00164C64"/>
    <w:rsid w:val="0016732F"/>
    <w:rsid w:val="001766F8"/>
    <w:rsid w:val="0017736A"/>
    <w:rsid w:val="001846B1"/>
    <w:rsid w:val="00184E8E"/>
    <w:rsid w:val="001932E2"/>
    <w:rsid w:val="001A6932"/>
    <w:rsid w:val="001B2982"/>
    <w:rsid w:val="001D023F"/>
    <w:rsid w:val="001F334A"/>
    <w:rsid w:val="00204D53"/>
    <w:rsid w:val="002152E1"/>
    <w:rsid w:val="00215DFF"/>
    <w:rsid w:val="00216913"/>
    <w:rsid w:val="00220B32"/>
    <w:rsid w:val="00220BB9"/>
    <w:rsid w:val="002275CB"/>
    <w:rsid w:val="0023269D"/>
    <w:rsid w:val="00235149"/>
    <w:rsid w:val="00242C19"/>
    <w:rsid w:val="00242EFF"/>
    <w:rsid w:val="00260729"/>
    <w:rsid w:val="00261DB5"/>
    <w:rsid w:val="00263659"/>
    <w:rsid w:val="00267447"/>
    <w:rsid w:val="00281348"/>
    <w:rsid w:val="002856C8"/>
    <w:rsid w:val="00285A35"/>
    <w:rsid w:val="00287EBA"/>
    <w:rsid w:val="002A35A9"/>
    <w:rsid w:val="002C1180"/>
    <w:rsid w:val="002C445B"/>
    <w:rsid w:val="002C6EE6"/>
    <w:rsid w:val="002D0EF3"/>
    <w:rsid w:val="002D3B58"/>
    <w:rsid w:val="002F759C"/>
    <w:rsid w:val="003037DE"/>
    <w:rsid w:val="0030573C"/>
    <w:rsid w:val="00320FD3"/>
    <w:rsid w:val="00325EAC"/>
    <w:rsid w:val="003309DF"/>
    <w:rsid w:val="003357EB"/>
    <w:rsid w:val="0034347F"/>
    <w:rsid w:val="00343E58"/>
    <w:rsid w:val="003455E7"/>
    <w:rsid w:val="00356CF0"/>
    <w:rsid w:val="003659E4"/>
    <w:rsid w:val="0036662E"/>
    <w:rsid w:val="00381242"/>
    <w:rsid w:val="00383FB8"/>
    <w:rsid w:val="00387BDC"/>
    <w:rsid w:val="003A5FC8"/>
    <w:rsid w:val="003A79B7"/>
    <w:rsid w:val="003C0C3D"/>
    <w:rsid w:val="003C1CF2"/>
    <w:rsid w:val="003C64F0"/>
    <w:rsid w:val="003D8834"/>
    <w:rsid w:val="003E1480"/>
    <w:rsid w:val="003F1FB8"/>
    <w:rsid w:val="00401575"/>
    <w:rsid w:val="00433C9D"/>
    <w:rsid w:val="00434FED"/>
    <w:rsid w:val="00446483"/>
    <w:rsid w:val="00453014"/>
    <w:rsid w:val="00462858"/>
    <w:rsid w:val="00463AB6"/>
    <w:rsid w:val="00470D90"/>
    <w:rsid w:val="00483035"/>
    <w:rsid w:val="0048378F"/>
    <w:rsid w:val="00485085"/>
    <w:rsid w:val="00493D2C"/>
    <w:rsid w:val="004A125D"/>
    <w:rsid w:val="004A33F8"/>
    <w:rsid w:val="004A4BC4"/>
    <w:rsid w:val="004B4B4F"/>
    <w:rsid w:val="004C0679"/>
    <w:rsid w:val="004E0EEA"/>
    <w:rsid w:val="004F7769"/>
    <w:rsid w:val="00506189"/>
    <w:rsid w:val="00507BE8"/>
    <w:rsid w:val="00527B05"/>
    <w:rsid w:val="00532740"/>
    <w:rsid w:val="00544FAF"/>
    <w:rsid w:val="005459A3"/>
    <w:rsid w:val="00553E49"/>
    <w:rsid w:val="00565D36"/>
    <w:rsid w:val="00574172"/>
    <w:rsid w:val="00585D7C"/>
    <w:rsid w:val="005872A5"/>
    <w:rsid w:val="0059198E"/>
    <w:rsid w:val="00596090"/>
    <w:rsid w:val="005961CD"/>
    <w:rsid w:val="005A71AD"/>
    <w:rsid w:val="005A79F0"/>
    <w:rsid w:val="005B1EF1"/>
    <w:rsid w:val="005B3AE5"/>
    <w:rsid w:val="005B63C8"/>
    <w:rsid w:val="005F0872"/>
    <w:rsid w:val="005F4590"/>
    <w:rsid w:val="00601CAE"/>
    <w:rsid w:val="00626495"/>
    <w:rsid w:val="006353BA"/>
    <w:rsid w:val="00637E29"/>
    <w:rsid w:val="0064311E"/>
    <w:rsid w:val="006475A7"/>
    <w:rsid w:val="00654369"/>
    <w:rsid w:val="006A0787"/>
    <w:rsid w:val="006A1426"/>
    <w:rsid w:val="006B3687"/>
    <w:rsid w:val="006B4661"/>
    <w:rsid w:val="006C02DA"/>
    <w:rsid w:val="006D3296"/>
    <w:rsid w:val="006D461B"/>
    <w:rsid w:val="006D60E0"/>
    <w:rsid w:val="006D7550"/>
    <w:rsid w:val="006E2B16"/>
    <w:rsid w:val="006E2B93"/>
    <w:rsid w:val="006F1252"/>
    <w:rsid w:val="006F1377"/>
    <w:rsid w:val="007015F9"/>
    <w:rsid w:val="0070725B"/>
    <w:rsid w:val="007105E8"/>
    <w:rsid w:val="0071292A"/>
    <w:rsid w:val="007166A4"/>
    <w:rsid w:val="007166D7"/>
    <w:rsid w:val="00724FB0"/>
    <w:rsid w:val="00732D8B"/>
    <w:rsid w:val="00732F2B"/>
    <w:rsid w:val="00735703"/>
    <w:rsid w:val="00752B45"/>
    <w:rsid w:val="00766710"/>
    <w:rsid w:val="00787C0D"/>
    <w:rsid w:val="00793041"/>
    <w:rsid w:val="00796290"/>
    <w:rsid w:val="007978A8"/>
    <w:rsid w:val="007A253A"/>
    <w:rsid w:val="007A39B6"/>
    <w:rsid w:val="007A4DD1"/>
    <w:rsid w:val="007A6683"/>
    <w:rsid w:val="007B1CFB"/>
    <w:rsid w:val="007B3A7B"/>
    <w:rsid w:val="007D3C12"/>
    <w:rsid w:val="007D4FB3"/>
    <w:rsid w:val="007E0AD7"/>
    <w:rsid w:val="007E2FD2"/>
    <w:rsid w:val="008150B0"/>
    <w:rsid w:val="008240B4"/>
    <w:rsid w:val="008303D5"/>
    <w:rsid w:val="008446C3"/>
    <w:rsid w:val="00846CD4"/>
    <w:rsid w:val="008477CE"/>
    <w:rsid w:val="00880F55"/>
    <w:rsid w:val="00894DC5"/>
    <w:rsid w:val="008A2FDA"/>
    <w:rsid w:val="008A36C5"/>
    <w:rsid w:val="008B095B"/>
    <w:rsid w:val="008B0DD4"/>
    <w:rsid w:val="008E0098"/>
    <w:rsid w:val="00901969"/>
    <w:rsid w:val="00903491"/>
    <w:rsid w:val="009048DC"/>
    <w:rsid w:val="00916F84"/>
    <w:rsid w:val="00917581"/>
    <w:rsid w:val="009334F7"/>
    <w:rsid w:val="009401D8"/>
    <w:rsid w:val="0094789D"/>
    <w:rsid w:val="00956CEE"/>
    <w:rsid w:val="00971F13"/>
    <w:rsid w:val="00975882"/>
    <w:rsid w:val="009805D3"/>
    <w:rsid w:val="00980EA5"/>
    <w:rsid w:val="00994241"/>
    <w:rsid w:val="00995ADD"/>
    <w:rsid w:val="009A187C"/>
    <w:rsid w:val="009A20B7"/>
    <w:rsid w:val="009C4405"/>
    <w:rsid w:val="009D23D5"/>
    <w:rsid w:val="009E4136"/>
    <w:rsid w:val="009F1934"/>
    <w:rsid w:val="009F6278"/>
    <w:rsid w:val="00A11FDC"/>
    <w:rsid w:val="00A24C90"/>
    <w:rsid w:val="00A339E6"/>
    <w:rsid w:val="00A5218B"/>
    <w:rsid w:val="00A65DDB"/>
    <w:rsid w:val="00A80E7E"/>
    <w:rsid w:val="00A84C1C"/>
    <w:rsid w:val="00A93C66"/>
    <w:rsid w:val="00AA0719"/>
    <w:rsid w:val="00AA14D2"/>
    <w:rsid w:val="00AA7885"/>
    <w:rsid w:val="00AB7ACA"/>
    <w:rsid w:val="00AB7EBC"/>
    <w:rsid w:val="00AC004C"/>
    <w:rsid w:val="00AC154A"/>
    <w:rsid w:val="00AC4524"/>
    <w:rsid w:val="00AC52D1"/>
    <w:rsid w:val="00AD4B45"/>
    <w:rsid w:val="00AE3C0C"/>
    <w:rsid w:val="00AE4062"/>
    <w:rsid w:val="00AE5D37"/>
    <w:rsid w:val="00B03801"/>
    <w:rsid w:val="00B06118"/>
    <w:rsid w:val="00B06AB3"/>
    <w:rsid w:val="00B2779A"/>
    <w:rsid w:val="00B3133B"/>
    <w:rsid w:val="00B42EC3"/>
    <w:rsid w:val="00B430C3"/>
    <w:rsid w:val="00B43727"/>
    <w:rsid w:val="00B45E0C"/>
    <w:rsid w:val="00B5186D"/>
    <w:rsid w:val="00B657A5"/>
    <w:rsid w:val="00B65B3F"/>
    <w:rsid w:val="00B704E7"/>
    <w:rsid w:val="00B7260C"/>
    <w:rsid w:val="00B9711F"/>
    <w:rsid w:val="00BA44F9"/>
    <w:rsid w:val="00BA7A50"/>
    <w:rsid w:val="00BB69AF"/>
    <w:rsid w:val="00BC40BD"/>
    <w:rsid w:val="00BD0293"/>
    <w:rsid w:val="00BD7EE7"/>
    <w:rsid w:val="00BE296C"/>
    <w:rsid w:val="00BE3D78"/>
    <w:rsid w:val="00BF30F2"/>
    <w:rsid w:val="00BF6168"/>
    <w:rsid w:val="00C00BBC"/>
    <w:rsid w:val="00C02F57"/>
    <w:rsid w:val="00C12752"/>
    <w:rsid w:val="00C16635"/>
    <w:rsid w:val="00C167BF"/>
    <w:rsid w:val="00C2457F"/>
    <w:rsid w:val="00C245ED"/>
    <w:rsid w:val="00C35473"/>
    <w:rsid w:val="00C40D09"/>
    <w:rsid w:val="00C446DC"/>
    <w:rsid w:val="00C73261"/>
    <w:rsid w:val="00C76C4D"/>
    <w:rsid w:val="00C779D5"/>
    <w:rsid w:val="00C77C4E"/>
    <w:rsid w:val="00C80B75"/>
    <w:rsid w:val="00C838D3"/>
    <w:rsid w:val="00C90006"/>
    <w:rsid w:val="00C96A7F"/>
    <w:rsid w:val="00CA37D0"/>
    <w:rsid w:val="00CA5F98"/>
    <w:rsid w:val="00CA63B0"/>
    <w:rsid w:val="00CB0FBE"/>
    <w:rsid w:val="00CC2F84"/>
    <w:rsid w:val="00CC53A0"/>
    <w:rsid w:val="00CD4E45"/>
    <w:rsid w:val="00CE7A7E"/>
    <w:rsid w:val="00D00EA0"/>
    <w:rsid w:val="00D03694"/>
    <w:rsid w:val="00D26185"/>
    <w:rsid w:val="00D327CF"/>
    <w:rsid w:val="00D33C05"/>
    <w:rsid w:val="00D42B6E"/>
    <w:rsid w:val="00D43BBB"/>
    <w:rsid w:val="00D67D44"/>
    <w:rsid w:val="00D74451"/>
    <w:rsid w:val="00D75896"/>
    <w:rsid w:val="00D81DD2"/>
    <w:rsid w:val="00D870D0"/>
    <w:rsid w:val="00D92026"/>
    <w:rsid w:val="00DA2ABC"/>
    <w:rsid w:val="00DA470B"/>
    <w:rsid w:val="00DA5A0F"/>
    <w:rsid w:val="00DA6089"/>
    <w:rsid w:val="00DA64D5"/>
    <w:rsid w:val="00DA6738"/>
    <w:rsid w:val="00DB510C"/>
    <w:rsid w:val="00DD5400"/>
    <w:rsid w:val="00DE4266"/>
    <w:rsid w:val="00E10B15"/>
    <w:rsid w:val="00E141E2"/>
    <w:rsid w:val="00E17911"/>
    <w:rsid w:val="00E30146"/>
    <w:rsid w:val="00E3141B"/>
    <w:rsid w:val="00E32831"/>
    <w:rsid w:val="00E45157"/>
    <w:rsid w:val="00E56AAA"/>
    <w:rsid w:val="00E667FC"/>
    <w:rsid w:val="00E71ABA"/>
    <w:rsid w:val="00E75E71"/>
    <w:rsid w:val="00E86AAB"/>
    <w:rsid w:val="00E93904"/>
    <w:rsid w:val="00EA2A0D"/>
    <w:rsid w:val="00EA48B4"/>
    <w:rsid w:val="00EA5153"/>
    <w:rsid w:val="00EB73C6"/>
    <w:rsid w:val="00ED00D9"/>
    <w:rsid w:val="00ED38F9"/>
    <w:rsid w:val="00ED4398"/>
    <w:rsid w:val="00ED4E30"/>
    <w:rsid w:val="00EE2CEC"/>
    <w:rsid w:val="00EF399A"/>
    <w:rsid w:val="00EF7FBD"/>
    <w:rsid w:val="00F050D5"/>
    <w:rsid w:val="00F16256"/>
    <w:rsid w:val="00F16303"/>
    <w:rsid w:val="00F202DB"/>
    <w:rsid w:val="00F44442"/>
    <w:rsid w:val="00F46428"/>
    <w:rsid w:val="00F477F7"/>
    <w:rsid w:val="00F51C02"/>
    <w:rsid w:val="00F53651"/>
    <w:rsid w:val="00F55C6C"/>
    <w:rsid w:val="00F7619F"/>
    <w:rsid w:val="00F778AB"/>
    <w:rsid w:val="00F807A8"/>
    <w:rsid w:val="00F83A61"/>
    <w:rsid w:val="00F9086E"/>
    <w:rsid w:val="00F91339"/>
    <w:rsid w:val="00FC4592"/>
    <w:rsid w:val="00FD7181"/>
    <w:rsid w:val="00FE0B23"/>
    <w:rsid w:val="00FE37B8"/>
    <w:rsid w:val="00FE544B"/>
    <w:rsid w:val="00FE61F1"/>
    <w:rsid w:val="00FF3431"/>
    <w:rsid w:val="00FF3F6A"/>
    <w:rsid w:val="00FF5A2B"/>
    <w:rsid w:val="01B0427E"/>
    <w:rsid w:val="01C356D3"/>
    <w:rsid w:val="01EDB003"/>
    <w:rsid w:val="03097B92"/>
    <w:rsid w:val="047E4B1A"/>
    <w:rsid w:val="063AA4D1"/>
    <w:rsid w:val="06F2026C"/>
    <w:rsid w:val="08F009E2"/>
    <w:rsid w:val="0B52CEA9"/>
    <w:rsid w:val="0BA47BAF"/>
    <w:rsid w:val="0C56762C"/>
    <w:rsid w:val="0E7B11FB"/>
    <w:rsid w:val="0EB63078"/>
    <w:rsid w:val="0ED720D1"/>
    <w:rsid w:val="0FE1F8B5"/>
    <w:rsid w:val="1270498B"/>
    <w:rsid w:val="1376BE9A"/>
    <w:rsid w:val="1C7AB032"/>
    <w:rsid w:val="1D9EC1FE"/>
    <w:rsid w:val="1E99BE6A"/>
    <w:rsid w:val="20463923"/>
    <w:rsid w:val="234B6E5F"/>
    <w:rsid w:val="2687C85F"/>
    <w:rsid w:val="26935E81"/>
    <w:rsid w:val="2735D869"/>
    <w:rsid w:val="2CE79A78"/>
    <w:rsid w:val="2D016829"/>
    <w:rsid w:val="2FE462EF"/>
    <w:rsid w:val="32A57765"/>
    <w:rsid w:val="36A41F4D"/>
    <w:rsid w:val="37299433"/>
    <w:rsid w:val="3A2F69BD"/>
    <w:rsid w:val="3E68EA10"/>
    <w:rsid w:val="3EEDCFB9"/>
    <w:rsid w:val="41E6E89B"/>
    <w:rsid w:val="455CE20E"/>
    <w:rsid w:val="48278E5D"/>
    <w:rsid w:val="48F2B55F"/>
    <w:rsid w:val="4957FD8C"/>
    <w:rsid w:val="49695EBF"/>
    <w:rsid w:val="4A605CC4"/>
    <w:rsid w:val="4AC9A1E5"/>
    <w:rsid w:val="4D2B9F64"/>
    <w:rsid w:val="4EB5F61E"/>
    <w:rsid w:val="4F20BB25"/>
    <w:rsid w:val="4FD3B2EB"/>
    <w:rsid w:val="508EC78B"/>
    <w:rsid w:val="51C4E606"/>
    <w:rsid w:val="53735020"/>
    <w:rsid w:val="53B57F02"/>
    <w:rsid w:val="54DC97D6"/>
    <w:rsid w:val="55C63313"/>
    <w:rsid w:val="566D6B7D"/>
    <w:rsid w:val="56A0034F"/>
    <w:rsid w:val="57A6129A"/>
    <w:rsid w:val="5A050E4D"/>
    <w:rsid w:val="5A9272F7"/>
    <w:rsid w:val="5C8A8B81"/>
    <w:rsid w:val="5D4B7165"/>
    <w:rsid w:val="5DBA90C6"/>
    <w:rsid w:val="5EF242AF"/>
    <w:rsid w:val="5FA808B8"/>
    <w:rsid w:val="5FB94488"/>
    <w:rsid w:val="63435EFD"/>
    <w:rsid w:val="63CA6C83"/>
    <w:rsid w:val="6650F43C"/>
    <w:rsid w:val="666D3415"/>
    <w:rsid w:val="66CE1FA1"/>
    <w:rsid w:val="66E39278"/>
    <w:rsid w:val="675C7C76"/>
    <w:rsid w:val="689F951D"/>
    <w:rsid w:val="68BD5BF5"/>
    <w:rsid w:val="6A4E47C6"/>
    <w:rsid w:val="6A813939"/>
    <w:rsid w:val="6A9375E9"/>
    <w:rsid w:val="6BA392B9"/>
    <w:rsid w:val="6BD5CC2C"/>
    <w:rsid w:val="6BD83DF0"/>
    <w:rsid w:val="6CCBF20B"/>
    <w:rsid w:val="70F8F57C"/>
    <w:rsid w:val="7353F4B9"/>
    <w:rsid w:val="738ED552"/>
    <w:rsid w:val="7506278F"/>
    <w:rsid w:val="75860415"/>
    <w:rsid w:val="761900D6"/>
    <w:rsid w:val="7809F700"/>
    <w:rsid w:val="7924E6C7"/>
    <w:rsid w:val="7A5F4CE6"/>
    <w:rsid w:val="7B435DF9"/>
    <w:rsid w:val="7F2FF79D"/>
    <w:rsid w:val="7FB4D1E9"/>
    <w:rsid w:val="7FB518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458E9"/>
  <w15:docId w15:val="{88752FC4-0C85-4439-B73C-AAB3FFB20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095B"/>
    <w:pPr>
      <w:spacing w:after="0"/>
    </w:pPr>
    <w:rPr>
      <w:rFonts w:ascii="Times New Roman" w:eastAsia="Times New Roman" w:hAnsi="Times New Roman" w:cs="Times New Roman"/>
      <w:lang w:eastAsia="en-U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lang w:eastAsia="zh-CN"/>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lang w:eastAsia="zh-CN"/>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heme="minorHAnsi" w:eastAsiaTheme="majorEastAsia" w:hAnsiTheme="minorHAnsi" w:cstheme="majorBidi"/>
      <w:color w:val="0F4761" w:themeColor="accent1" w:themeShade="BF"/>
      <w:sz w:val="28"/>
      <w:szCs w:val="28"/>
      <w:lang w:eastAsia="zh-CN"/>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asciiTheme="minorHAnsi" w:eastAsiaTheme="majorEastAsia" w:hAnsiTheme="minorHAnsi" w:cstheme="majorBidi"/>
      <w:i/>
      <w:iCs/>
      <w:color w:val="0F4761" w:themeColor="accent1" w:themeShade="BF"/>
      <w:lang w:eastAsia="zh-CN"/>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heme="minorHAnsi" w:eastAsiaTheme="majorEastAsia" w:hAnsiTheme="minorHAnsi" w:cstheme="majorBidi"/>
      <w:color w:val="0F4761" w:themeColor="accent1" w:themeShade="BF"/>
      <w:lang w:eastAsia="zh-CN"/>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asciiTheme="minorHAnsi" w:eastAsiaTheme="majorEastAsia" w:hAnsiTheme="minorHAnsi" w:cstheme="majorBidi"/>
      <w:i/>
      <w:iCs/>
      <w:color w:val="595959" w:themeColor="text1" w:themeTint="A6"/>
      <w:lang w:eastAsia="zh-CN"/>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asciiTheme="minorHAnsi" w:eastAsiaTheme="majorEastAsia" w:hAnsiTheme="minorHAnsi" w:cstheme="majorBidi"/>
      <w:color w:val="595959" w:themeColor="text1" w:themeTint="A6"/>
      <w:lang w:eastAsia="zh-CN"/>
    </w:rPr>
  </w:style>
  <w:style w:type="paragraph" w:styleId="Heading8">
    <w:name w:val="heading 8"/>
    <w:basedOn w:val="Normal"/>
    <w:next w:val="BodyText"/>
    <w:link w:val="Heading8Char"/>
    <w:uiPriority w:val="9"/>
    <w:semiHidden/>
    <w:unhideWhenUsed/>
    <w:qFormat/>
    <w:rsid w:val="00A10FD9"/>
    <w:pPr>
      <w:keepNext/>
      <w:keepLines/>
      <w:outlineLvl w:val="7"/>
    </w:pPr>
    <w:rPr>
      <w:rFonts w:asciiTheme="minorHAnsi" w:eastAsiaTheme="majorEastAsia" w:hAnsiTheme="minorHAnsi" w:cstheme="majorBidi"/>
      <w:i/>
      <w:iCs/>
      <w:color w:val="272727" w:themeColor="text1" w:themeTint="D8"/>
      <w:lang w:eastAsia="zh-CN"/>
    </w:rPr>
  </w:style>
  <w:style w:type="paragraph" w:styleId="Heading9">
    <w:name w:val="heading 9"/>
    <w:basedOn w:val="Normal"/>
    <w:next w:val="BodyText"/>
    <w:link w:val="Heading9Char"/>
    <w:uiPriority w:val="9"/>
    <w:semiHidden/>
    <w:unhideWhenUsed/>
    <w:qFormat/>
    <w:rsid w:val="00A10FD9"/>
    <w:pPr>
      <w:keepNext/>
      <w:keepLines/>
      <w:outlineLvl w:val="8"/>
    </w:pPr>
    <w:rPr>
      <w:rFonts w:asciiTheme="minorHAnsi" w:eastAsiaTheme="majorEastAsia" w:hAnsiTheme="minorHAnsi" w:cstheme="majorBidi"/>
      <w:color w:val="272727" w:themeColor="text1" w:themeTint="D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rPr>
      <w:rFonts w:asciiTheme="minorHAnsi" w:eastAsiaTheme="minorEastAsia" w:hAnsiTheme="minorHAnsi" w:cstheme="minorBidi"/>
      <w:lang w:eastAsia="zh-C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lang w:eastAsia="zh-CN"/>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rFonts w:asciiTheme="minorHAnsi" w:eastAsiaTheme="minorEastAsia" w:hAnsiTheme="minorHAnsi" w:cstheme="minorBidi"/>
      <w:b/>
      <w:sz w:val="20"/>
      <w:szCs w:val="20"/>
      <w:lang w:eastAsia="zh-CN"/>
    </w:rPr>
  </w:style>
  <w:style w:type="paragraph" w:customStyle="1" w:styleId="Abstract">
    <w:name w:val="Abstract"/>
    <w:basedOn w:val="Normal"/>
    <w:next w:val="BodyText"/>
    <w:qFormat/>
    <w:pPr>
      <w:keepNext/>
      <w:keepLines/>
      <w:spacing w:before="100" w:after="300"/>
    </w:pPr>
    <w:rPr>
      <w:rFonts w:asciiTheme="minorHAnsi" w:eastAsiaTheme="minorEastAsia" w:hAnsiTheme="minorHAnsi" w:cstheme="minorBidi"/>
      <w:sz w:val="20"/>
      <w:szCs w:val="20"/>
      <w:lang w:eastAsia="zh-CN"/>
    </w:rPr>
  </w:style>
  <w:style w:type="paragraph" w:styleId="Bibliography">
    <w:name w:val="Bibliography"/>
    <w:basedOn w:val="Normal"/>
    <w:qFormat/>
    <w:pPr>
      <w:tabs>
        <w:tab w:val="left" w:pos="260"/>
      </w:tabs>
      <w:spacing w:line="480" w:lineRule="auto"/>
      <w:ind w:left="264" w:hanging="264"/>
    </w:pPr>
    <w:rPr>
      <w:rFonts w:asciiTheme="minorHAnsi" w:eastAsiaTheme="minorEastAsia" w:hAnsiTheme="minorHAnsi" w:cstheme="minorBidi"/>
      <w:lang w:eastAsia="zh-CN"/>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spacing w:after="200"/>
    </w:pPr>
    <w:rPr>
      <w:rFonts w:asciiTheme="minorHAnsi" w:eastAsiaTheme="minorEastAsia" w:hAnsiTheme="minorHAnsi" w:cstheme="minorBidi"/>
      <w:lang w:eastAsia="zh-CN"/>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rFonts w:asciiTheme="minorHAnsi" w:eastAsiaTheme="minorEastAsia" w:hAnsiTheme="minorHAnsi" w:cstheme="minorBidi"/>
      <w:b/>
      <w:lang w:eastAsia="zh-CN"/>
    </w:rPr>
  </w:style>
  <w:style w:type="paragraph" w:customStyle="1" w:styleId="Definition">
    <w:name w:val="Definition"/>
    <w:basedOn w:val="Normal"/>
    <w:pPr>
      <w:spacing w:after="200"/>
    </w:pPr>
    <w:rPr>
      <w:rFonts w:asciiTheme="minorHAnsi" w:eastAsiaTheme="minorEastAsia" w:hAnsiTheme="minorHAnsi" w:cstheme="minorBidi"/>
      <w:lang w:eastAsia="zh-CN"/>
    </w:rPr>
  </w:style>
  <w:style w:type="paragraph" w:styleId="Caption">
    <w:name w:val="caption"/>
    <w:basedOn w:val="Normal"/>
    <w:link w:val="CaptionChar"/>
    <w:pPr>
      <w:spacing w:after="120"/>
    </w:pPr>
    <w:rPr>
      <w:rFonts w:asciiTheme="minorHAnsi" w:eastAsiaTheme="minorEastAsia" w:hAnsiTheme="minorHAnsi" w:cstheme="minorBidi"/>
      <w:i/>
      <w:lang w:eastAsia="zh-CN"/>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spacing w:after="200"/>
    </w:pPr>
    <w:rPr>
      <w:rFonts w:asciiTheme="minorHAnsi" w:eastAsiaTheme="minorEastAsia" w:hAnsiTheme="minorHAnsi" w:cstheme="minorBidi"/>
      <w:lang w:eastAsia="zh-CN"/>
    </w:r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spacing w:after="200"/>
    </w:pPr>
    <w:rPr>
      <w:rFonts w:asciiTheme="minorHAnsi" w:eastAsiaTheme="minorEastAsia" w:hAnsiTheme="minorHAnsi" w:cstheme="minorBidi"/>
      <w:lang w:eastAsia="zh-CN"/>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D42B6E"/>
    <w:rPr>
      <w:color w:val="96607D" w:themeColor="followedHyperlink"/>
      <w:u w:val="single"/>
    </w:rPr>
  </w:style>
  <w:style w:type="character" w:styleId="PlaceholderText">
    <w:name w:val="Placeholder Text"/>
    <w:basedOn w:val="DefaultParagraphFont"/>
    <w:rsid w:val="00B2779A"/>
    <w:rPr>
      <w:color w:val="666666"/>
    </w:rPr>
  </w:style>
  <w:style w:type="paragraph" w:styleId="Revision">
    <w:name w:val="Revision"/>
    <w:hidden/>
    <w:rsid w:val="001D023F"/>
    <w:pPr>
      <w:spacing w:after="0"/>
    </w:pPr>
  </w:style>
  <w:style w:type="character" w:styleId="CommentReference">
    <w:name w:val="annotation reference"/>
    <w:basedOn w:val="DefaultParagraphFont"/>
    <w:rsid w:val="001D023F"/>
    <w:rPr>
      <w:sz w:val="16"/>
      <w:szCs w:val="16"/>
    </w:rPr>
  </w:style>
  <w:style w:type="paragraph" w:styleId="CommentText">
    <w:name w:val="annotation text"/>
    <w:basedOn w:val="Normal"/>
    <w:link w:val="CommentTextChar"/>
    <w:rsid w:val="001D023F"/>
    <w:pPr>
      <w:spacing w:after="200"/>
    </w:pPr>
    <w:rPr>
      <w:rFonts w:asciiTheme="minorHAnsi" w:eastAsiaTheme="minorEastAsia" w:hAnsiTheme="minorHAnsi" w:cstheme="minorBidi"/>
      <w:sz w:val="20"/>
      <w:szCs w:val="20"/>
      <w:lang w:eastAsia="zh-CN"/>
    </w:rPr>
  </w:style>
  <w:style w:type="character" w:customStyle="1" w:styleId="CommentTextChar">
    <w:name w:val="Comment Text Char"/>
    <w:basedOn w:val="DefaultParagraphFont"/>
    <w:link w:val="CommentText"/>
    <w:rsid w:val="001D023F"/>
    <w:rPr>
      <w:sz w:val="20"/>
      <w:szCs w:val="20"/>
    </w:rPr>
  </w:style>
  <w:style w:type="paragraph" w:styleId="CommentSubject">
    <w:name w:val="annotation subject"/>
    <w:basedOn w:val="CommentText"/>
    <w:next w:val="CommentText"/>
    <w:link w:val="CommentSubjectChar"/>
    <w:rsid w:val="001D023F"/>
    <w:rPr>
      <w:b/>
      <w:bCs/>
    </w:rPr>
  </w:style>
  <w:style w:type="character" w:customStyle="1" w:styleId="CommentSubjectChar">
    <w:name w:val="Comment Subject Char"/>
    <w:basedOn w:val="CommentTextChar"/>
    <w:link w:val="CommentSubject"/>
    <w:rsid w:val="001D023F"/>
    <w:rPr>
      <w:b/>
      <w:bCs/>
      <w:sz w:val="20"/>
      <w:szCs w:val="20"/>
    </w:rPr>
  </w:style>
  <w:style w:type="character" w:styleId="UnresolvedMention">
    <w:name w:val="Unresolved Mention"/>
    <w:basedOn w:val="DefaultParagraphFont"/>
    <w:uiPriority w:val="99"/>
    <w:semiHidden/>
    <w:unhideWhenUsed/>
    <w:rsid w:val="001D023F"/>
    <w:rPr>
      <w:color w:val="605E5C"/>
      <w:shd w:val="clear" w:color="auto" w:fill="E1DFDD"/>
    </w:rPr>
  </w:style>
  <w:style w:type="character" w:customStyle="1" w:styleId="apple-converted-space">
    <w:name w:val="apple-converted-space"/>
    <w:basedOn w:val="DefaultParagraphFont"/>
    <w:rsid w:val="008B09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microsoft.com/office/2011/relationships/people" Target="people.xml"/><Relationship Id="rId21" Type="http://schemas.openxmlformats.org/officeDocument/2006/relationships/image" Target="media/image12.png"/><Relationship Id="rId34" Type="http://schemas.openxmlformats.org/officeDocument/2006/relationships/image" Target="media/image25.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microsoft.com/office/2016/09/relationships/commentsIds" Target="commentsId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82FD6F-25A4-9447-9558-3D8844A22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54</Pages>
  <Words>32963</Words>
  <Characters>193165</Characters>
  <Application>Microsoft Office Word</Application>
  <DocSecurity>0</DocSecurity>
  <Lines>7154</Lines>
  <Paragraphs>5025</Paragraphs>
  <ScaleCrop>false</ScaleCrop>
  <Company/>
  <LinksUpToDate>false</LinksUpToDate>
  <CharactersWithSpaces>221103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Kissler</dc:creator>
  <cp:keywords/>
  <cp:lastModifiedBy>Stephen Kissler</cp:lastModifiedBy>
  <cp:revision>232</cp:revision>
  <dcterms:created xsi:type="dcterms:W3CDTF">2026-03-17T12:19:00Z</dcterms:created>
  <dcterms:modified xsi:type="dcterms:W3CDTF">2026-03-20T14:33:00Z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id="HQdsURGJ"/&gt;&lt;style id="http://www.zotero.org/styles/nature" hasBibliography="1" bibliographyStyleHasBeenSet="1"/&gt;&lt;prefs&gt;&lt;pref name="fieldType" value="Field"/&gt;&lt;/prefs&gt;&lt;/data&gt;</vt:lpwstr>
  </property>
</Properties>
</file>