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14559" w14:textId="63E62A70" w:rsidR="00306C7E" w:rsidRPr="00C038C7" w:rsidRDefault="00306C7E" w:rsidP="00D617C5">
      <w:pPr>
        <w:spacing w:line="276" w:lineRule="auto"/>
        <w:jc w:val="center"/>
        <w:rPr>
          <w:rFonts w:ascii="Helvetica" w:hAnsi="Helvetica"/>
          <w:b/>
          <w:bCs/>
          <w:sz w:val="22"/>
          <w:szCs w:val="22"/>
        </w:rPr>
      </w:pPr>
      <w:r w:rsidRPr="00C038C7">
        <w:rPr>
          <w:rFonts w:ascii="Helvetica" w:hAnsi="Helvetica"/>
          <w:b/>
          <w:bCs/>
          <w:sz w:val="22"/>
          <w:szCs w:val="22"/>
        </w:rPr>
        <w:t>JUSTIFYING VACCINE ALLOCATION TO POPULATIONS WITH HIGH CONTACT RATES</w:t>
      </w:r>
    </w:p>
    <w:p w14:paraId="2C7FD7EE" w14:textId="3DCD931B" w:rsidR="00306C7E" w:rsidRPr="00C038C7" w:rsidRDefault="00306C7E" w:rsidP="00D617C5">
      <w:pPr>
        <w:spacing w:line="276" w:lineRule="auto"/>
        <w:jc w:val="center"/>
        <w:rPr>
          <w:rFonts w:ascii="Helvetica" w:hAnsi="Helvetica"/>
          <w:sz w:val="22"/>
          <w:szCs w:val="22"/>
        </w:rPr>
      </w:pPr>
    </w:p>
    <w:p w14:paraId="6CF0FA0F" w14:textId="752FFDB8" w:rsidR="00044705" w:rsidRPr="00C038C7" w:rsidRDefault="00212946" w:rsidP="00D617C5">
      <w:pPr>
        <w:spacing w:line="276" w:lineRule="auto"/>
        <w:jc w:val="center"/>
        <w:rPr>
          <w:rFonts w:ascii="Helvetica" w:hAnsi="Helvetica"/>
          <w:sz w:val="22"/>
          <w:szCs w:val="22"/>
        </w:rPr>
      </w:pPr>
      <w:r w:rsidRPr="00C038C7">
        <w:rPr>
          <w:rFonts w:ascii="Helvetica" w:hAnsi="Helvetica"/>
          <w:sz w:val="22"/>
          <w:szCs w:val="22"/>
        </w:rPr>
        <w:t>26</w:t>
      </w:r>
      <w:r w:rsidR="00044705" w:rsidRPr="00C038C7">
        <w:rPr>
          <w:rFonts w:ascii="Helvetica" w:hAnsi="Helvetica"/>
          <w:sz w:val="22"/>
          <w:szCs w:val="22"/>
        </w:rPr>
        <w:t xml:space="preserve"> February 2021</w:t>
      </w:r>
    </w:p>
    <w:p w14:paraId="233B8798" w14:textId="77777777" w:rsidR="00044705" w:rsidRPr="00C038C7" w:rsidRDefault="00044705" w:rsidP="00D617C5">
      <w:pPr>
        <w:spacing w:line="276" w:lineRule="auto"/>
        <w:jc w:val="both"/>
        <w:rPr>
          <w:rFonts w:ascii="Helvetica" w:hAnsi="Helvetica"/>
          <w:sz w:val="22"/>
          <w:szCs w:val="22"/>
        </w:rPr>
      </w:pPr>
    </w:p>
    <w:p w14:paraId="7627E7AE" w14:textId="77777777" w:rsidR="00306C7E" w:rsidRPr="00C038C7" w:rsidRDefault="00306C7E" w:rsidP="00D617C5">
      <w:pPr>
        <w:spacing w:line="276" w:lineRule="auto"/>
        <w:jc w:val="both"/>
        <w:rPr>
          <w:rFonts w:ascii="Helvetica" w:hAnsi="Helvetica"/>
          <w:sz w:val="22"/>
          <w:szCs w:val="22"/>
        </w:rPr>
      </w:pPr>
      <w:r w:rsidRPr="00C038C7">
        <w:rPr>
          <w:rFonts w:ascii="Helvetica" w:hAnsi="Helvetica"/>
          <w:sz w:val="22"/>
          <w:szCs w:val="22"/>
        </w:rPr>
        <w:t>AUTHORS:</w:t>
      </w:r>
    </w:p>
    <w:p w14:paraId="5FF25AD7" w14:textId="03F37667" w:rsidR="00306C7E" w:rsidRPr="00C038C7" w:rsidRDefault="00306C7E" w:rsidP="00D617C5">
      <w:pPr>
        <w:spacing w:line="276" w:lineRule="auto"/>
        <w:ind w:firstLine="720"/>
        <w:jc w:val="both"/>
        <w:rPr>
          <w:rFonts w:ascii="Helvetica" w:hAnsi="Helvetica"/>
          <w:sz w:val="22"/>
          <w:szCs w:val="22"/>
        </w:rPr>
      </w:pPr>
      <w:r w:rsidRPr="00C038C7">
        <w:rPr>
          <w:rFonts w:ascii="Helvetica" w:hAnsi="Helvetica"/>
          <w:sz w:val="22"/>
          <w:szCs w:val="22"/>
        </w:rPr>
        <w:t>Stephen Kissler (</w:t>
      </w:r>
      <w:hyperlink r:id="rId6" w:history="1">
        <w:r w:rsidRPr="00C038C7">
          <w:rPr>
            <w:rStyle w:val="Hyperlink"/>
            <w:rFonts w:ascii="Helvetica" w:hAnsi="Helvetica"/>
            <w:sz w:val="22"/>
            <w:szCs w:val="22"/>
          </w:rPr>
          <w:t>skissler@hsph.harvard.edu</w:t>
        </w:r>
      </w:hyperlink>
      <w:r w:rsidRPr="00C038C7">
        <w:rPr>
          <w:rFonts w:ascii="Helvetica" w:hAnsi="Helvetica"/>
          <w:sz w:val="22"/>
          <w:szCs w:val="22"/>
        </w:rPr>
        <w:t>)</w:t>
      </w:r>
    </w:p>
    <w:p w14:paraId="3D8E2B29" w14:textId="728658B4" w:rsidR="00306C7E" w:rsidRPr="00C038C7" w:rsidRDefault="00306C7E" w:rsidP="00D617C5">
      <w:pPr>
        <w:spacing w:line="276" w:lineRule="auto"/>
        <w:ind w:left="720"/>
        <w:jc w:val="both"/>
        <w:rPr>
          <w:rFonts w:ascii="Helvetica" w:hAnsi="Helvetica"/>
          <w:sz w:val="22"/>
          <w:szCs w:val="22"/>
        </w:rPr>
      </w:pPr>
      <w:r w:rsidRPr="00C038C7">
        <w:rPr>
          <w:rFonts w:ascii="Helvetica" w:hAnsi="Helvetica"/>
          <w:sz w:val="22"/>
          <w:szCs w:val="22"/>
        </w:rPr>
        <w:t>Rebecca Kahn</w:t>
      </w:r>
    </w:p>
    <w:p w14:paraId="2705DDAA" w14:textId="77777777" w:rsidR="00690431" w:rsidRPr="00C038C7" w:rsidRDefault="00690431" w:rsidP="00D617C5">
      <w:pPr>
        <w:spacing w:line="276" w:lineRule="auto"/>
        <w:ind w:left="720"/>
        <w:jc w:val="both"/>
        <w:rPr>
          <w:rFonts w:ascii="Helvetica" w:hAnsi="Helvetica"/>
          <w:sz w:val="22"/>
          <w:szCs w:val="22"/>
        </w:rPr>
      </w:pPr>
    </w:p>
    <w:p w14:paraId="3895647E" w14:textId="77777777" w:rsidR="00690431" w:rsidRPr="00C038C7" w:rsidRDefault="00306C7E" w:rsidP="00D617C5">
      <w:pPr>
        <w:spacing w:line="276" w:lineRule="auto"/>
        <w:jc w:val="both"/>
        <w:rPr>
          <w:rFonts w:ascii="Helvetica" w:hAnsi="Helvetica"/>
          <w:sz w:val="22"/>
          <w:szCs w:val="22"/>
        </w:rPr>
      </w:pPr>
      <w:r w:rsidRPr="00C038C7">
        <w:rPr>
          <w:rFonts w:ascii="Helvetica" w:hAnsi="Helvetica"/>
          <w:sz w:val="22"/>
          <w:szCs w:val="22"/>
        </w:rPr>
        <w:t>COMPILED FOR:</w:t>
      </w:r>
    </w:p>
    <w:p w14:paraId="5BEF02AE" w14:textId="18E4AE0A" w:rsidR="00D84C0D" w:rsidRPr="00C038C7" w:rsidRDefault="00306C7E" w:rsidP="00D617C5">
      <w:pPr>
        <w:spacing w:line="276" w:lineRule="auto"/>
        <w:ind w:firstLine="720"/>
        <w:jc w:val="both"/>
        <w:rPr>
          <w:rFonts w:ascii="Helvetica" w:hAnsi="Helvetica"/>
          <w:sz w:val="22"/>
          <w:szCs w:val="22"/>
        </w:rPr>
      </w:pPr>
      <w:r w:rsidRPr="00C038C7">
        <w:rPr>
          <w:rFonts w:ascii="Helvetica" w:hAnsi="Helvetica"/>
          <w:sz w:val="22"/>
          <w:szCs w:val="22"/>
        </w:rPr>
        <w:t>Partners in Health</w:t>
      </w:r>
    </w:p>
    <w:p w14:paraId="141D4224" w14:textId="61B35D99" w:rsidR="009C43D7" w:rsidRPr="00C038C7" w:rsidRDefault="009C43D7" w:rsidP="00D617C5">
      <w:pPr>
        <w:spacing w:line="276" w:lineRule="auto"/>
        <w:jc w:val="both"/>
        <w:rPr>
          <w:rFonts w:ascii="Helvetica" w:hAnsi="Helvetica"/>
          <w:sz w:val="22"/>
          <w:szCs w:val="22"/>
        </w:rPr>
      </w:pPr>
    </w:p>
    <w:p w14:paraId="391AAC4C" w14:textId="0DCF09A8" w:rsidR="00D57F3F" w:rsidRPr="00C038C7" w:rsidRDefault="009650DD" w:rsidP="00D617C5">
      <w:pPr>
        <w:spacing w:line="276" w:lineRule="auto"/>
        <w:jc w:val="both"/>
        <w:rPr>
          <w:rFonts w:ascii="Helvetica" w:hAnsi="Helvetica"/>
          <w:sz w:val="22"/>
          <w:szCs w:val="22"/>
        </w:rPr>
      </w:pPr>
      <w:r w:rsidRPr="00C038C7">
        <w:rPr>
          <w:rFonts w:ascii="Helvetica" w:hAnsi="Helvetica"/>
          <w:sz w:val="22"/>
          <w:szCs w:val="22"/>
        </w:rPr>
        <w:t>EXECUTIVE SUMMARY:</w:t>
      </w:r>
    </w:p>
    <w:p w14:paraId="44DA8D88" w14:textId="05BEC05F" w:rsidR="001D4FA7" w:rsidRPr="00C038C7" w:rsidRDefault="001D4FA7" w:rsidP="00D617C5">
      <w:pPr>
        <w:spacing w:line="276" w:lineRule="auto"/>
        <w:jc w:val="both"/>
        <w:rPr>
          <w:rFonts w:ascii="Helvetica" w:hAnsi="Helvetica"/>
          <w:sz w:val="22"/>
          <w:szCs w:val="22"/>
        </w:rPr>
      </w:pPr>
      <w:r w:rsidRPr="00C038C7">
        <w:rPr>
          <w:rFonts w:ascii="Helvetica" w:hAnsi="Helvetica"/>
          <w:sz w:val="22"/>
          <w:szCs w:val="22"/>
        </w:rPr>
        <w:br w:type="page"/>
      </w:r>
    </w:p>
    <w:p w14:paraId="0E8E62ED" w14:textId="4974E9C3" w:rsidR="005C1BD2" w:rsidRPr="00ED4ED7" w:rsidRDefault="001D4FA7" w:rsidP="00D617C5">
      <w:pPr>
        <w:spacing w:line="276" w:lineRule="auto"/>
        <w:jc w:val="both"/>
        <w:rPr>
          <w:rFonts w:ascii="Helvetica" w:hAnsi="Helvetica"/>
          <w:b/>
          <w:bCs/>
          <w:sz w:val="22"/>
          <w:szCs w:val="22"/>
        </w:rPr>
      </w:pPr>
      <w:r w:rsidRPr="00ED4ED7">
        <w:rPr>
          <w:rFonts w:ascii="Helvetica" w:hAnsi="Helvetica"/>
          <w:b/>
          <w:bCs/>
          <w:sz w:val="22"/>
          <w:szCs w:val="22"/>
        </w:rPr>
        <w:lastRenderedPageBreak/>
        <w:t>CONTEXT</w:t>
      </w:r>
    </w:p>
    <w:p w14:paraId="11C15045" w14:textId="5E171C05" w:rsidR="002E2676" w:rsidRPr="006B299E" w:rsidRDefault="00FC5B0A" w:rsidP="00D617C5">
      <w:pPr>
        <w:spacing w:line="276" w:lineRule="auto"/>
        <w:jc w:val="both"/>
        <w:rPr>
          <w:rFonts w:ascii="Helvetica" w:hAnsi="Helvetica"/>
          <w:sz w:val="22"/>
          <w:szCs w:val="22"/>
        </w:rPr>
      </w:pPr>
      <w:r w:rsidRPr="00C54257">
        <w:rPr>
          <w:rFonts w:ascii="Helvetica" w:hAnsi="Helvetica"/>
          <w:sz w:val="22"/>
          <w:szCs w:val="22"/>
        </w:rPr>
        <w:t xml:space="preserve">The COVID-19 pandemic </w:t>
      </w:r>
      <w:r w:rsidR="001868C6" w:rsidRPr="00C54257">
        <w:rPr>
          <w:rFonts w:ascii="Helvetica" w:hAnsi="Helvetica"/>
          <w:sz w:val="22"/>
          <w:szCs w:val="22"/>
        </w:rPr>
        <w:t xml:space="preserve">has </w:t>
      </w:r>
      <w:r w:rsidR="00A26C10" w:rsidRPr="00C54257">
        <w:rPr>
          <w:rFonts w:ascii="Helvetica" w:hAnsi="Helvetica"/>
          <w:sz w:val="22"/>
          <w:szCs w:val="22"/>
        </w:rPr>
        <w:t xml:space="preserve">caused </w:t>
      </w:r>
      <w:r w:rsidR="00DC2577" w:rsidRPr="00C54257">
        <w:rPr>
          <w:rFonts w:ascii="Helvetica" w:hAnsi="Helvetica"/>
          <w:sz w:val="22"/>
          <w:szCs w:val="22"/>
        </w:rPr>
        <w:t xml:space="preserve">28.4 million recorded infections and </w:t>
      </w:r>
      <w:r w:rsidR="00FC7A32" w:rsidRPr="00C54257">
        <w:rPr>
          <w:rFonts w:ascii="Helvetica" w:hAnsi="Helvetica"/>
          <w:sz w:val="22"/>
          <w:szCs w:val="22"/>
        </w:rPr>
        <w:t>508,000</w:t>
      </w:r>
      <w:r w:rsidR="00A26C10" w:rsidRPr="00C54257">
        <w:rPr>
          <w:rFonts w:ascii="Helvetica" w:hAnsi="Helvetica"/>
          <w:sz w:val="22"/>
          <w:szCs w:val="22"/>
        </w:rPr>
        <w:t xml:space="preserve"> deaths</w:t>
      </w:r>
      <w:r w:rsidR="00BB6B3C" w:rsidRPr="00C54257">
        <w:rPr>
          <w:rFonts w:ascii="Helvetica" w:hAnsi="Helvetica"/>
          <w:sz w:val="22"/>
          <w:szCs w:val="22"/>
        </w:rPr>
        <w:t xml:space="preserve"> </w:t>
      </w:r>
      <w:r w:rsidR="00A26C10" w:rsidRPr="00C54257">
        <w:rPr>
          <w:rFonts w:ascii="Helvetica" w:hAnsi="Helvetica"/>
          <w:sz w:val="22"/>
          <w:szCs w:val="22"/>
        </w:rPr>
        <w:t>in the United States</w:t>
      </w:r>
      <w:r w:rsidR="008467D5" w:rsidRPr="00C54257">
        <w:rPr>
          <w:rFonts w:ascii="Helvetica" w:hAnsi="Helvetica"/>
          <w:sz w:val="22"/>
          <w:szCs w:val="22"/>
        </w:rPr>
        <w:t xml:space="preserve"> as of Feb</w:t>
      </w:r>
      <w:r w:rsidR="003E0B54" w:rsidRPr="00C54257">
        <w:rPr>
          <w:rFonts w:ascii="Helvetica" w:hAnsi="Helvetica"/>
          <w:sz w:val="22"/>
          <w:szCs w:val="22"/>
        </w:rPr>
        <w:t>ruary 26</w:t>
      </w:r>
      <w:r w:rsidR="003E0B54" w:rsidRPr="00C54257">
        <w:rPr>
          <w:rFonts w:ascii="Helvetica" w:hAnsi="Helvetica"/>
          <w:sz w:val="22"/>
          <w:szCs w:val="22"/>
          <w:vertAlign w:val="superscript"/>
        </w:rPr>
        <w:t>th</w:t>
      </w:r>
      <w:r w:rsidR="003E0B54" w:rsidRPr="00C54257">
        <w:rPr>
          <w:rFonts w:ascii="Helvetica" w:hAnsi="Helvetica"/>
          <w:sz w:val="22"/>
          <w:szCs w:val="22"/>
        </w:rPr>
        <w:t>,</w:t>
      </w:r>
      <w:r w:rsidR="008467D5" w:rsidRPr="00C54257">
        <w:rPr>
          <w:rFonts w:ascii="Helvetica" w:hAnsi="Helvetica"/>
          <w:sz w:val="22"/>
          <w:szCs w:val="22"/>
        </w:rPr>
        <w:t xml:space="preserve"> 2021</w:t>
      </w:r>
      <w:r w:rsidR="005C1BD2" w:rsidRPr="00C54257">
        <w:rPr>
          <w:rFonts w:ascii="Helvetica" w:hAnsi="Helvetica"/>
          <w:sz w:val="22"/>
          <w:szCs w:val="22"/>
        </w:rPr>
        <w:t>.</w:t>
      </w:r>
      <w:r w:rsidR="00DC7CA7">
        <w:rPr>
          <w:rFonts w:ascii="Helvetica" w:hAnsi="Helvetica"/>
          <w:sz w:val="22"/>
          <w:szCs w:val="22"/>
        </w:rPr>
        <w:t xml:space="preserve"> Rates of</w:t>
      </w:r>
      <w:r w:rsidR="00C22AC8">
        <w:rPr>
          <w:rFonts w:ascii="Helvetica" w:hAnsi="Helvetica"/>
          <w:sz w:val="22"/>
          <w:szCs w:val="22"/>
        </w:rPr>
        <w:t xml:space="preserve"> </w:t>
      </w:r>
      <w:r w:rsidR="0014583A" w:rsidRPr="00C22AC8">
        <w:rPr>
          <w:rFonts w:ascii="Helvetica" w:hAnsi="Helvetica"/>
          <w:sz w:val="22"/>
          <w:szCs w:val="22"/>
        </w:rPr>
        <w:t>COVID-19 mortality and severe disease</w:t>
      </w:r>
      <w:r w:rsidR="00963B0D" w:rsidRPr="00C22AC8">
        <w:rPr>
          <w:rFonts w:ascii="Helvetica" w:hAnsi="Helvetica"/>
          <w:sz w:val="22"/>
          <w:szCs w:val="22"/>
        </w:rPr>
        <w:t xml:space="preserve"> </w:t>
      </w:r>
      <w:r w:rsidR="005C1BD2" w:rsidRPr="00C22AC8">
        <w:rPr>
          <w:rFonts w:ascii="Helvetica" w:hAnsi="Helvetica"/>
          <w:sz w:val="22"/>
          <w:szCs w:val="22"/>
        </w:rPr>
        <w:t xml:space="preserve">have been </w:t>
      </w:r>
      <w:r w:rsidR="00541328">
        <w:rPr>
          <w:rFonts w:ascii="Helvetica" w:hAnsi="Helvetica"/>
          <w:sz w:val="22"/>
          <w:szCs w:val="22"/>
        </w:rPr>
        <w:t>especially high</w:t>
      </w:r>
      <w:r w:rsidR="00A26C10" w:rsidRPr="00C22AC8">
        <w:rPr>
          <w:rFonts w:ascii="Helvetica" w:hAnsi="Helvetica"/>
          <w:sz w:val="22"/>
          <w:szCs w:val="22"/>
        </w:rPr>
        <w:t xml:space="preserve"> in elderly and minority populations. </w:t>
      </w:r>
      <w:r w:rsidR="00433EB9" w:rsidRPr="00666A74">
        <w:rPr>
          <w:rFonts w:ascii="Helvetica" w:hAnsi="Helvetica"/>
          <w:sz w:val="22"/>
          <w:szCs w:val="22"/>
        </w:rPr>
        <w:t>Two COVID-19 vaccines have been authorized for emergenc</w:t>
      </w:r>
      <w:r w:rsidR="00B34D75" w:rsidRPr="00666A74">
        <w:rPr>
          <w:rFonts w:ascii="Helvetica" w:hAnsi="Helvetica"/>
          <w:sz w:val="22"/>
          <w:szCs w:val="22"/>
        </w:rPr>
        <w:t>y</w:t>
      </w:r>
      <w:r w:rsidR="00433EB9" w:rsidRPr="00666A74">
        <w:rPr>
          <w:rFonts w:ascii="Helvetica" w:hAnsi="Helvetica"/>
          <w:sz w:val="22"/>
          <w:szCs w:val="22"/>
        </w:rPr>
        <w:t xml:space="preserve"> use in the United States. </w:t>
      </w:r>
      <w:r w:rsidR="009E2E4C" w:rsidRPr="006B299E">
        <w:rPr>
          <w:rFonts w:ascii="Helvetica" w:hAnsi="Helvetica"/>
          <w:sz w:val="22"/>
          <w:szCs w:val="22"/>
        </w:rPr>
        <w:t>According to a</w:t>
      </w:r>
      <w:r w:rsidR="008866CF" w:rsidRPr="006B299E">
        <w:rPr>
          <w:rFonts w:ascii="Helvetica" w:hAnsi="Helvetica"/>
          <w:sz w:val="22"/>
          <w:szCs w:val="22"/>
        </w:rPr>
        <w:t xml:space="preserve"> </w:t>
      </w:r>
      <w:r w:rsidR="003F12B2" w:rsidRPr="006B299E">
        <w:rPr>
          <w:rFonts w:ascii="Helvetica" w:hAnsi="Helvetica"/>
          <w:sz w:val="22"/>
          <w:szCs w:val="22"/>
        </w:rPr>
        <w:t xml:space="preserve">recent </w:t>
      </w:r>
      <w:r w:rsidR="008866CF" w:rsidRPr="006B299E">
        <w:rPr>
          <w:rFonts w:ascii="Helvetica" w:hAnsi="Helvetica"/>
          <w:sz w:val="22"/>
          <w:szCs w:val="22"/>
        </w:rPr>
        <w:t>mathematical modeling study</w:t>
      </w:r>
      <w:r w:rsidR="00356204" w:rsidRPr="006B299E">
        <w:rPr>
          <w:rFonts w:ascii="Helvetica" w:hAnsi="Helvetica"/>
          <w:sz w:val="22"/>
          <w:szCs w:val="22"/>
        </w:rPr>
        <w:t xml:space="preserve">, </w:t>
      </w:r>
      <w:r w:rsidR="008107F3" w:rsidRPr="006B299E">
        <w:rPr>
          <w:rFonts w:ascii="Helvetica" w:hAnsi="Helvetica"/>
          <w:sz w:val="22"/>
          <w:szCs w:val="22"/>
        </w:rPr>
        <w:t xml:space="preserve">the optimal mortality-minimizing </w:t>
      </w:r>
      <w:r w:rsidR="000265F6" w:rsidRPr="006B299E">
        <w:rPr>
          <w:rFonts w:ascii="Helvetica" w:hAnsi="Helvetica"/>
          <w:sz w:val="22"/>
          <w:szCs w:val="22"/>
        </w:rPr>
        <w:t xml:space="preserve">vaccination </w:t>
      </w:r>
      <w:r w:rsidR="008107F3" w:rsidRPr="006B299E">
        <w:rPr>
          <w:rFonts w:ascii="Helvetica" w:hAnsi="Helvetica"/>
          <w:sz w:val="22"/>
          <w:szCs w:val="22"/>
        </w:rPr>
        <w:t xml:space="preserve">strategy </w:t>
      </w:r>
      <w:r w:rsidR="00DF39E3" w:rsidRPr="006B299E">
        <w:rPr>
          <w:rFonts w:ascii="Helvetica" w:hAnsi="Helvetica"/>
          <w:sz w:val="22"/>
          <w:szCs w:val="22"/>
        </w:rPr>
        <w:t xml:space="preserve">is to </w:t>
      </w:r>
      <w:r w:rsidR="00DA0190" w:rsidRPr="006B299E">
        <w:rPr>
          <w:rFonts w:ascii="Helvetica" w:hAnsi="Helvetica"/>
          <w:sz w:val="22"/>
          <w:szCs w:val="22"/>
        </w:rPr>
        <w:t xml:space="preserve">prioritize </w:t>
      </w:r>
      <w:r w:rsidR="00E81632" w:rsidRPr="006B299E">
        <w:rPr>
          <w:rFonts w:ascii="Helvetica" w:hAnsi="Helvetica"/>
          <w:sz w:val="22"/>
          <w:szCs w:val="22"/>
        </w:rPr>
        <w:t>vaccination for</w:t>
      </w:r>
      <w:r w:rsidR="003075B4" w:rsidRPr="006B299E">
        <w:rPr>
          <w:rFonts w:ascii="Helvetica" w:hAnsi="Helvetica"/>
          <w:sz w:val="22"/>
          <w:szCs w:val="22"/>
        </w:rPr>
        <w:t xml:space="preserve"> </w:t>
      </w:r>
      <w:r w:rsidR="00031B8A" w:rsidRPr="006B299E">
        <w:rPr>
          <w:rFonts w:ascii="Helvetica" w:hAnsi="Helvetica"/>
          <w:sz w:val="22"/>
          <w:szCs w:val="22"/>
        </w:rPr>
        <w:t xml:space="preserve">those </w:t>
      </w:r>
      <w:r w:rsidR="00F17557" w:rsidRPr="006B299E">
        <w:rPr>
          <w:rFonts w:ascii="Helvetica" w:hAnsi="Helvetica"/>
          <w:sz w:val="22"/>
          <w:szCs w:val="22"/>
        </w:rPr>
        <w:t>at highest risk of severe</w:t>
      </w:r>
      <w:r w:rsidR="00814570" w:rsidRPr="006B299E">
        <w:rPr>
          <w:rFonts w:ascii="Helvetica" w:hAnsi="Helvetica"/>
          <w:sz w:val="22"/>
          <w:szCs w:val="22"/>
        </w:rPr>
        <w:t xml:space="preserve"> disease</w:t>
      </w:r>
      <w:r w:rsidR="003708DA" w:rsidRPr="006B299E">
        <w:rPr>
          <w:rFonts w:ascii="Helvetica" w:hAnsi="Helvetica"/>
          <w:sz w:val="22"/>
          <w:szCs w:val="22"/>
        </w:rPr>
        <w:t>.</w:t>
      </w:r>
      <w:r w:rsidR="00126AD6" w:rsidRPr="006B299E">
        <w:rPr>
          <w:rFonts w:ascii="Helvetica" w:hAnsi="Helvetica"/>
          <w:sz w:val="22"/>
          <w:szCs w:val="22"/>
        </w:rPr>
        <w:fldChar w:fldCharType="begin" w:fldLock="1"/>
      </w:r>
      <w:r w:rsidR="004E43DC" w:rsidRPr="006B299E">
        <w:rPr>
          <w:rFonts w:ascii="Helvetica" w:hAnsi="Helvetica"/>
          <w:sz w:val="22"/>
          <w:szCs w:val="22"/>
        </w:rPr>
        <w:instrText>ADDIN CSL_CITATION {"citationItems":[{"id":"ITEM-1","itemData":{"DOI":"10.1126/science.abe6959","ISSN":"0036-8075","abstract":"Limited initial supply of SARS-CoV-2 vaccine raises the question of how to prioritize available doses. Here, we used a mathematical model to compare five age-stratified prioritization strategies. A highly effective transmission-blocking vaccine prioritized to adults ages 20-49 years minimized cumulative incidence, but mortality and years of life lost were minimized in most scenarios when the vaccine was prioritized to adults over 60 years old. Use of individual-level serological tests to redirect doses to seronegative individuals improved the marginal impact of each dose while potentially reducing existing inequities in COVID-19 impact. While maximum impact prioritization strategies were broadly consistent across countries, transmission rates, vaccination rollout speeds, and estimates of naturally acquired immunity, this framework can be used to compare impacts of prioritization strategies across contexts.","author":[{"dropping-particle":"","family":"Bubar","given":"Kate M.","non-dropping-particle":"","parse-names":false,"suffix":""},{"dropping-particle":"","family":"Reinholt","given":"Kyle","non-dropping-particle":"","parse-names":false,"suffix":""},{"dropping-particle":"","family":"Kissler","given":"Stephen M.","non-dropping-particle":"","parse-names":false,"suffix":""},{"dropping-particle":"","family":"Lipsitch","given":"Marc","non-dropping-particle":"","parse-names":false,"suffix":""},{"dropping-particle":"","family":"Cobey","given":"Sarah","non-dropping-particle":"","parse-names":false,"suffix":""},{"dropping-particle":"","family":"Grad","given":"Yonatan H.","non-dropping-particle":"","parse-names":false,"suffix":""},{"dropping-particle":"","family":"Larremore","given":"Daniel B.","non-dropping-particle":"","parse-names":false,"suffix":""}],"container-title":"Science","id":"ITEM-1","issued":{"date-parts":[["2021","1","21"]]},"page":"eabe6959","title":"Model-informed COVID-19 vaccine prioritization strategies by age and serostatus","type":"article-journal"},"uris":["http://www.mendeley.com/documents/?uuid=b50b3ed8-3ca1-441c-b1d4-1264593c2c0a"]}],"mendeley":{"formattedCitation":"&lt;sup&gt;1&lt;/sup&gt;","plainTextFormattedCitation":"1","previouslyFormattedCitation":"&lt;sup&gt;1&lt;/sup&gt;"},"properties":{"noteIndex":0},"schema":"https://github.com/citation-style-language/schema/raw/master/csl-citation.json"}</w:instrText>
      </w:r>
      <w:r w:rsidR="00126AD6" w:rsidRPr="006B299E">
        <w:rPr>
          <w:rFonts w:ascii="Helvetica" w:hAnsi="Helvetica"/>
          <w:sz w:val="22"/>
          <w:szCs w:val="22"/>
        </w:rPr>
        <w:fldChar w:fldCharType="separate"/>
      </w:r>
      <w:r w:rsidR="00126AD6" w:rsidRPr="006B299E">
        <w:rPr>
          <w:rFonts w:ascii="Helvetica" w:hAnsi="Helvetica"/>
          <w:noProof/>
          <w:sz w:val="22"/>
          <w:szCs w:val="22"/>
          <w:vertAlign w:val="superscript"/>
        </w:rPr>
        <w:t>1</w:t>
      </w:r>
      <w:r w:rsidR="00126AD6" w:rsidRPr="006B299E">
        <w:rPr>
          <w:rFonts w:ascii="Helvetica" w:hAnsi="Helvetica"/>
          <w:sz w:val="22"/>
          <w:szCs w:val="22"/>
        </w:rPr>
        <w:fldChar w:fldCharType="end"/>
      </w:r>
      <w:r w:rsidR="00192BEA" w:rsidRPr="006B299E">
        <w:rPr>
          <w:rFonts w:ascii="Helvetica" w:hAnsi="Helvetica"/>
          <w:sz w:val="22"/>
          <w:szCs w:val="22"/>
        </w:rPr>
        <w:t xml:space="preserve"> </w:t>
      </w:r>
      <w:r w:rsidR="00452538" w:rsidRPr="006B299E">
        <w:rPr>
          <w:rFonts w:ascii="Helvetica" w:hAnsi="Helvetica"/>
          <w:sz w:val="22"/>
          <w:szCs w:val="22"/>
        </w:rPr>
        <w:t>In practice, this</w:t>
      </w:r>
      <w:r w:rsidR="00CB7F44" w:rsidRPr="006B299E">
        <w:rPr>
          <w:rFonts w:ascii="Helvetica" w:hAnsi="Helvetica"/>
          <w:sz w:val="22"/>
          <w:szCs w:val="22"/>
        </w:rPr>
        <w:t xml:space="preserve"> has </w:t>
      </w:r>
      <w:r w:rsidR="00721A22" w:rsidRPr="006B299E">
        <w:rPr>
          <w:rFonts w:ascii="Helvetica" w:hAnsi="Helvetica"/>
          <w:sz w:val="22"/>
          <w:szCs w:val="22"/>
        </w:rPr>
        <w:t xml:space="preserve">led </w:t>
      </w:r>
      <w:r w:rsidR="00095A82" w:rsidRPr="006B299E">
        <w:rPr>
          <w:rFonts w:ascii="Helvetica" w:hAnsi="Helvetica"/>
          <w:sz w:val="22"/>
          <w:szCs w:val="22"/>
        </w:rPr>
        <w:t>policymakers to prioritize</w:t>
      </w:r>
      <w:r w:rsidR="00721202" w:rsidRPr="006B299E">
        <w:rPr>
          <w:rFonts w:ascii="Helvetica" w:hAnsi="Helvetica"/>
          <w:sz w:val="22"/>
          <w:szCs w:val="22"/>
        </w:rPr>
        <w:t xml:space="preserve"> vaccine doses by age</w:t>
      </w:r>
      <w:r w:rsidR="00126AD6" w:rsidRPr="006B299E">
        <w:rPr>
          <w:rFonts w:ascii="Helvetica" w:hAnsi="Helvetica"/>
          <w:sz w:val="22"/>
          <w:szCs w:val="22"/>
        </w:rPr>
        <w:t xml:space="preserve"> </w:t>
      </w:r>
      <w:r w:rsidR="00196373" w:rsidRPr="006B299E">
        <w:rPr>
          <w:rFonts w:ascii="Helvetica" w:hAnsi="Helvetica"/>
          <w:sz w:val="22"/>
          <w:szCs w:val="22"/>
        </w:rPr>
        <w:t>because</w:t>
      </w:r>
      <w:r w:rsidR="006B299E">
        <w:rPr>
          <w:rFonts w:ascii="Helvetica" w:hAnsi="Helvetica"/>
          <w:sz w:val="22"/>
          <w:szCs w:val="22"/>
        </w:rPr>
        <w:t xml:space="preserve"> </w:t>
      </w:r>
      <w:r w:rsidR="00196373" w:rsidRPr="006B299E">
        <w:rPr>
          <w:rFonts w:ascii="Helvetica" w:hAnsi="Helvetica"/>
          <w:sz w:val="22"/>
          <w:szCs w:val="22"/>
        </w:rPr>
        <w:t>the risk of severe disease increases sharply with age</w:t>
      </w:r>
      <w:r w:rsidR="00126AD6" w:rsidRPr="006B299E">
        <w:rPr>
          <w:rFonts w:ascii="Helvetica" w:hAnsi="Helvetica"/>
          <w:sz w:val="22"/>
          <w:szCs w:val="22"/>
        </w:rPr>
        <w:t>,</w:t>
      </w:r>
      <w:r w:rsidR="00196373" w:rsidRPr="006B299E">
        <w:rPr>
          <w:rFonts w:ascii="Helvetica" w:hAnsi="Helvetica"/>
          <w:sz w:val="22"/>
          <w:szCs w:val="22"/>
        </w:rPr>
        <w:t xml:space="preserve"> and</w:t>
      </w:r>
      <w:r w:rsidR="006B299E">
        <w:rPr>
          <w:rFonts w:ascii="Helvetica" w:hAnsi="Helvetica"/>
          <w:sz w:val="22"/>
          <w:szCs w:val="22"/>
        </w:rPr>
        <w:t xml:space="preserve"> </w:t>
      </w:r>
      <w:r w:rsidR="00196373" w:rsidRPr="006B299E">
        <w:rPr>
          <w:rFonts w:ascii="Helvetica" w:hAnsi="Helvetica"/>
          <w:sz w:val="22"/>
          <w:szCs w:val="22"/>
        </w:rPr>
        <w:t>insufficient data exist to</w:t>
      </w:r>
      <w:r w:rsidR="00382107" w:rsidRPr="006B299E">
        <w:rPr>
          <w:rFonts w:ascii="Helvetica" w:hAnsi="Helvetica"/>
          <w:sz w:val="22"/>
          <w:szCs w:val="22"/>
        </w:rPr>
        <w:t xml:space="preserve"> inform </w:t>
      </w:r>
      <w:r w:rsidR="00404619" w:rsidRPr="006B299E">
        <w:rPr>
          <w:rFonts w:ascii="Helvetica" w:hAnsi="Helvetica"/>
          <w:sz w:val="22"/>
          <w:szCs w:val="22"/>
        </w:rPr>
        <w:t xml:space="preserve">disease transmission models based on other </w:t>
      </w:r>
      <w:r w:rsidR="00BB3B61" w:rsidRPr="006B299E">
        <w:rPr>
          <w:rFonts w:ascii="Helvetica" w:hAnsi="Helvetica"/>
          <w:sz w:val="22"/>
          <w:szCs w:val="22"/>
        </w:rPr>
        <w:t xml:space="preserve">social and demographic factors. </w:t>
      </w:r>
      <w:r w:rsidR="00B574AE" w:rsidRPr="006B299E">
        <w:rPr>
          <w:rFonts w:ascii="Helvetica" w:hAnsi="Helvetica"/>
          <w:sz w:val="22"/>
          <w:szCs w:val="22"/>
        </w:rPr>
        <w:t xml:space="preserve">However, </w:t>
      </w:r>
      <w:r w:rsidR="00485DA8" w:rsidRPr="006B299E">
        <w:rPr>
          <w:rFonts w:ascii="Helvetica" w:hAnsi="Helvetica"/>
          <w:sz w:val="22"/>
          <w:szCs w:val="22"/>
        </w:rPr>
        <w:t xml:space="preserve">due to differences in </w:t>
      </w:r>
      <w:r w:rsidR="00226FD0" w:rsidRPr="006B299E">
        <w:rPr>
          <w:rFonts w:ascii="Helvetica" w:hAnsi="Helvetica"/>
          <w:sz w:val="22"/>
          <w:szCs w:val="22"/>
        </w:rPr>
        <w:t>life expectancy</w:t>
      </w:r>
      <w:r w:rsidR="00BF76C0" w:rsidRPr="006B299E">
        <w:rPr>
          <w:rFonts w:ascii="Helvetica" w:hAnsi="Helvetica"/>
          <w:sz w:val="22"/>
          <w:szCs w:val="22"/>
        </w:rPr>
        <w:t xml:space="preserve"> between </w:t>
      </w:r>
      <w:r w:rsidR="003A7CA0" w:rsidRPr="006B299E">
        <w:rPr>
          <w:rFonts w:ascii="Helvetica" w:hAnsi="Helvetica"/>
          <w:sz w:val="22"/>
          <w:szCs w:val="22"/>
        </w:rPr>
        <w:t xml:space="preserve">racial/ethnic groups, </w:t>
      </w:r>
      <w:r w:rsidR="00E3745F" w:rsidRPr="006B299E">
        <w:rPr>
          <w:rFonts w:ascii="Helvetica" w:hAnsi="Helvetica"/>
          <w:sz w:val="22"/>
          <w:szCs w:val="22"/>
        </w:rPr>
        <w:t xml:space="preserve">age-based vaccine prioritization </w:t>
      </w:r>
      <w:r w:rsidR="00141BAF" w:rsidRPr="006B299E">
        <w:rPr>
          <w:rFonts w:ascii="Helvetica" w:hAnsi="Helvetica"/>
          <w:sz w:val="22"/>
          <w:szCs w:val="22"/>
        </w:rPr>
        <w:t>has contributed t</w:t>
      </w:r>
      <w:r w:rsidR="00A64492" w:rsidRPr="006B299E">
        <w:rPr>
          <w:rFonts w:ascii="Helvetica" w:hAnsi="Helvetica"/>
          <w:sz w:val="22"/>
          <w:szCs w:val="22"/>
        </w:rPr>
        <w:t xml:space="preserve">o </w:t>
      </w:r>
      <w:r w:rsidR="00367A4E" w:rsidRPr="006B299E">
        <w:rPr>
          <w:rFonts w:ascii="Helvetica" w:hAnsi="Helvetica"/>
          <w:sz w:val="22"/>
          <w:szCs w:val="22"/>
        </w:rPr>
        <w:t>racial/ethnic disparities in vaccination</w:t>
      </w:r>
      <w:r w:rsidR="00303809" w:rsidRPr="006B299E">
        <w:rPr>
          <w:rFonts w:ascii="Helvetica" w:hAnsi="Helvetica"/>
          <w:sz w:val="22"/>
          <w:szCs w:val="22"/>
        </w:rPr>
        <w:t xml:space="preserve"> rates. </w:t>
      </w:r>
      <w:r w:rsidR="004A5A22" w:rsidRPr="006B299E">
        <w:rPr>
          <w:rFonts w:ascii="Helvetica" w:hAnsi="Helvetica"/>
          <w:sz w:val="22"/>
          <w:szCs w:val="22"/>
        </w:rPr>
        <w:t xml:space="preserve">Furthermore, </w:t>
      </w:r>
      <w:r w:rsidR="00F61F75" w:rsidRPr="006B299E">
        <w:rPr>
          <w:rFonts w:ascii="Helvetica" w:hAnsi="Helvetica"/>
          <w:sz w:val="22"/>
          <w:szCs w:val="22"/>
        </w:rPr>
        <w:t xml:space="preserve">members of racial/ethnic minority groups </w:t>
      </w:r>
      <w:r w:rsidR="00661120" w:rsidRPr="006B299E">
        <w:rPr>
          <w:rFonts w:ascii="Helvetica" w:hAnsi="Helvetica"/>
          <w:sz w:val="22"/>
          <w:szCs w:val="22"/>
        </w:rPr>
        <w:t>dis</w:t>
      </w:r>
      <w:r w:rsidR="00C75990" w:rsidRPr="006B299E">
        <w:rPr>
          <w:rFonts w:ascii="Helvetica" w:hAnsi="Helvetica"/>
          <w:sz w:val="22"/>
          <w:szCs w:val="22"/>
        </w:rPr>
        <w:t xml:space="preserve">proportionately </w:t>
      </w:r>
      <w:r w:rsidR="00381A46" w:rsidRPr="006B299E">
        <w:rPr>
          <w:rFonts w:ascii="Helvetica" w:hAnsi="Helvetica"/>
          <w:sz w:val="22"/>
          <w:szCs w:val="22"/>
        </w:rPr>
        <w:t xml:space="preserve">hold </w:t>
      </w:r>
      <w:r w:rsidR="001B7621" w:rsidRPr="006B299E">
        <w:rPr>
          <w:rFonts w:ascii="Helvetica" w:hAnsi="Helvetica"/>
          <w:sz w:val="22"/>
          <w:szCs w:val="22"/>
        </w:rPr>
        <w:t xml:space="preserve">essential </w:t>
      </w:r>
      <w:r w:rsidR="00381A46" w:rsidRPr="006B299E">
        <w:rPr>
          <w:rFonts w:ascii="Helvetica" w:hAnsi="Helvetica"/>
          <w:sz w:val="22"/>
          <w:szCs w:val="22"/>
        </w:rPr>
        <w:t xml:space="preserve">jobs </w:t>
      </w:r>
      <w:r w:rsidR="00960E68" w:rsidRPr="006B299E">
        <w:rPr>
          <w:rFonts w:ascii="Helvetica" w:hAnsi="Helvetica"/>
          <w:sz w:val="22"/>
          <w:szCs w:val="22"/>
        </w:rPr>
        <w:t xml:space="preserve">that </w:t>
      </w:r>
      <w:r w:rsidR="003919EE" w:rsidRPr="006B299E">
        <w:rPr>
          <w:rFonts w:ascii="Helvetica" w:hAnsi="Helvetica"/>
          <w:sz w:val="22"/>
          <w:szCs w:val="22"/>
        </w:rPr>
        <w:t xml:space="preserve">require </w:t>
      </w:r>
      <w:r w:rsidR="00F82BD1" w:rsidRPr="006B299E">
        <w:rPr>
          <w:rFonts w:ascii="Helvetica" w:hAnsi="Helvetica"/>
          <w:sz w:val="22"/>
          <w:szCs w:val="22"/>
        </w:rPr>
        <w:t xml:space="preserve">frequent </w:t>
      </w:r>
      <w:r w:rsidR="007A6EE9" w:rsidRPr="006B299E">
        <w:rPr>
          <w:rFonts w:ascii="Helvetica" w:hAnsi="Helvetica"/>
          <w:sz w:val="22"/>
          <w:szCs w:val="22"/>
        </w:rPr>
        <w:t>interpersonal contacts</w:t>
      </w:r>
      <w:r w:rsidR="00383050" w:rsidRPr="006B299E">
        <w:rPr>
          <w:rFonts w:ascii="Helvetica" w:hAnsi="Helvetica"/>
          <w:sz w:val="22"/>
          <w:szCs w:val="22"/>
        </w:rPr>
        <w:t xml:space="preserve">, </w:t>
      </w:r>
      <w:r w:rsidR="0075630D" w:rsidRPr="006B299E">
        <w:rPr>
          <w:rFonts w:ascii="Helvetica" w:hAnsi="Helvetica"/>
          <w:sz w:val="22"/>
          <w:szCs w:val="22"/>
        </w:rPr>
        <w:t xml:space="preserve">raising their risk of both acquiring and transmitting SARS-CoV-2. </w:t>
      </w:r>
      <w:r w:rsidR="004A6036" w:rsidRPr="006B299E">
        <w:rPr>
          <w:rFonts w:ascii="Helvetica" w:hAnsi="Helvetica"/>
          <w:sz w:val="22"/>
          <w:szCs w:val="22"/>
        </w:rPr>
        <w:t xml:space="preserve">This underscores </w:t>
      </w:r>
      <w:r w:rsidR="0089334D" w:rsidRPr="006B299E">
        <w:rPr>
          <w:rFonts w:ascii="Helvetica" w:hAnsi="Helvetica"/>
          <w:sz w:val="22"/>
          <w:szCs w:val="22"/>
        </w:rPr>
        <w:t xml:space="preserve">the potential value </w:t>
      </w:r>
      <w:r w:rsidR="00BE3BC1" w:rsidRPr="006B299E">
        <w:rPr>
          <w:rFonts w:ascii="Helvetica" w:hAnsi="Helvetica"/>
          <w:sz w:val="22"/>
          <w:szCs w:val="22"/>
        </w:rPr>
        <w:t xml:space="preserve">of </w:t>
      </w:r>
      <w:r w:rsidR="00D916FC" w:rsidRPr="006B299E">
        <w:rPr>
          <w:rFonts w:ascii="Helvetica" w:hAnsi="Helvetica"/>
          <w:sz w:val="22"/>
          <w:szCs w:val="22"/>
        </w:rPr>
        <w:t xml:space="preserve">prioritizing </w:t>
      </w:r>
      <w:r w:rsidR="00FE16F6" w:rsidRPr="006B299E">
        <w:rPr>
          <w:rFonts w:ascii="Helvetica" w:hAnsi="Helvetica"/>
          <w:sz w:val="22"/>
          <w:szCs w:val="22"/>
        </w:rPr>
        <w:t xml:space="preserve">these populations for vaccination. </w:t>
      </w:r>
      <w:r w:rsidR="00A2221D" w:rsidRPr="006B299E">
        <w:rPr>
          <w:rFonts w:ascii="Helvetica" w:hAnsi="Helvetica"/>
          <w:sz w:val="22"/>
          <w:szCs w:val="22"/>
        </w:rPr>
        <w:t xml:space="preserve">Vaccine uptake among </w:t>
      </w:r>
      <w:r w:rsidR="00D744A1" w:rsidRPr="006B299E">
        <w:rPr>
          <w:rFonts w:ascii="Helvetica" w:hAnsi="Helvetica"/>
          <w:sz w:val="22"/>
          <w:szCs w:val="22"/>
        </w:rPr>
        <w:t>75+ year-olds has reached __% in the United States</w:t>
      </w:r>
      <w:r w:rsidR="00051662" w:rsidRPr="006B299E">
        <w:rPr>
          <w:rFonts w:ascii="Helvetica" w:hAnsi="Helvetica"/>
          <w:sz w:val="22"/>
          <w:szCs w:val="22"/>
        </w:rPr>
        <w:t xml:space="preserve">, thereby protecting many of the most vulnerable </w:t>
      </w:r>
      <w:r w:rsidR="000501D5" w:rsidRPr="006B299E">
        <w:rPr>
          <w:rFonts w:ascii="Helvetica" w:hAnsi="Helvetica"/>
          <w:sz w:val="22"/>
          <w:szCs w:val="22"/>
        </w:rPr>
        <w:t>individuals</w:t>
      </w:r>
      <w:r w:rsidR="00E15F3D" w:rsidRPr="006B299E">
        <w:rPr>
          <w:rFonts w:ascii="Helvetica" w:hAnsi="Helvetica"/>
          <w:sz w:val="22"/>
          <w:szCs w:val="22"/>
        </w:rPr>
        <w:t xml:space="preserve">. </w:t>
      </w:r>
      <w:r w:rsidR="00A1458A" w:rsidRPr="006B299E">
        <w:rPr>
          <w:rFonts w:ascii="Helvetica" w:hAnsi="Helvetica"/>
          <w:sz w:val="22"/>
          <w:szCs w:val="22"/>
        </w:rPr>
        <w:t>I</w:t>
      </w:r>
      <w:r w:rsidR="00844588" w:rsidRPr="006B299E">
        <w:rPr>
          <w:rFonts w:ascii="Helvetica" w:hAnsi="Helvetica"/>
          <w:sz w:val="22"/>
          <w:szCs w:val="22"/>
        </w:rPr>
        <w:t xml:space="preserve">t is </w:t>
      </w:r>
      <w:r w:rsidR="00D155D9" w:rsidRPr="006B299E">
        <w:rPr>
          <w:rFonts w:ascii="Helvetica" w:hAnsi="Helvetica"/>
          <w:sz w:val="22"/>
          <w:szCs w:val="22"/>
        </w:rPr>
        <w:t xml:space="preserve">now </w:t>
      </w:r>
      <w:r w:rsidR="00F5793A" w:rsidRPr="006B299E">
        <w:rPr>
          <w:rFonts w:ascii="Helvetica" w:hAnsi="Helvetica"/>
          <w:sz w:val="22"/>
          <w:szCs w:val="22"/>
        </w:rPr>
        <w:t xml:space="preserve">an urgent priority to </w:t>
      </w:r>
      <w:r w:rsidR="00F23BE1" w:rsidRPr="006B299E">
        <w:rPr>
          <w:rFonts w:ascii="Helvetica" w:hAnsi="Helvetica"/>
          <w:sz w:val="22"/>
          <w:szCs w:val="22"/>
        </w:rPr>
        <w:t xml:space="preserve">consider </w:t>
      </w:r>
      <w:r w:rsidR="00195E1A" w:rsidRPr="006B299E">
        <w:rPr>
          <w:rFonts w:ascii="Helvetica" w:hAnsi="Helvetica"/>
          <w:sz w:val="22"/>
          <w:szCs w:val="22"/>
        </w:rPr>
        <w:t xml:space="preserve">whom to vaccinate next. </w:t>
      </w:r>
      <w:r w:rsidR="002E2676" w:rsidRPr="006B299E">
        <w:rPr>
          <w:rFonts w:ascii="Helvetica" w:hAnsi="Helvetica"/>
          <w:sz w:val="22"/>
          <w:szCs w:val="22"/>
        </w:rPr>
        <w:t xml:space="preserve">This choice should be informed by </w:t>
      </w:r>
      <w:r w:rsidR="00342234" w:rsidRPr="006B299E">
        <w:rPr>
          <w:rFonts w:ascii="Helvetica" w:hAnsi="Helvetica"/>
          <w:sz w:val="22"/>
          <w:szCs w:val="22"/>
        </w:rPr>
        <w:t xml:space="preserve">a wide range of considerations including </w:t>
      </w:r>
      <w:r w:rsidR="003D4890" w:rsidRPr="006B299E">
        <w:rPr>
          <w:rFonts w:ascii="Helvetica" w:hAnsi="Helvetica"/>
          <w:sz w:val="22"/>
          <w:szCs w:val="22"/>
        </w:rPr>
        <w:t xml:space="preserve">justice, reciprocity, </w:t>
      </w:r>
      <w:r w:rsidR="001C6F28" w:rsidRPr="006B299E">
        <w:rPr>
          <w:rFonts w:ascii="Helvetica" w:hAnsi="Helvetica"/>
          <w:sz w:val="22"/>
          <w:szCs w:val="22"/>
        </w:rPr>
        <w:t xml:space="preserve">and anticipated epidemiological outcomes. </w:t>
      </w:r>
      <w:r w:rsidR="00963C1C" w:rsidRPr="006B299E">
        <w:rPr>
          <w:rFonts w:ascii="Helvetica" w:hAnsi="Helvetica"/>
          <w:sz w:val="22"/>
          <w:szCs w:val="22"/>
        </w:rPr>
        <w:t xml:space="preserve">This report considers </w:t>
      </w:r>
      <w:r w:rsidR="00540417" w:rsidRPr="006B299E">
        <w:rPr>
          <w:rFonts w:ascii="Helvetica" w:hAnsi="Helvetica"/>
          <w:sz w:val="22"/>
          <w:szCs w:val="22"/>
        </w:rPr>
        <w:t xml:space="preserve">the epidemiological angle. </w:t>
      </w:r>
    </w:p>
    <w:p w14:paraId="0E05ABE7" w14:textId="2A641F99" w:rsidR="00AE4AB2" w:rsidRPr="00C038C7" w:rsidRDefault="00AE4AB2" w:rsidP="00D617C5">
      <w:pPr>
        <w:spacing w:line="276" w:lineRule="auto"/>
        <w:jc w:val="both"/>
        <w:rPr>
          <w:rFonts w:ascii="Helvetica" w:hAnsi="Helvetica"/>
          <w:sz w:val="22"/>
          <w:szCs w:val="22"/>
        </w:rPr>
      </w:pPr>
    </w:p>
    <w:p w14:paraId="5E1D0387" w14:textId="0245E113" w:rsidR="00681109" w:rsidRPr="009759A8" w:rsidRDefault="007966ED" w:rsidP="00D617C5">
      <w:pPr>
        <w:spacing w:line="276" w:lineRule="auto"/>
        <w:jc w:val="both"/>
        <w:rPr>
          <w:rFonts w:ascii="Helvetica" w:hAnsi="Helvetica"/>
          <w:b/>
          <w:bCs/>
          <w:sz w:val="22"/>
          <w:szCs w:val="22"/>
        </w:rPr>
      </w:pPr>
      <w:r w:rsidRPr="009759A8">
        <w:rPr>
          <w:rFonts w:ascii="Helvetica" w:hAnsi="Helvetica"/>
          <w:b/>
          <w:bCs/>
          <w:sz w:val="22"/>
          <w:szCs w:val="22"/>
        </w:rPr>
        <w:t>APPROACH</w:t>
      </w:r>
    </w:p>
    <w:p w14:paraId="66130D1A" w14:textId="77777777" w:rsidR="00686E4E" w:rsidRPr="00C038C7" w:rsidRDefault="00686E4E" w:rsidP="00D617C5">
      <w:pPr>
        <w:spacing w:line="276" w:lineRule="auto"/>
        <w:jc w:val="both"/>
        <w:rPr>
          <w:rFonts w:ascii="Helvetica" w:hAnsi="Helvetica"/>
          <w:sz w:val="22"/>
          <w:szCs w:val="22"/>
        </w:rPr>
      </w:pPr>
    </w:p>
    <w:p w14:paraId="3F36BE8D" w14:textId="77777777" w:rsidR="00686E4E" w:rsidRPr="00C038C7" w:rsidRDefault="00686E4E" w:rsidP="00D617C5">
      <w:pPr>
        <w:spacing w:line="276" w:lineRule="auto"/>
        <w:jc w:val="both"/>
        <w:rPr>
          <w:rFonts w:ascii="Helvetica" w:hAnsi="Helvetica"/>
          <w:b/>
          <w:bCs/>
          <w:sz w:val="22"/>
          <w:szCs w:val="22"/>
        </w:rPr>
      </w:pPr>
      <w:r w:rsidRPr="00C038C7">
        <w:rPr>
          <w:rFonts w:ascii="Helvetica" w:hAnsi="Helvetica"/>
          <w:b/>
          <w:bCs/>
          <w:sz w:val="22"/>
          <w:szCs w:val="22"/>
        </w:rPr>
        <w:t>Defining contact rates.</w:t>
      </w:r>
    </w:p>
    <w:p w14:paraId="441B8A20" w14:textId="614F6AF4" w:rsidR="001A5BFE" w:rsidRPr="00C038C7" w:rsidRDefault="009E0545" w:rsidP="00D617C5">
      <w:pPr>
        <w:spacing w:line="276" w:lineRule="auto"/>
        <w:jc w:val="both"/>
        <w:rPr>
          <w:rFonts w:ascii="Helvetica" w:hAnsi="Helvetica"/>
          <w:sz w:val="22"/>
          <w:szCs w:val="22"/>
        </w:rPr>
      </w:pPr>
      <w:r>
        <w:rPr>
          <w:rFonts w:ascii="Helvetica" w:hAnsi="Helvetica"/>
          <w:sz w:val="22"/>
          <w:szCs w:val="22"/>
        </w:rPr>
        <w:t xml:space="preserve">Many epidemiological models assume that </w:t>
      </w:r>
      <w:r w:rsidR="00C338C7">
        <w:rPr>
          <w:rFonts w:ascii="Helvetica" w:hAnsi="Helvetica"/>
          <w:sz w:val="22"/>
          <w:szCs w:val="22"/>
        </w:rPr>
        <w:t>contact rates are</w:t>
      </w:r>
      <w:r w:rsidR="008516DA">
        <w:rPr>
          <w:rFonts w:ascii="Helvetica" w:hAnsi="Helvetica"/>
          <w:sz w:val="22"/>
          <w:szCs w:val="22"/>
        </w:rPr>
        <w:t xml:space="preserve"> either constant or Poisson-distributed </w:t>
      </w:r>
      <w:r w:rsidR="00151E7B">
        <w:rPr>
          <w:rFonts w:ascii="Helvetica" w:hAnsi="Helvetica"/>
          <w:sz w:val="22"/>
          <w:szCs w:val="22"/>
        </w:rPr>
        <w:t xml:space="preserve">among members of a population. </w:t>
      </w:r>
      <w:r w:rsidR="00F3633F">
        <w:rPr>
          <w:rFonts w:ascii="Helvetica" w:hAnsi="Helvetica"/>
          <w:sz w:val="22"/>
          <w:szCs w:val="22"/>
        </w:rPr>
        <w:t>However, e</w:t>
      </w:r>
      <w:r w:rsidR="00885CFE">
        <w:rPr>
          <w:rFonts w:ascii="Helvetica" w:hAnsi="Helvetica"/>
          <w:sz w:val="22"/>
          <w:szCs w:val="22"/>
        </w:rPr>
        <w:t>mpirical</w:t>
      </w:r>
      <w:r w:rsidR="00151E7B">
        <w:rPr>
          <w:rFonts w:ascii="Helvetica" w:hAnsi="Helvetica"/>
          <w:sz w:val="22"/>
          <w:szCs w:val="22"/>
        </w:rPr>
        <w:t xml:space="preserve"> studies </w:t>
      </w:r>
      <w:r w:rsidR="00BF5773">
        <w:rPr>
          <w:rFonts w:ascii="Helvetica" w:hAnsi="Helvetica"/>
          <w:sz w:val="22"/>
          <w:szCs w:val="22"/>
        </w:rPr>
        <w:t>indicate</w:t>
      </w:r>
      <w:r w:rsidR="00151E7B">
        <w:rPr>
          <w:rFonts w:ascii="Helvetica" w:hAnsi="Helvetica"/>
          <w:sz w:val="22"/>
          <w:szCs w:val="22"/>
        </w:rPr>
        <w:t xml:space="preserve"> th</w:t>
      </w:r>
      <w:r w:rsidR="00EC3DBC">
        <w:rPr>
          <w:rFonts w:ascii="Helvetica" w:hAnsi="Helvetica"/>
          <w:sz w:val="22"/>
          <w:szCs w:val="22"/>
        </w:rPr>
        <w:t>a</w:t>
      </w:r>
      <w:r w:rsidR="00151E7B">
        <w:rPr>
          <w:rFonts w:ascii="Helvetica" w:hAnsi="Helvetica"/>
          <w:sz w:val="22"/>
          <w:szCs w:val="22"/>
        </w:rPr>
        <w:t xml:space="preserve">t true interpersonal contact rates exhibit wider variation than either of these standard choices. </w:t>
      </w:r>
      <w:r w:rsidR="00A03CC2">
        <w:rPr>
          <w:rFonts w:ascii="Helvetica" w:hAnsi="Helvetica"/>
          <w:sz w:val="22"/>
          <w:szCs w:val="22"/>
        </w:rPr>
        <w:t xml:space="preserve">In the </w:t>
      </w:r>
      <w:r w:rsidR="008630E3" w:rsidRPr="00C038C7">
        <w:rPr>
          <w:rFonts w:ascii="Helvetica" w:hAnsi="Helvetica"/>
          <w:i/>
          <w:iCs/>
          <w:sz w:val="22"/>
          <w:szCs w:val="22"/>
        </w:rPr>
        <w:t xml:space="preserve">BBC Pandemic </w:t>
      </w:r>
      <w:r w:rsidR="008630E3" w:rsidRPr="00C038C7">
        <w:rPr>
          <w:rFonts w:ascii="Helvetica" w:hAnsi="Helvetica"/>
          <w:sz w:val="22"/>
          <w:szCs w:val="22"/>
        </w:rPr>
        <w:t>study</w:t>
      </w:r>
      <w:r w:rsidR="008630E3">
        <w:rPr>
          <w:rFonts w:ascii="Helvetica" w:hAnsi="Helvetica"/>
          <w:sz w:val="22"/>
          <w:szCs w:val="22"/>
        </w:rPr>
        <w:t>,</w:t>
      </w:r>
      <w:r w:rsidR="007F0198" w:rsidRPr="00C038C7">
        <w:rPr>
          <w:rFonts w:ascii="Helvetica" w:hAnsi="Helvetica"/>
          <w:sz w:val="22"/>
          <w:szCs w:val="22"/>
        </w:rPr>
        <w:fldChar w:fldCharType="begin" w:fldLock="1"/>
      </w:r>
      <w:r w:rsidR="007F0198" w:rsidRPr="00C038C7">
        <w:rPr>
          <w:rFonts w:ascii="Helvetica" w:hAnsi="Helvetica"/>
          <w:sz w:val="22"/>
          <w:szCs w:val="22"/>
        </w:rPr>
        <w:instrText>ADDIN CSL_CITATION {"citationItems":[{"id":"ITEM-1","itemData":{"DOI":"10.1101/2020.02.16.20023754","abstract":"Social mixing patterns are crucial in driving transmission of infectious diseases and informing public health interventions to contain their spread. Age-specific social mixing is often inferred from surveys of self-recorded contacts which by design often have a very limited number of participants. In addition, such surveys are rare, so public health interventions are often evaluated by considering only one such study. Here we report detailed population contact patterns for United Kingdom based self-reported contact data from over 36,000 volunteers that participated in the massive citizen science project BBC Pandemic. The amount of data collected allows us generate fine-scale age-specific population contact matrices by context (home, work, school, other) and type (conversational or physical) of contact that took place. These matrices are highly relevant for informing prevention and control of new outbreaks, and evaluating strategies that reduce the amount of mixing in the population (such as school closures, social distancing, or working from home). In addition, they finally provide the possibility to use multiple sources of social mixing data to evaluate the uncertainty that stems from social mixing when designing public health interventions.\n\n### Competing Interest Statement\n\nThe authors have declared no competing interest.\n\n### Funding Statement\n\nAJK was supported by a Sir Henry Dale Fellowship jointly funded by the Wellcome Trust and the Royal Society (grant Number 206250/Z/17/Z).\n\n### Author Declarations\n\nAll relevant ethical guidelines have been followed; any necessary IRB and/or ethics committee approvals have been obtained and details of the IRB/oversight body are included in the manuscript.\n\nYes\n\nAll necessary patient/participant consent has been obtained and the appropriate institutional forms have been archived.\n\nYes\n\nI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advance).\n\nYes\n\nI have followed all appropriate research reporting guidelines and uploaded the relevant EQUATOR Network research reporting checklist(s) and other pertinent material as suppl…","author":[{"dropping-particle":"","family":"Klepac","given":"Petra","non-dropping-particle":"","parse-names":false,"suffix":""},{"dropping-particle":"","family":"Kucharski","given":"Adam","non-dropping-particle":"","parse-names":false,"suffix":""},{"dropping-particle":"","family":"Conlan","given":"Andrew JK","non-dropping-particle":"","parse-names":false,"suffix":""},{"dropping-particle":"","family":"Kissler","given":"Stephen","non-dropping-particle":"","parse-names":false,"suffix":""},{"dropping-particle":"","family":"Tang","given":"Maria","non-dropping-particle":"","parse-names":false,"suffix":""},{"dropping-particle":"","family":"Fry","given":"Hannah","non-dropping-particle":"","parse-names":false,"suffix":""},{"dropping-particle":"","family":"Gog","given":"Julia","non-dropping-particle":"","parse-names":false,"suffix":""}],"id":"ITEM-1","issued":{"date-parts":[["2020"]]},"page":"1-17","title":"Contacts in context: large-scale setting-specific social mixing matrices from the BBC Pandemic project","type":"article-journal"},"uris":["http://www.mendeley.com/documents/?uuid=b153ce4b-9b0f-4619-910c-687a8b04274a"]}],"mendeley":{"formattedCitation":"&lt;sup&gt;2&lt;/sup&gt;","plainTextFormattedCitation":"2","previouslyFormattedCitation":"&lt;sup&gt;2&lt;/sup&gt;"},"properties":{"noteIndex":0},"schema":"https://github.com/citation-style-language/schema/raw/master/csl-citation.json"}</w:instrText>
      </w:r>
      <w:r w:rsidR="007F0198" w:rsidRPr="00C038C7">
        <w:rPr>
          <w:rFonts w:ascii="Helvetica" w:hAnsi="Helvetica"/>
          <w:sz w:val="22"/>
          <w:szCs w:val="22"/>
        </w:rPr>
        <w:fldChar w:fldCharType="separate"/>
      </w:r>
      <w:r w:rsidR="007F0198" w:rsidRPr="00C038C7">
        <w:rPr>
          <w:rFonts w:ascii="Helvetica" w:hAnsi="Helvetica"/>
          <w:noProof/>
          <w:sz w:val="22"/>
          <w:szCs w:val="22"/>
          <w:vertAlign w:val="superscript"/>
        </w:rPr>
        <w:t>2</w:t>
      </w:r>
      <w:r w:rsidR="007F0198" w:rsidRPr="00C038C7">
        <w:rPr>
          <w:rFonts w:ascii="Helvetica" w:hAnsi="Helvetica"/>
          <w:sz w:val="22"/>
          <w:szCs w:val="22"/>
        </w:rPr>
        <w:fldChar w:fldCharType="end"/>
      </w:r>
      <w:r w:rsidR="008630E3">
        <w:rPr>
          <w:rFonts w:ascii="Helvetica" w:hAnsi="Helvetica"/>
          <w:sz w:val="22"/>
          <w:szCs w:val="22"/>
        </w:rPr>
        <w:t xml:space="preserve"> for example, t</w:t>
      </w:r>
      <w:r w:rsidR="008856FD" w:rsidRPr="00C038C7">
        <w:rPr>
          <w:rFonts w:ascii="Helvetica" w:hAnsi="Helvetica"/>
          <w:sz w:val="22"/>
          <w:szCs w:val="22"/>
        </w:rPr>
        <w:t>he number of daily contacts in the population follows a negative binomial distribution with size = 1.68 and mean = 10.47</w:t>
      </w:r>
      <w:r w:rsidR="00641F86">
        <w:rPr>
          <w:rFonts w:ascii="Helvetica" w:hAnsi="Helvetica"/>
          <w:sz w:val="22"/>
          <w:szCs w:val="22"/>
        </w:rPr>
        <w:t xml:space="preserve"> </w:t>
      </w:r>
      <w:r w:rsidR="00BD67F1" w:rsidRPr="00C038C7">
        <w:rPr>
          <w:rFonts w:ascii="Helvetica" w:hAnsi="Helvetica"/>
          <w:sz w:val="22"/>
          <w:szCs w:val="22"/>
        </w:rPr>
        <w:t>(Fig. 1)</w:t>
      </w:r>
      <w:r w:rsidR="00CF2D21" w:rsidRPr="00C038C7">
        <w:rPr>
          <w:rFonts w:ascii="Helvetica" w:hAnsi="Helvetica"/>
          <w:sz w:val="22"/>
          <w:szCs w:val="22"/>
        </w:rPr>
        <w:t>.</w:t>
      </w:r>
      <w:r w:rsidR="007F0198" w:rsidRPr="00C038C7">
        <w:rPr>
          <w:rFonts w:ascii="Helvetica" w:hAnsi="Helvetica"/>
          <w:sz w:val="22"/>
          <w:szCs w:val="22"/>
        </w:rPr>
        <w:t xml:space="preserve"> </w:t>
      </w:r>
      <w:r w:rsidR="00826A87">
        <w:rPr>
          <w:rFonts w:ascii="Helvetica" w:hAnsi="Helvetica"/>
          <w:sz w:val="22"/>
          <w:szCs w:val="22"/>
        </w:rPr>
        <w:t xml:space="preserve">We adopted this </w:t>
      </w:r>
      <w:r w:rsidR="008B2754">
        <w:rPr>
          <w:rFonts w:ascii="Helvetica" w:hAnsi="Helvetica"/>
          <w:sz w:val="22"/>
          <w:szCs w:val="22"/>
        </w:rPr>
        <w:t xml:space="preserve">daily interpersonal contact rate for the </w:t>
      </w:r>
      <w:r w:rsidR="00F34F11">
        <w:rPr>
          <w:rFonts w:ascii="Helvetica" w:hAnsi="Helvetica"/>
          <w:sz w:val="22"/>
          <w:szCs w:val="22"/>
        </w:rPr>
        <w:t xml:space="preserve">vaccine prioritization model. </w:t>
      </w:r>
    </w:p>
    <w:p w14:paraId="5136CC8B" w14:textId="77777777" w:rsidR="001A5BFE" w:rsidRPr="00C038C7" w:rsidRDefault="001A5BFE" w:rsidP="00D617C5">
      <w:pPr>
        <w:spacing w:line="276" w:lineRule="auto"/>
        <w:jc w:val="both"/>
        <w:rPr>
          <w:rFonts w:ascii="Helvetica" w:hAnsi="Helvetica"/>
          <w:sz w:val="22"/>
          <w:szCs w:val="22"/>
        </w:rPr>
      </w:pPr>
    </w:p>
    <w:p w14:paraId="1B9353EF" w14:textId="0DC4CB11" w:rsidR="001A5BFE" w:rsidRPr="00C038C7" w:rsidRDefault="001A5BFE" w:rsidP="00BD28AD">
      <w:pPr>
        <w:spacing w:line="276" w:lineRule="auto"/>
        <w:jc w:val="center"/>
        <w:rPr>
          <w:rFonts w:ascii="Helvetica" w:hAnsi="Helvetica"/>
          <w:sz w:val="22"/>
          <w:szCs w:val="22"/>
        </w:rPr>
      </w:pPr>
      <w:r w:rsidRPr="00C038C7">
        <w:rPr>
          <w:rFonts w:ascii="Helvetica" w:hAnsi="Helvetica"/>
          <w:noProof/>
          <w:sz w:val="22"/>
          <w:szCs w:val="22"/>
        </w:rPr>
        <w:drawing>
          <wp:inline distT="0" distB="0" distL="0" distR="0" wp14:anchorId="7CF5930C" wp14:editId="24B3FE9F">
            <wp:extent cx="2461846" cy="2314135"/>
            <wp:effectExtent l="0" t="0" r="2540" b="0"/>
            <wp:docPr id="1" name="Picture 1"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074" cy="2335030"/>
                    </a:xfrm>
                    <a:prstGeom prst="rect">
                      <a:avLst/>
                    </a:prstGeom>
                  </pic:spPr>
                </pic:pic>
              </a:graphicData>
            </a:graphic>
          </wp:inline>
        </w:drawing>
      </w:r>
    </w:p>
    <w:p w14:paraId="51AF143B" w14:textId="3D95469E" w:rsidR="00061B6B" w:rsidRPr="00200B2E" w:rsidRDefault="00061B6B" w:rsidP="00D617C5">
      <w:pPr>
        <w:pStyle w:val="Caption"/>
        <w:spacing w:line="276" w:lineRule="auto"/>
        <w:jc w:val="both"/>
        <w:rPr>
          <w:rFonts w:ascii="Helvetica" w:hAnsi="Helvetica"/>
          <w:i w:val="0"/>
          <w:iCs w:val="0"/>
          <w:color w:val="000000" w:themeColor="text1"/>
        </w:rPr>
      </w:pPr>
      <w:r w:rsidRPr="00200B2E">
        <w:rPr>
          <w:rFonts w:ascii="Helvetica" w:hAnsi="Helvetica"/>
          <w:b/>
          <w:bCs/>
          <w:i w:val="0"/>
          <w:iCs w:val="0"/>
          <w:color w:val="000000" w:themeColor="text1"/>
        </w:rPr>
        <w:t xml:space="preserve">Figure </w:t>
      </w:r>
      <w:r w:rsidRPr="00200B2E">
        <w:rPr>
          <w:rFonts w:ascii="Helvetica" w:hAnsi="Helvetica"/>
          <w:b/>
          <w:bCs/>
          <w:i w:val="0"/>
          <w:iCs w:val="0"/>
          <w:color w:val="000000" w:themeColor="text1"/>
        </w:rPr>
        <w:fldChar w:fldCharType="begin"/>
      </w:r>
      <w:r w:rsidRPr="00200B2E">
        <w:rPr>
          <w:rFonts w:ascii="Helvetica" w:hAnsi="Helvetica"/>
          <w:b/>
          <w:bCs/>
          <w:i w:val="0"/>
          <w:iCs w:val="0"/>
          <w:color w:val="000000" w:themeColor="text1"/>
        </w:rPr>
        <w:instrText xml:space="preserve"> SEQ Figure \* ARABIC </w:instrText>
      </w:r>
      <w:r w:rsidRPr="00200B2E">
        <w:rPr>
          <w:rFonts w:ascii="Helvetica" w:hAnsi="Helvetica"/>
          <w:b/>
          <w:bCs/>
          <w:i w:val="0"/>
          <w:iCs w:val="0"/>
          <w:color w:val="000000" w:themeColor="text1"/>
        </w:rPr>
        <w:fldChar w:fldCharType="separate"/>
      </w:r>
      <w:r w:rsidR="00155C32">
        <w:rPr>
          <w:rFonts w:ascii="Helvetica" w:hAnsi="Helvetica"/>
          <w:b/>
          <w:bCs/>
          <w:i w:val="0"/>
          <w:iCs w:val="0"/>
          <w:noProof/>
          <w:color w:val="000000" w:themeColor="text1"/>
        </w:rPr>
        <w:t>1</w:t>
      </w:r>
      <w:r w:rsidRPr="00200B2E">
        <w:rPr>
          <w:rFonts w:ascii="Helvetica" w:hAnsi="Helvetica"/>
          <w:b/>
          <w:bCs/>
          <w:i w:val="0"/>
          <w:iCs w:val="0"/>
          <w:color w:val="000000" w:themeColor="text1"/>
        </w:rPr>
        <w:fldChar w:fldCharType="end"/>
      </w:r>
      <w:r w:rsidRPr="00200B2E">
        <w:rPr>
          <w:rFonts w:ascii="Helvetica" w:hAnsi="Helvetica"/>
          <w:b/>
          <w:bCs/>
          <w:i w:val="0"/>
          <w:iCs w:val="0"/>
          <w:color w:val="000000" w:themeColor="text1"/>
        </w:rPr>
        <w:t>.</w:t>
      </w:r>
      <w:r w:rsidRPr="00200B2E">
        <w:rPr>
          <w:rFonts w:ascii="Helvetica" w:hAnsi="Helvetica"/>
          <w:color w:val="000000" w:themeColor="text1"/>
        </w:rPr>
        <w:t xml:space="preserve"> </w:t>
      </w:r>
      <w:r w:rsidR="00C803CA" w:rsidRPr="00200B2E">
        <w:rPr>
          <w:rFonts w:ascii="Helvetica" w:hAnsi="Helvetica"/>
          <w:i w:val="0"/>
          <w:iCs w:val="0"/>
          <w:color w:val="000000" w:themeColor="text1"/>
        </w:rPr>
        <w:t xml:space="preserve">Daily contact rate as measured by the </w:t>
      </w:r>
      <w:r w:rsidR="00C803CA" w:rsidRPr="00200B2E">
        <w:rPr>
          <w:rFonts w:ascii="Helvetica" w:hAnsi="Helvetica"/>
          <w:color w:val="000000" w:themeColor="text1"/>
        </w:rPr>
        <w:t>BBC Pandemic</w:t>
      </w:r>
      <w:r w:rsidR="00C803CA" w:rsidRPr="00200B2E">
        <w:rPr>
          <w:rFonts w:ascii="Helvetica" w:hAnsi="Helvetica"/>
          <w:i w:val="0"/>
          <w:iCs w:val="0"/>
          <w:color w:val="000000" w:themeColor="text1"/>
        </w:rPr>
        <w:t xml:space="preserve"> study. The best-fit negative binomial distribution has size = 1.68 and mean = 10.47. </w:t>
      </w:r>
    </w:p>
    <w:p w14:paraId="2435DF4E" w14:textId="5C4EFBF4" w:rsidR="00617C38" w:rsidRPr="00C038C7" w:rsidRDefault="00617C38" w:rsidP="00D617C5">
      <w:pPr>
        <w:spacing w:line="276" w:lineRule="auto"/>
        <w:jc w:val="both"/>
        <w:rPr>
          <w:rFonts w:ascii="Helvetica" w:hAnsi="Helvetica"/>
          <w:b/>
          <w:bCs/>
          <w:sz w:val="22"/>
          <w:szCs w:val="22"/>
        </w:rPr>
      </w:pPr>
      <w:r w:rsidRPr="00C038C7">
        <w:rPr>
          <w:rFonts w:ascii="Helvetica" w:hAnsi="Helvetica"/>
          <w:b/>
          <w:bCs/>
          <w:sz w:val="22"/>
          <w:szCs w:val="22"/>
        </w:rPr>
        <w:lastRenderedPageBreak/>
        <w:t xml:space="preserve">Defining mortality risk. </w:t>
      </w:r>
    </w:p>
    <w:p w14:paraId="4ACA5823" w14:textId="1DB62459" w:rsidR="004B504F" w:rsidRPr="00C038C7" w:rsidRDefault="002E3D80" w:rsidP="00D617C5">
      <w:pPr>
        <w:spacing w:line="276" w:lineRule="auto"/>
        <w:jc w:val="both"/>
        <w:rPr>
          <w:rFonts w:ascii="Helvetica" w:hAnsi="Helvetica"/>
          <w:sz w:val="22"/>
          <w:szCs w:val="22"/>
        </w:rPr>
      </w:pPr>
      <w:r w:rsidRPr="00C038C7">
        <w:rPr>
          <w:rFonts w:ascii="Helvetica" w:hAnsi="Helvetica"/>
          <w:sz w:val="22"/>
          <w:szCs w:val="22"/>
        </w:rPr>
        <w:t xml:space="preserve">We used the age-related distribution of IFR </w:t>
      </w:r>
      <w:r w:rsidR="004B504F" w:rsidRPr="00C038C7">
        <w:rPr>
          <w:rFonts w:ascii="Helvetica" w:hAnsi="Helvetica"/>
          <w:sz w:val="22"/>
          <w:szCs w:val="22"/>
        </w:rPr>
        <w:t xml:space="preserve">and the population structure of the US to estimate the risk of death given infection for each person in the simulation. </w:t>
      </w:r>
    </w:p>
    <w:p w14:paraId="6F9D29B8" w14:textId="7B566B4E" w:rsidR="004B504F" w:rsidRPr="00C038C7" w:rsidRDefault="004B504F" w:rsidP="00D617C5">
      <w:pPr>
        <w:spacing w:line="276" w:lineRule="auto"/>
        <w:jc w:val="both"/>
        <w:rPr>
          <w:rFonts w:ascii="Helvetica" w:hAnsi="Helvetica"/>
          <w:sz w:val="22"/>
          <w:szCs w:val="22"/>
        </w:rPr>
      </w:pPr>
    </w:p>
    <w:p w14:paraId="3D5F8C18" w14:textId="6635F853" w:rsidR="004B504F" w:rsidRPr="00C038C7" w:rsidRDefault="007C26BE" w:rsidP="00D617C5">
      <w:pPr>
        <w:spacing w:line="276" w:lineRule="auto"/>
        <w:jc w:val="both"/>
        <w:rPr>
          <w:rFonts w:ascii="Helvetica" w:hAnsi="Helvetica"/>
          <w:sz w:val="22"/>
          <w:szCs w:val="22"/>
        </w:rPr>
      </w:pPr>
      <w:r w:rsidRPr="00C038C7">
        <w:rPr>
          <w:rFonts w:ascii="Helvetica" w:hAnsi="Helvetica"/>
          <w:sz w:val="22"/>
          <w:szCs w:val="22"/>
        </w:rPr>
        <w:t xml:space="preserve">Currently </w:t>
      </w:r>
      <w:r w:rsidR="007A6FED">
        <w:rPr>
          <w:rFonts w:ascii="Helvetica" w:hAnsi="Helvetica"/>
          <w:sz w:val="22"/>
          <w:szCs w:val="22"/>
        </w:rPr>
        <w:t xml:space="preserve">the model takes no account of any </w:t>
      </w:r>
      <w:r w:rsidR="00CE594A" w:rsidRPr="00C038C7">
        <w:rPr>
          <w:rFonts w:ascii="Helvetica" w:hAnsi="Helvetica"/>
          <w:sz w:val="22"/>
          <w:szCs w:val="22"/>
        </w:rPr>
        <w:t xml:space="preserve">association between mortality risk and </w:t>
      </w:r>
      <w:r w:rsidR="00B4280A" w:rsidRPr="00C038C7">
        <w:rPr>
          <w:rFonts w:ascii="Helvetica" w:hAnsi="Helvetica"/>
          <w:sz w:val="22"/>
          <w:szCs w:val="22"/>
        </w:rPr>
        <w:t xml:space="preserve">contact rate. </w:t>
      </w:r>
    </w:p>
    <w:p w14:paraId="69141008" w14:textId="11642E16" w:rsidR="00BC7D19" w:rsidRPr="00C038C7" w:rsidRDefault="00BC7D19" w:rsidP="00D617C5">
      <w:pPr>
        <w:spacing w:line="276" w:lineRule="auto"/>
        <w:jc w:val="both"/>
        <w:rPr>
          <w:rFonts w:ascii="Helvetica" w:hAnsi="Helvetica"/>
          <w:sz w:val="22"/>
          <w:szCs w:val="22"/>
        </w:rPr>
      </w:pPr>
    </w:p>
    <w:p w14:paraId="4B48C19C" w14:textId="0BD69019" w:rsidR="00270331" w:rsidRPr="00C038C7" w:rsidRDefault="00270331" w:rsidP="00D617C5">
      <w:pPr>
        <w:spacing w:line="276" w:lineRule="auto"/>
        <w:jc w:val="both"/>
        <w:rPr>
          <w:rFonts w:ascii="Helvetica" w:hAnsi="Helvetica"/>
          <w:b/>
          <w:bCs/>
          <w:sz w:val="22"/>
          <w:szCs w:val="22"/>
        </w:rPr>
      </w:pPr>
      <w:r w:rsidRPr="00C038C7">
        <w:rPr>
          <w:rFonts w:ascii="Helvetica" w:hAnsi="Helvetica"/>
          <w:b/>
          <w:bCs/>
          <w:sz w:val="22"/>
          <w:szCs w:val="22"/>
        </w:rPr>
        <w:t xml:space="preserve">Defining the vaccination strategy. </w:t>
      </w:r>
    </w:p>
    <w:p w14:paraId="4162CC26" w14:textId="37B9989E" w:rsidR="00A86355" w:rsidRPr="00C038C7" w:rsidRDefault="00A86355" w:rsidP="00D617C5">
      <w:pPr>
        <w:spacing w:line="276" w:lineRule="auto"/>
        <w:jc w:val="both"/>
        <w:rPr>
          <w:rFonts w:ascii="Helvetica" w:hAnsi="Helvetica"/>
          <w:sz w:val="22"/>
          <w:szCs w:val="22"/>
        </w:rPr>
      </w:pPr>
      <w:r w:rsidRPr="00C038C7">
        <w:rPr>
          <w:rFonts w:ascii="Helvetica" w:hAnsi="Helvetica"/>
          <w:sz w:val="22"/>
          <w:szCs w:val="22"/>
        </w:rPr>
        <w:t xml:space="preserve">Vaccination is assumed to start on a given day </w:t>
      </w:r>
      <w:r w:rsidR="006843F4" w:rsidRPr="00C038C7">
        <w:rPr>
          <w:rFonts w:ascii="Helvetica" w:hAnsi="Helvetica"/>
          <w:sz w:val="22"/>
          <w:szCs w:val="22"/>
        </w:rPr>
        <w:t xml:space="preserve">(default day = </w:t>
      </w:r>
      <w:r w:rsidR="005B35C5" w:rsidRPr="00C038C7">
        <w:rPr>
          <w:rFonts w:ascii="Helvetica" w:hAnsi="Helvetica"/>
          <w:sz w:val="22"/>
          <w:szCs w:val="22"/>
        </w:rPr>
        <w:t>15</w:t>
      </w:r>
      <w:r w:rsidR="006843F4" w:rsidRPr="00C038C7">
        <w:rPr>
          <w:rFonts w:ascii="Helvetica" w:hAnsi="Helvetica"/>
          <w:sz w:val="22"/>
          <w:szCs w:val="22"/>
        </w:rPr>
        <w:t xml:space="preserve">) </w:t>
      </w:r>
      <w:r w:rsidRPr="00C038C7">
        <w:rPr>
          <w:rFonts w:ascii="Helvetica" w:hAnsi="Helvetica"/>
          <w:sz w:val="22"/>
          <w:szCs w:val="22"/>
        </w:rPr>
        <w:t xml:space="preserve">and to proceed at </w:t>
      </w:r>
      <w:r w:rsidR="004D0458" w:rsidRPr="00C038C7">
        <w:rPr>
          <w:rFonts w:ascii="Helvetica" w:hAnsi="Helvetica"/>
          <w:sz w:val="22"/>
          <w:szCs w:val="22"/>
        </w:rPr>
        <w:t>a rate of 0.2% of the population per day</w:t>
      </w:r>
      <w:r w:rsidR="00DB5006" w:rsidRPr="00C038C7">
        <w:rPr>
          <w:rFonts w:ascii="Helvetica" w:hAnsi="Helvetica"/>
          <w:sz w:val="22"/>
          <w:szCs w:val="22"/>
        </w:rPr>
        <w:t>.</w:t>
      </w:r>
      <w:r w:rsidR="00DB5006" w:rsidRPr="00C038C7">
        <w:rPr>
          <w:rFonts w:ascii="Helvetica" w:hAnsi="Helvetica"/>
          <w:sz w:val="22"/>
          <w:szCs w:val="22"/>
        </w:rPr>
        <w:fldChar w:fldCharType="begin" w:fldLock="1"/>
      </w:r>
      <w:r w:rsidR="00DB5006" w:rsidRPr="00C038C7">
        <w:rPr>
          <w:rFonts w:ascii="Helvetica" w:hAnsi="Helvetica"/>
          <w:sz w:val="22"/>
          <w:szCs w:val="22"/>
        </w:rPr>
        <w:instrText>ADDIN CSL_CITATION {"citationItems":[{"id":"ITEM-1","itemData":{"abstract":"When a vaccine for COVID-19 becomes available, limited initial supply will raise the question of how to prioritize the available doses and thus underscores the need for transparent, evidence-based strategies that relate knowledge of, and uncertainty in, disease transmission, risk, vaccine efficacy, and existing population immunity. Here, we employ a model-informed approach to vaccine prioritization that evaluates the impact of prioritization strategies on cumulative incidence and mortality and accounts for population factors such as age, contact structure, and seroprevalence, and vaccine factors including imperfect and age-varying efficacy. This framework can be used to evaluate and compare existing strategies, and it can also be used to derive an optimal prioritization strategy to minimize mortality or incidence. We find that a transmission-blocking vaccine should be prioritized to adults ages 20-49y to minimize cumulative incidence and to adults over 60y to minimize mortality. Direct vaccination of adults over 60y minimizes mortality for vaccines that do not block transmission. We also estimate the potential benefit of using individual-level serological tests to redirect doses to only seronegative individuals, improving the marginal impact of each dose. We argue that this serology-informed vaccination approach may improve the efficiency of vaccination efforts while partially addressing existing inequities in COVID-19 burden and impact.\n\n### Competing Interest Statement\n\nML discloses honoraria/consulting from Merck, Affinivax, Sanofi-Pasteur, and Antigen Discovery; research funding (institutional) from Pfizer, and an unpaid scientific advice to Janssen, Astra-Zeneca, and Covaxx (United Biomedical).\n\n### Funding Statement\n\nThe work was supported in part by the Morris-Singer Fund for the Center for Communicable Disease Dynamics at the Harvard T.H. Chan School of Public Health. The work was supported in part by the Interdisciplinary Quantitative Biology (IQ Biology) PhD program at the BioFrontiers Institute, University of Colorado Boulder. \n\n###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below:\n\nN/A\n\nAll necessary patient/participant consent has been obtained and the appropriate institutional forms have been archived.\n\nYes\n\nI …","author":[{"dropping-particle":"","family":"Bubar","given":"Kate M","non-dropping-particle":"","parse-names":false,"suffix":""},{"dropping-particle":"","family":"Kissler","given":"Stephen M","non-dropping-particle":"","parse-names":false,"suffix":""},{"dropping-particle":"","family":"Lipsitch","given":"Marc","non-dropping-particle":"","parse-names":false,"suffix":""},{"dropping-particle":"","family":"Cobey","given":"Sarah","non-dropping-particle":"","parse-names":false,"suffix":""},{"dropping-particle":"","family":"Grad","given":"Yonatan","non-dropping-particle":"","parse-names":false,"suffix":""},{"dropping-particle":"","family":"Larremore","given":"Daniel B","non-dropping-particle":"","parse-names":false,"suffix":""}],"container-title":"medRxiv","id":"ITEM-1","issued":{"date-parts":[["2020"]]},"page":"2020.09.08.20190629","title":"Model-informed COVID-19 vaccine prioritization strategies by age and serostatus","type":"article-journal"},"uris":["http://www.mendeley.com/documents/?uuid=fedea397-b883-42dd-8195-a5dc0ac4a8bd"]}],"mendeley":{"formattedCitation":"&lt;sup&gt;3&lt;/sup&gt;","plainTextFormattedCitation":"3"},"properties":{"noteIndex":0},"schema":"https://github.com/citation-style-language/schema/raw/master/csl-citation.json"}</w:instrText>
      </w:r>
      <w:r w:rsidR="00DB5006" w:rsidRPr="00C038C7">
        <w:rPr>
          <w:rFonts w:ascii="Helvetica" w:hAnsi="Helvetica"/>
          <w:sz w:val="22"/>
          <w:szCs w:val="22"/>
        </w:rPr>
        <w:fldChar w:fldCharType="separate"/>
      </w:r>
      <w:r w:rsidR="00DB5006" w:rsidRPr="00C038C7">
        <w:rPr>
          <w:rFonts w:ascii="Helvetica" w:hAnsi="Helvetica"/>
          <w:noProof/>
          <w:sz w:val="22"/>
          <w:szCs w:val="22"/>
          <w:vertAlign w:val="superscript"/>
        </w:rPr>
        <w:t>3</w:t>
      </w:r>
      <w:r w:rsidR="00DB5006" w:rsidRPr="00C038C7">
        <w:rPr>
          <w:rFonts w:ascii="Helvetica" w:hAnsi="Helvetica"/>
          <w:sz w:val="22"/>
          <w:szCs w:val="22"/>
        </w:rPr>
        <w:fldChar w:fldCharType="end"/>
      </w:r>
      <w:r w:rsidR="00062FB2" w:rsidRPr="00C038C7">
        <w:rPr>
          <w:rFonts w:ascii="Helvetica" w:hAnsi="Helvetica"/>
          <w:sz w:val="22"/>
          <w:szCs w:val="22"/>
        </w:rPr>
        <w:t xml:space="preserve"> </w:t>
      </w:r>
      <w:r w:rsidR="006C4BE3" w:rsidRPr="00C038C7">
        <w:rPr>
          <w:rFonts w:ascii="Helvetica" w:hAnsi="Helvetica"/>
          <w:sz w:val="22"/>
          <w:szCs w:val="22"/>
        </w:rPr>
        <w:t xml:space="preserve">The user can input the vaccine efficacy </w:t>
      </w:r>
      <w:r w:rsidR="00151593" w:rsidRPr="00C038C7">
        <w:rPr>
          <w:rFonts w:ascii="Helvetica" w:hAnsi="Helvetica"/>
          <w:sz w:val="22"/>
          <w:szCs w:val="22"/>
        </w:rPr>
        <w:t>for blocking death (</w:t>
      </w:r>
      <w:r w:rsidR="00EA1530" w:rsidRPr="00C038C7">
        <w:rPr>
          <w:rFonts w:ascii="Helvetica" w:hAnsi="Helvetica"/>
          <w:sz w:val="22"/>
          <w:szCs w:val="22"/>
        </w:rPr>
        <w:t xml:space="preserve">default = 95%), blocking transmission (default = 50%), and blocking infection (default = 50%). </w:t>
      </w:r>
      <w:r w:rsidR="00446CD4" w:rsidRPr="00C038C7">
        <w:rPr>
          <w:rFonts w:ascii="Helvetica" w:hAnsi="Helvetica"/>
          <w:sz w:val="22"/>
          <w:szCs w:val="22"/>
        </w:rPr>
        <w:t xml:space="preserve">It is possible to </w:t>
      </w:r>
      <w:r w:rsidR="002238DA" w:rsidRPr="00C038C7">
        <w:rPr>
          <w:rFonts w:ascii="Helvetica" w:hAnsi="Helvetica"/>
          <w:sz w:val="22"/>
          <w:szCs w:val="22"/>
        </w:rPr>
        <w:t xml:space="preserve">prioritize vaccination based on risk of death, contact rate, or at random. </w:t>
      </w:r>
      <w:r w:rsidR="00397746" w:rsidRPr="00C038C7">
        <w:rPr>
          <w:rFonts w:ascii="Helvetica" w:hAnsi="Helvetica"/>
          <w:sz w:val="22"/>
          <w:szCs w:val="22"/>
        </w:rPr>
        <w:t xml:space="preserve">The strategy is allowed to switch </w:t>
      </w:r>
      <w:r w:rsidR="007A662E" w:rsidRPr="00C038C7">
        <w:rPr>
          <w:rFonts w:ascii="Helvetica" w:hAnsi="Helvetica"/>
          <w:sz w:val="22"/>
          <w:szCs w:val="22"/>
        </w:rPr>
        <w:t xml:space="preserve">once </w:t>
      </w:r>
      <w:r w:rsidR="001E5E1A" w:rsidRPr="00C038C7">
        <w:rPr>
          <w:rFonts w:ascii="Helvetica" w:hAnsi="Helvetica"/>
          <w:sz w:val="22"/>
          <w:szCs w:val="22"/>
        </w:rPr>
        <w:t xml:space="preserve">certain percentages of the population have been vaccinated. The default strategy is to vaccinate </w:t>
      </w:r>
      <w:r w:rsidR="001A535B" w:rsidRPr="00C038C7">
        <w:rPr>
          <w:rFonts w:ascii="Helvetica" w:hAnsi="Helvetica"/>
          <w:sz w:val="22"/>
          <w:szCs w:val="22"/>
        </w:rPr>
        <w:t xml:space="preserve">the highest-risk individuals until </w:t>
      </w:r>
      <w:r w:rsidR="008646A7" w:rsidRPr="00C038C7">
        <w:rPr>
          <w:rFonts w:ascii="Helvetica" w:hAnsi="Helvetica"/>
          <w:sz w:val="22"/>
          <w:szCs w:val="22"/>
        </w:rPr>
        <w:t xml:space="preserve">10% of the population has been vaccinated, then to vaccinate the highest-contact individuals until 60% of the population has been vaccinated. </w:t>
      </w:r>
      <w:r w:rsidR="0000089A" w:rsidRPr="00C038C7">
        <w:rPr>
          <w:rFonts w:ascii="Helvetica" w:hAnsi="Helvetica"/>
          <w:sz w:val="22"/>
          <w:szCs w:val="22"/>
        </w:rPr>
        <w:t xml:space="preserve">Vaccination ends after 60% uptake to </w:t>
      </w:r>
      <w:r w:rsidR="004F6327" w:rsidRPr="00C038C7">
        <w:rPr>
          <w:rFonts w:ascii="Helvetica" w:hAnsi="Helvetica"/>
          <w:sz w:val="22"/>
          <w:szCs w:val="22"/>
        </w:rPr>
        <w:t xml:space="preserve">model </w:t>
      </w:r>
      <w:r w:rsidR="004571EF" w:rsidRPr="00C038C7">
        <w:rPr>
          <w:rFonts w:ascii="Helvetica" w:hAnsi="Helvetica"/>
          <w:sz w:val="22"/>
          <w:szCs w:val="22"/>
        </w:rPr>
        <w:t xml:space="preserve">vaccine hesitancy. </w:t>
      </w:r>
    </w:p>
    <w:p w14:paraId="286E1AAE" w14:textId="77777777" w:rsidR="00270331" w:rsidRPr="00C038C7" w:rsidRDefault="00270331" w:rsidP="00D617C5">
      <w:pPr>
        <w:spacing w:line="276" w:lineRule="auto"/>
        <w:jc w:val="both"/>
        <w:rPr>
          <w:rFonts w:ascii="Helvetica" w:hAnsi="Helvetica"/>
          <w:sz w:val="22"/>
          <w:szCs w:val="22"/>
        </w:rPr>
      </w:pPr>
    </w:p>
    <w:p w14:paraId="47AA6564" w14:textId="108F8386" w:rsidR="00BC7D19" w:rsidRPr="00C038C7" w:rsidRDefault="0099049E" w:rsidP="00D617C5">
      <w:pPr>
        <w:spacing w:line="276" w:lineRule="auto"/>
        <w:jc w:val="both"/>
        <w:rPr>
          <w:rFonts w:ascii="Helvetica" w:hAnsi="Helvetica"/>
          <w:sz w:val="22"/>
          <w:szCs w:val="22"/>
        </w:rPr>
      </w:pPr>
      <w:r w:rsidRPr="00C038C7">
        <w:rPr>
          <w:rFonts w:ascii="Helvetica" w:hAnsi="Helvetica"/>
          <w:b/>
          <w:bCs/>
          <w:sz w:val="22"/>
          <w:szCs w:val="22"/>
        </w:rPr>
        <w:t xml:space="preserve">Running the simulation. </w:t>
      </w:r>
    </w:p>
    <w:p w14:paraId="6CB569CB" w14:textId="0A28F76F" w:rsidR="00FF4894" w:rsidRPr="00C038C7" w:rsidRDefault="00FF4894" w:rsidP="00D617C5">
      <w:pPr>
        <w:spacing w:line="276" w:lineRule="auto"/>
        <w:jc w:val="both"/>
        <w:rPr>
          <w:rFonts w:ascii="Helvetica" w:hAnsi="Helvetica"/>
          <w:sz w:val="22"/>
          <w:szCs w:val="22"/>
        </w:rPr>
      </w:pPr>
      <w:r w:rsidRPr="00C038C7">
        <w:rPr>
          <w:rFonts w:ascii="Helvetica" w:hAnsi="Helvetica"/>
          <w:sz w:val="22"/>
          <w:szCs w:val="22"/>
        </w:rPr>
        <w:t xml:space="preserve">At the beginning of the simulation, we produce a network </w:t>
      </w:r>
      <w:r w:rsidR="00B46ECB" w:rsidRPr="00C038C7">
        <w:rPr>
          <w:rFonts w:ascii="Helvetica" w:hAnsi="Helvetica"/>
          <w:sz w:val="22"/>
          <w:szCs w:val="22"/>
        </w:rPr>
        <w:t>that is consistent with the negative binomial contact rate</w:t>
      </w:r>
      <w:r w:rsidR="004E5CBF" w:rsidRPr="00C038C7">
        <w:rPr>
          <w:rFonts w:ascii="Helvetica" w:hAnsi="Helvetica"/>
          <w:sz w:val="22"/>
          <w:szCs w:val="22"/>
        </w:rPr>
        <w:t xml:space="preserve">. </w:t>
      </w:r>
      <w:r w:rsidR="008258C6" w:rsidRPr="00C038C7">
        <w:rPr>
          <w:rFonts w:ascii="Helvetica" w:hAnsi="Helvetica"/>
          <w:sz w:val="22"/>
          <w:szCs w:val="22"/>
        </w:rPr>
        <w:t xml:space="preserve">This network stays fixed throughout the </w:t>
      </w:r>
      <w:r w:rsidR="00180CDE" w:rsidRPr="00C038C7">
        <w:rPr>
          <w:rFonts w:ascii="Helvetica" w:hAnsi="Helvetica"/>
          <w:sz w:val="22"/>
          <w:szCs w:val="22"/>
        </w:rPr>
        <w:t>simulation. In a sensitivity analysis, we allow the network to change every day</w:t>
      </w:r>
      <w:r w:rsidR="008C2D78" w:rsidRPr="00C038C7">
        <w:rPr>
          <w:rFonts w:ascii="Helvetica" w:hAnsi="Helvetica"/>
          <w:sz w:val="22"/>
          <w:szCs w:val="22"/>
        </w:rPr>
        <w:t xml:space="preserve">. </w:t>
      </w:r>
    </w:p>
    <w:p w14:paraId="60A90DA7" w14:textId="507D9F93" w:rsidR="008C2D78" w:rsidRPr="00C038C7" w:rsidRDefault="008C2D78" w:rsidP="00D617C5">
      <w:pPr>
        <w:spacing w:line="276" w:lineRule="auto"/>
        <w:jc w:val="both"/>
        <w:rPr>
          <w:rFonts w:ascii="Helvetica" w:hAnsi="Helvetica"/>
          <w:sz w:val="22"/>
          <w:szCs w:val="22"/>
        </w:rPr>
      </w:pPr>
    </w:p>
    <w:p w14:paraId="5D7BB6E2" w14:textId="6C682FA6" w:rsidR="00FD4FB6" w:rsidRDefault="002E24CA" w:rsidP="00D617C5">
      <w:pPr>
        <w:spacing w:line="276" w:lineRule="auto"/>
        <w:jc w:val="both"/>
        <w:rPr>
          <w:rFonts w:ascii="Helvetica" w:hAnsi="Helvetica"/>
          <w:sz w:val="22"/>
          <w:szCs w:val="22"/>
        </w:rPr>
      </w:pPr>
      <w:r w:rsidRPr="00C038C7">
        <w:rPr>
          <w:rFonts w:ascii="Helvetica" w:hAnsi="Helvetica"/>
          <w:sz w:val="22"/>
          <w:szCs w:val="22"/>
        </w:rPr>
        <w:t>In each simulated day, the model proposes a new set of individuals to enter the “exposed” category, the “infectious” category and the “recovered</w:t>
      </w:r>
      <w:r w:rsidR="0068766D" w:rsidRPr="00C038C7">
        <w:rPr>
          <w:rFonts w:ascii="Helvetica" w:hAnsi="Helvetica"/>
          <w:sz w:val="22"/>
          <w:szCs w:val="22"/>
        </w:rPr>
        <w:t>/removed</w:t>
      </w:r>
      <w:r w:rsidRPr="00C038C7">
        <w:rPr>
          <w:rFonts w:ascii="Helvetica" w:hAnsi="Helvetica"/>
          <w:sz w:val="22"/>
          <w:szCs w:val="22"/>
        </w:rPr>
        <w:t xml:space="preserve">” category. </w:t>
      </w:r>
      <w:r w:rsidR="00002A9E" w:rsidRPr="00C038C7">
        <w:rPr>
          <w:rFonts w:ascii="Helvetica" w:hAnsi="Helvetica"/>
          <w:sz w:val="22"/>
          <w:szCs w:val="22"/>
        </w:rPr>
        <w:t>Among the individuals who enter the “</w:t>
      </w:r>
      <w:r w:rsidR="0037486E" w:rsidRPr="00C038C7">
        <w:rPr>
          <w:rFonts w:ascii="Helvetica" w:hAnsi="Helvetica"/>
          <w:sz w:val="22"/>
          <w:szCs w:val="22"/>
        </w:rPr>
        <w:t>re</w:t>
      </w:r>
      <w:r w:rsidR="00002A9E" w:rsidRPr="00C038C7">
        <w:rPr>
          <w:rFonts w:ascii="Helvetica" w:hAnsi="Helvetica"/>
          <w:sz w:val="22"/>
          <w:szCs w:val="22"/>
        </w:rPr>
        <w:t>covered</w:t>
      </w:r>
      <w:r w:rsidR="0037486E" w:rsidRPr="00C038C7">
        <w:rPr>
          <w:rFonts w:ascii="Helvetica" w:hAnsi="Helvetica"/>
          <w:sz w:val="22"/>
          <w:szCs w:val="22"/>
        </w:rPr>
        <w:t>/removed</w:t>
      </w:r>
      <w:r w:rsidR="00002A9E" w:rsidRPr="00C038C7">
        <w:rPr>
          <w:rFonts w:ascii="Helvetica" w:hAnsi="Helvetica"/>
          <w:sz w:val="22"/>
          <w:szCs w:val="22"/>
        </w:rPr>
        <w:t>” category, de</w:t>
      </w:r>
      <w:r w:rsidR="00D470A6" w:rsidRPr="00C038C7">
        <w:rPr>
          <w:rFonts w:ascii="Helvetica" w:hAnsi="Helvetica"/>
          <w:sz w:val="22"/>
          <w:szCs w:val="22"/>
        </w:rPr>
        <w:t>a</w:t>
      </w:r>
      <w:r w:rsidR="00002A9E" w:rsidRPr="00C038C7">
        <w:rPr>
          <w:rFonts w:ascii="Helvetica" w:hAnsi="Helvetica"/>
          <w:sz w:val="22"/>
          <w:szCs w:val="22"/>
        </w:rPr>
        <w:t>ths are sa</w:t>
      </w:r>
      <w:r w:rsidR="00AB2A92" w:rsidRPr="00C038C7">
        <w:rPr>
          <w:rFonts w:ascii="Helvetica" w:hAnsi="Helvetica"/>
          <w:sz w:val="22"/>
          <w:szCs w:val="22"/>
        </w:rPr>
        <w:t>m</w:t>
      </w:r>
      <w:r w:rsidR="00002A9E" w:rsidRPr="00C038C7">
        <w:rPr>
          <w:rFonts w:ascii="Helvetica" w:hAnsi="Helvetica"/>
          <w:sz w:val="22"/>
          <w:szCs w:val="22"/>
        </w:rPr>
        <w:t>pled according to each person’s IFR.</w:t>
      </w:r>
    </w:p>
    <w:p w14:paraId="73F8D5AF" w14:textId="2C2A8772" w:rsidR="008D5EF3" w:rsidRDefault="008D5EF3" w:rsidP="00D617C5">
      <w:pPr>
        <w:spacing w:line="276" w:lineRule="auto"/>
        <w:jc w:val="both"/>
        <w:rPr>
          <w:rFonts w:ascii="Helvetica" w:hAnsi="Helvetica"/>
          <w:sz w:val="22"/>
          <w:szCs w:val="22"/>
        </w:rPr>
      </w:pPr>
    </w:p>
    <w:p w14:paraId="769AF767" w14:textId="22583928" w:rsidR="008D5EF3" w:rsidRDefault="008D5EF3" w:rsidP="00D617C5">
      <w:pPr>
        <w:spacing w:line="276" w:lineRule="auto"/>
        <w:jc w:val="both"/>
        <w:rPr>
          <w:rFonts w:ascii="Helvetica" w:hAnsi="Helvetica"/>
          <w:b/>
          <w:bCs/>
          <w:sz w:val="22"/>
          <w:szCs w:val="22"/>
        </w:rPr>
      </w:pPr>
      <w:r>
        <w:rPr>
          <w:rFonts w:ascii="Helvetica" w:hAnsi="Helvetica"/>
          <w:b/>
          <w:bCs/>
          <w:sz w:val="22"/>
          <w:szCs w:val="22"/>
        </w:rPr>
        <w:t>RESULTS</w:t>
      </w:r>
    </w:p>
    <w:p w14:paraId="3FB5171F" w14:textId="5985F81E" w:rsidR="007A390B" w:rsidRDefault="007A390B" w:rsidP="00D617C5">
      <w:pPr>
        <w:spacing w:line="276" w:lineRule="auto"/>
        <w:jc w:val="both"/>
        <w:rPr>
          <w:rFonts w:ascii="Helvetica" w:hAnsi="Helvetica"/>
          <w:b/>
          <w:bCs/>
          <w:sz w:val="22"/>
          <w:szCs w:val="22"/>
        </w:rPr>
      </w:pPr>
    </w:p>
    <w:p w14:paraId="038C6AD2" w14:textId="5414085E" w:rsidR="007A390B" w:rsidRPr="007A390B" w:rsidRDefault="007A390B" w:rsidP="00D617C5">
      <w:pPr>
        <w:spacing w:line="276" w:lineRule="auto"/>
        <w:jc w:val="both"/>
        <w:rPr>
          <w:rFonts w:ascii="Helvetica" w:hAnsi="Helvetica"/>
          <w:sz w:val="22"/>
          <w:szCs w:val="22"/>
        </w:rPr>
      </w:pPr>
      <w:r>
        <w:rPr>
          <w:rFonts w:ascii="Helvetica" w:hAnsi="Helvetica"/>
          <w:sz w:val="22"/>
          <w:szCs w:val="22"/>
        </w:rPr>
        <w:t>A)                                                                        B)</w:t>
      </w:r>
    </w:p>
    <w:p w14:paraId="72F7647E" w14:textId="1F91D30B" w:rsidR="00F02656" w:rsidRDefault="007A390B" w:rsidP="00D617C5">
      <w:pPr>
        <w:spacing w:line="276" w:lineRule="auto"/>
        <w:jc w:val="both"/>
        <w:rPr>
          <w:rFonts w:ascii="Helvetica" w:hAnsi="Helvetica"/>
          <w:b/>
          <w:bCs/>
          <w:sz w:val="22"/>
          <w:szCs w:val="22"/>
        </w:rPr>
      </w:pPr>
      <w:r>
        <w:rPr>
          <w:rFonts w:ascii="Helvetica" w:hAnsi="Helvetica"/>
          <w:b/>
          <w:bCs/>
          <w:noProof/>
          <w:sz w:val="22"/>
          <w:szCs w:val="22"/>
        </w:rPr>
        <w:drawing>
          <wp:inline distT="0" distB="0" distL="0" distR="0" wp14:anchorId="1AC40BAD" wp14:editId="7D92F849">
            <wp:extent cx="2926080" cy="170031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700315"/>
                    </a:xfrm>
                    <a:prstGeom prst="rect">
                      <a:avLst/>
                    </a:prstGeom>
                  </pic:spPr>
                </pic:pic>
              </a:graphicData>
            </a:graphic>
          </wp:inline>
        </w:drawing>
      </w:r>
      <w:r>
        <w:rPr>
          <w:rFonts w:ascii="Helvetica" w:hAnsi="Helvetica"/>
          <w:b/>
          <w:bCs/>
          <w:noProof/>
          <w:sz w:val="22"/>
          <w:szCs w:val="22"/>
        </w:rPr>
        <w:drawing>
          <wp:inline distT="0" distB="0" distL="0" distR="0" wp14:anchorId="2930F02B" wp14:editId="195E80F5">
            <wp:extent cx="2926080" cy="1698752"/>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698752"/>
                    </a:xfrm>
                    <a:prstGeom prst="rect">
                      <a:avLst/>
                    </a:prstGeom>
                  </pic:spPr>
                </pic:pic>
              </a:graphicData>
            </a:graphic>
          </wp:inline>
        </w:drawing>
      </w:r>
    </w:p>
    <w:p w14:paraId="385A1F1E" w14:textId="4D486455" w:rsidR="007A390B" w:rsidRPr="00155C32" w:rsidRDefault="00155C32" w:rsidP="00155C32">
      <w:pPr>
        <w:pStyle w:val="Caption"/>
        <w:rPr>
          <w:rFonts w:ascii="Helvetica" w:hAnsi="Helvetica"/>
          <w:i w:val="0"/>
          <w:iCs w:val="0"/>
          <w:color w:val="000000" w:themeColor="text1"/>
        </w:rPr>
      </w:pPr>
      <w:r w:rsidRPr="00155C32">
        <w:rPr>
          <w:rFonts w:ascii="Helvetica" w:hAnsi="Helvetica"/>
          <w:b/>
          <w:bCs/>
          <w:i w:val="0"/>
          <w:iCs w:val="0"/>
          <w:color w:val="000000" w:themeColor="text1"/>
        </w:rPr>
        <w:t xml:space="preserve">Figure </w:t>
      </w:r>
      <w:r w:rsidRPr="00155C32">
        <w:rPr>
          <w:rFonts w:ascii="Helvetica" w:hAnsi="Helvetica"/>
          <w:b/>
          <w:bCs/>
          <w:i w:val="0"/>
          <w:iCs w:val="0"/>
          <w:color w:val="000000" w:themeColor="text1"/>
        </w:rPr>
        <w:fldChar w:fldCharType="begin"/>
      </w:r>
      <w:r w:rsidRPr="00155C32">
        <w:rPr>
          <w:rFonts w:ascii="Helvetica" w:hAnsi="Helvetica"/>
          <w:b/>
          <w:bCs/>
          <w:i w:val="0"/>
          <w:iCs w:val="0"/>
          <w:color w:val="000000" w:themeColor="text1"/>
        </w:rPr>
        <w:instrText xml:space="preserve"> SEQ Figure \* ARABIC </w:instrText>
      </w:r>
      <w:r w:rsidRPr="00155C32">
        <w:rPr>
          <w:rFonts w:ascii="Helvetica" w:hAnsi="Helvetica"/>
          <w:b/>
          <w:bCs/>
          <w:i w:val="0"/>
          <w:iCs w:val="0"/>
          <w:color w:val="000000" w:themeColor="text1"/>
        </w:rPr>
        <w:fldChar w:fldCharType="separate"/>
      </w:r>
      <w:r w:rsidRPr="00155C32">
        <w:rPr>
          <w:rFonts w:ascii="Helvetica" w:hAnsi="Helvetica"/>
          <w:b/>
          <w:bCs/>
          <w:i w:val="0"/>
          <w:iCs w:val="0"/>
          <w:noProof/>
          <w:color w:val="000000" w:themeColor="text1"/>
        </w:rPr>
        <w:t>2</w:t>
      </w:r>
      <w:r w:rsidRPr="00155C32">
        <w:rPr>
          <w:rFonts w:ascii="Helvetica" w:hAnsi="Helvetica"/>
          <w:b/>
          <w:bCs/>
          <w:i w:val="0"/>
          <w:iCs w:val="0"/>
          <w:color w:val="000000" w:themeColor="text1"/>
        </w:rPr>
        <w:fldChar w:fldCharType="end"/>
      </w:r>
      <w:r w:rsidRPr="00155C32">
        <w:rPr>
          <w:rFonts w:ascii="Helvetica" w:hAnsi="Helvetica"/>
          <w:b/>
          <w:bCs/>
          <w:i w:val="0"/>
          <w:iCs w:val="0"/>
          <w:color w:val="000000" w:themeColor="text1"/>
        </w:rPr>
        <w:t xml:space="preserve">. </w:t>
      </w:r>
      <w:r w:rsidR="00F4129D" w:rsidRPr="00155C32">
        <w:rPr>
          <w:rFonts w:ascii="Helvetica" w:hAnsi="Helvetica"/>
          <w:i w:val="0"/>
          <w:iCs w:val="0"/>
          <w:color w:val="000000" w:themeColor="text1"/>
        </w:rPr>
        <w:t xml:space="preserve">Vaccination strategies 1 and 2 include no transmission/infection </w:t>
      </w:r>
      <w:r w:rsidR="009279C8" w:rsidRPr="00155C32">
        <w:rPr>
          <w:rFonts w:ascii="Helvetica" w:hAnsi="Helvetica"/>
          <w:i w:val="0"/>
          <w:iCs w:val="0"/>
          <w:color w:val="000000" w:themeColor="text1"/>
        </w:rPr>
        <w:t>reduction</w:t>
      </w:r>
      <w:r w:rsidR="00F4129D" w:rsidRPr="00155C32">
        <w:rPr>
          <w:rFonts w:ascii="Helvetica" w:hAnsi="Helvetica"/>
          <w:i w:val="0"/>
          <w:iCs w:val="0"/>
          <w:color w:val="000000" w:themeColor="text1"/>
        </w:rPr>
        <w:t xml:space="preserve">. </w:t>
      </w:r>
      <w:r w:rsidR="009279C8" w:rsidRPr="00155C32">
        <w:rPr>
          <w:rFonts w:ascii="Helvetica" w:hAnsi="Helvetica"/>
          <w:i w:val="0"/>
          <w:iCs w:val="0"/>
          <w:color w:val="000000" w:themeColor="text1"/>
        </w:rPr>
        <w:t>Strategies</w:t>
      </w:r>
      <w:r w:rsidR="00F4129D" w:rsidRPr="00155C32">
        <w:rPr>
          <w:rFonts w:ascii="Helvetica" w:hAnsi="Helvetica"/>
          <w:i w:val="0"/>
          <w:iCs w:val="0"/>
          <w:color w:val="000000" w:themeColor="text1"/>
        </w:rPr>
        <w:t xml:space="preserve"> 3 and 4 include 50% reduction in transmission and infection. </w:t>
      </w:r>
      <w:r w:rsidR="009279C8" w:rsidRPr="00155C32">
        <w:rPr>
          <w:rFonts w:ascii="Helvetica" w:hAnsi="Helvetica"/>
          <w:i w:val="0"/>
          <w:iCs w:val="0"/>
          <w:color w:val="000000" w:themeColor="text1"/>
        </w:rPr>
        <w:t xml:space="preserve">Strategies 1 and 3 </w:t>
      </w:r>
      <w:proofErr w:type="gramStart"/>
      <w:r w:rsidR="009279C8" w:rsidRPr="00155C32">
        <w:rPr>
          <w:rFonts w:ascii="Helvetica" w:hAnsi="Helvetica"/>
          <w:i w:val="0"/>
          <w:iCs w:val="0"/>
          <w:color w:val="000000" w:themeColor="text1"/>
        </w:rPr>
        <w:t>switch</w:t>
      </w:r>
      <w:proofErr w:type="gramEnd"/>
      <w:r w:rsidR="009279C8" w:rsidRPr="00155C32">
        <w:rPr>
          <w:rFonts w:ascii="Helvetica" w:hAnsi="Helvetica"/>
          <w:i w:val="0"/>
          <w:iCs w:val="0"/>
          <w:color w:val="000000" w:themeColor="text1"/>
        </w:rPr>
        <w:t xml:space="preserve"> from prioritizing morbidity to prioritizing contact rates at 10% of the population vaccinated. Strategies 2 and 4 </w:t>
      </w:r>
      <w:proofErr w:type="gramStart"/>
      <w:r w:rsidR="009279C8" w:rsidRPr="00155C32">
        <w:rPr>
          <w:rFonts w:ascii="Helvetica" w:hAnsi="Helvetica"/>
          <w:i w:val="0"/>
          <w:iCs w:val="0"/>
          <w:color w:val="000000" w:themeColor="text1"/>
        </w:rPr>
        <w:t>switch</w:t>
      </w:r>
      <w:proofErr w:type="gramEnd"/>
      <w:r w:rsidR="009279C8" w:rsidRPr="00155C32">
        <w:rPr>
          <w:rFonts w:ascii="Helvetica" w:hAnsi="Helvetica"/>
          <w:i w:val="0"/>
          <w:iCs w:val="0"/>
          <w:color w:val="000000" w:themeColor="text1"/>
        </w:rPr>
        <w:t xml:space="preserve"> at </w:t>
      </w:r>
      <w:r w:rsidR="007B6A93" w:rsidRPr="00155C32">
        <w:rPr>
          <w:rFonts w:ascii="Helvetica" w:hAnsi="Helvetica"/>
          <w:i w:val="0"/>
          <w:iCs w:val="0"/>
          <w:color w:val="000000" w:themeColor="text1"/>
        </w:rPr>
        <w:t xml:space="preserve">50% of the </w:t>
      </w:r>
      <w:r w:rsidR="000C529B" w:rsidRPr="00155C32">
        <w:rPr>
          <w:rFonts w:ascii="Helvetica" w:hAnsi="Helvetica"/>
          <w:i w:val="0"/>
          <w:iCs w:val="0"/>
          <w:color w:val="000000" w:themeColor="text1"/>
        </w:rPr>
        <w:t>population</w:t>
      </w:r>
      <w:r w:rsidR="007B6A93" w:rsidRPr="00155C32">
        <w:rPr>
          <w:rFonts w:ascii="Helvetica" w:hAnsi="Helvetica"/>
          <w:i w:val="0"/>
          <w:iCs w:val="0"/>
          <w:color w:val="000000" w:themeColor="text1"/>
        </w:rPr>
        <w:t xml:space="preserve"> vaccinated. </w:t>
      </w:r>
    </w:p>
    <w:p w14:paraId="345B9F4B" w14:textId="77777777" w:rsidR="00F02656" w:rsidRPr="008D5EF3" w:rsidRDefault="00F02656" w:rsidP="00D617C5">
      <w:pPr>
        <w:spacing w:line="276" w:lineRule="auto"/>
        <w:jc w:val="both"/>
        <w:rPr>
          <w:rFonts w:ascii="Helvetica" w:hAnsi="Helvetica"/>
          <w:b/>
          <w:bCs/>
          <w:sz w:val="22"/>
          <w:szCs w:val="22"/>
        </w:rPr>
      </w:pPr>
    </w:p>
    <w:p w14:paraId="70886813" w14:textId="77777777" w:rsidR="00FD4FB6" w:rsidRPr="00C038C7" w:rsidRDefault="00FD4FB6" w:rsidP="00D617C5">
      <w:pPr>
        <w:spacing w:line="276" w:lineRule="auto"/>
        <w:jc w:val="both"/>
        <w:rPr>
          <w:rFonts w:ascii="Helvetica" w:hAnsi="Helvetica"/>
          <w:sz w:val="22"/>
          <w:szCs w:val="22"/>
        </w:rPr>
      </w:pPr>
    </w:p>
    <w:p w14:paraId="3F8F3BD8" w14:textId="6517C4C8" w:rsidR="004E43DC" w:rsidRPr="00C038C7" w:rsidRDefault="00002A9E" w:rsidP="00D617C5">
      <w:pPr>
        <w:spacing w:line="276" w:lineRule="auto"/>
        <w:jc w:val="both"/>
        <w:rPr>
          <w:rFonts w:ascii="Helvetica" w:hAnsi="Helvetica"/>
          <w:sz w:val="22"/>
          <w:szCs w:val="22"/>
        </w:rPr>
      </w:pPr>
      <w:r w:rsidRPr="00C038C7">
        <w:rPr>
          <w:rFonts w:ascii="Helvetica" w:hAnsi="Helvetica"/>
          <w:sz w:val="22"/>
          <w:szCs w:val="22"/>
        </w:rPr>
        <w:t xml:space="preserve"> </w:t>
      </w:r>
    </w:p>
    <w:p w14:paraId="45495CD0" w14:textId="322BBA26" w:rsidR="00690431" w:rsidRPr="00B73EC0" w:rsidRDefault="004E43DC" w:rsidP="00D617C5">
      <w:pPr>
        <w:spacing w:line="276" w:lineRule="auto"/>
        <w:jc w:val="both"/>
        <w:rPr>
          <w:rFonts w:ascii="Helvetica" w:hAnsi="Helvetica"/>
          <w:b/>
          <w:bCs/>
          <w:sz w:val="22"/>
          <w:szCs w:val="22"/>
        </w:rPr>
      </w:pPr>
      <w:r w:rsidRPr="00B73EC0">
        <w:rPr>
          <w:rFonts w:ascii="Helvetica" w:hAnsi="Helvetica"/>
          <w:b/>
          <w:bCs/>
          <w:sz w:val="22"/>
          <w:szCs w:val="22"/>
        </w:rPr>
        <w:lastRenderedPageBreak/>
        <w:t>REFERENCES</w:t>
      </w:r>
    </w:p>
    <w:p w14:paraId="52912403" w14:textId="251F699F" w:rsidR="004E43DC" w:rsidRPr="00C038C7" w:rsidRDefault="004E43DC" w:rsidP="00D617C5">
      <w:pPr>
        <w:spacing w:line="276" w:lineRule="auto"/>
        <w:jc w:val="both"/>
        <w:rPr>
          <w:rFonts w:ascii="Helvetica" w:hAnsi="Helvetica"/>
          <w:sz w:val="22"/>
          <w:szCs w:val="22"/>
        </w:rPr>
      </w:pPr>
    </w:p>
    <w:p w14:paraId="6D42B87B" w14:textId="30196111" w:rsidR="00DB5006" w:rsidRPr="00C038C7" w:rsidRDefault="004E43DC" w:rsidP="00727D67">
      <w:pPr>
        <w:widowControl w:val="0"/>
        <w:autoSpaceDE w:val="0"/>
        <w:autoSpaceDN w:val="0"/>
        <w:adjustRightInd w:val="0"/>
        <w:spacing w:line="276" w:lineRule="auto"/>
        <w:ind w:left="640" w:hanging="640"/>
        <w:rPr>
          <w:rFonts w:ascii="Helvetica" w:hAnsi="Helvetica" w:cs="Times New Roman"/>
          <w:noProof/>
          <w:sz w:val="22"/>
          <w:szCs w:val="22"/>
        </w:rPr>
      </w:pPr>
      <w:r w:rsidRPr="00C038C7">
        <w:rPr>
          <w:rFonts w:ascii="Helvetica" w:hAnsi="Helvetica"/>
          <w:sz w:val="22"/>
          <w:szCs w:val="22"/>
        </w:rPr>
        <w:fldChar w:fldCharType="begin" w:fldLock="1"/>
      </w:r>
      <w:r w:rsidRPr="00C038C7">
        <w:rPr>
          <w:rFonts w:ascii="Helvetica" w:hAnsi="Helvetica"/>
          <w:sz w:val="22"/>
          <w:szCs w:val="22"/>
        </w:rPr>
        <w:instrText xml:space="preserve">ADDIN Mendeley Bibliography CSL_BIBLIOGRAPHY </w:instrText>
      </w:r>
      <w:r w:rsidRPr="00C038C7">
        <w:rPr>
          <w:rFonts w:ascii="Helvetica" w:hAnsi="Helvetica"/>
          <w:sz w:val="22"/>
          <w:szCs w:val="22"/>
        </w:rPr>
        <w:fldChar w:fldCharType="separate"/>
      </w:r>
      <w:r w:rsidR="00DB5006" w:rsidRPr="00C038C7">
        <w:rPr>
          <w:rFonts w:ascii="Helvetica" w:hAnsi="Helvetica" w:cs="Times New Roman"/>
          <w:noProof/>
          <w:sz w:val="22"/>
          <w:szCs w:val="22"/>
        </w:rPr>
        <w:t xml:space="preserve">1. </w:t>
      </w:r>
      <w:r w:rsidR="00DB5006" w:rsidRPr="00C038C7">
        <w:rPr>
          <w:rFonts w:ascii="Helvetica" w:hAnsi="Helvetica" w:cs="Times New Roman"/>
          <w:noProof/>
          <w:sz w:val="22"/>
          <w:szCs w:val="22"/>
        </w:rPr>
        <w:tab/>
        <w:t xml:space="preserve">Bubar KM, Reinholt K, Kissler SM, Lipsitch M, Cobey S, Grad YH, et al. Model-informed COVID-19 vaccine prioritization strategies by age and serostatus. </w:t>
      </w:r>
      <w:r w:rsidR="00DB5006" w:rsidRPr="00C038C7">
        <w:rPr>
          <w:rFonts w:ascii="Helvetica" w:hAnsi="Helvetica" w:cs="Times New Roman"/>
          <w:i/>
          <w:iCs/>
          <w:noProof/>
          <w:sz w:val="22"/>
          <w:szCs w:val="22"/>
        </w:rPr>
        <w:t>Science (80- )</w:t>
      </w:r>
      <w:r w:rsidR="00DB5006" w:rsidRPr="00C038C7">
        <w:rPr>
          <w:rFonts w:ascii="Helvetica" w:hAnsi="Helvetica" w:cs="Times New Roman"/>
          <w:noProof/>
          <w:sz w:val="22"/>
          <w:szCs w:val="22"/>
        </w:rPr>
        <w:t>. Published online January 21, 2021:eabe6959. doi:10.1126/science.abe6959</w:t>
      </w:r>
    </w:p>
    <w:p w14:paraId="33AC3F8B" w14:textId="77777777" w:rsidR="00DB5006" w:rsidRPr="00C038C7" w:rsidRDefault="00DB5006" w:rsidP="00727D67">
      <w:pPr>
        <w:widowControl w:val="0"/>
        <w:autoSpaceDE w:val="0"/>
        <w:autoSpaceDN w:val="0"/>
        <w:adjustRightInd w:val="0"/>
        <w:spacing w:line="276" w:lineRule="auto"/>
        <w:ind w:left="640" w:hanging="640"/>
        <w:rPr>
          <w:rFonts w:ascii="Helvetica" w:hAnsi="Helvetica" w:cs="Times New Roman"/>
          <w:noProof/>
          <w:sz w:val="22"/>
          <w:szCs w:val="22"/>
        </w:rPr>
      </w:pPr>
      <w:r w:rsidRPr="00C038C7">
        <w:rPr>
          <w:rFonts w:ascii="Helvetica" w:hAnsi="Helvetica" w:cs="Times New Roman"/>
          <w:noProof/>
          <w:sz w:val="22"/>
          <w:szCs w:val="22"/>
        </w:rPr>
        <w:t xml:space="preserve">2. </w:t>
      </w:r>
      <w:r w:rsidRPr="00C038C7">
        <w:rPr>
          <w:rFonts w:ascii="Helvetica" w:hAnsi="Helvetica" w:cs="Times New Roman"/>
          <w:noProof/>
          <w:sz w:val="22"/>
          <w:szCs w:val="22"/>
        </w:rPr>
        <w:tab/>
        <w:t>Klepac P, Kucharski A, Conlan AJ, Kissler S, Tang M, Fry H, et al. Contacts in context: large-scale setting-specific social mixing matrices from the BBC Pandemic project. Published online 2020:1-17. doi:10.1101/2020.02.16.20023754</w:t>
      </w:r>
    </w:p>
    <w:p w14:paraId="720E90E2" w14:textId="77777777" w:rsidR="00DB5006" w:rsidRPr="00C038C7" w:rsidRDefault="00DB5006" w:rsidP="00727D67">
      <w:pPr>
        <w:widowControl w:val="0"/>
        <w:autoSpaceDE w:val="0"/>
        <w:autoSpaceDN w:val="0"/>
        <w:adjustRightInd w:val="0"/>
        <w:spacing w:line="276" w:lineRule="auto"/>
        <w:ind w:left="640" w:hanging="640"/>
        <w:rPr>
          <w:rFonts w:ascii="Helvetica" w:hAnsi="Helvetica"/>
          <w:noProof/>
          <w:sz w:val="22"/>
          <w:szCs w:val="22"/>
        </w:rPr>
      </w:pPr>
      <w:r w:rsidRPr="00C038C7">
        <w:rPr>
          <w:rFonts w:ascii="Helvetica" w:hAnsi="Helvetica" w:cs="Times New Roman"/>
          <w:noProof/>
          <w:sz w:val="22"/>
          <w:szCs w:val="22"/>
        </w:rPr>
        <w:t xml:space="preserve">3. </w:t>
      </w:r>
      <w:r w:rsidRPr="00C038C7">
        <w:rPr>
          <w:rFonts w:ascii="Helvetica" w:hAnsi="Helvetica" w:cs="Times New Roman"/>
          <w:noProof/>
          <w:sz w:val="22"/>
          <w:szCs w:val="22"/>
        </w:rPr>
        <w:tab/>
        <w:t xml:space="preserve">Bubar KM, Kissler SM, Lipsitch M, Cobey S, Grad Y, Larremore DB. Model-informed COVID-19 vaccine prioritization strategies by age and serostatus. </w:t>
      </w:r>
      <w:r w:rsidRPr="00C038C7">
        <w:rPr>
          <w:rFonts w:ascii="Helvetica" w:hAnsi="Helvetica" w:cs="Times New Roman"/>
          <w:i/>
          <w:iCs/>
          <w:noProof/>
          <w:sz w:val="22"/>
          <w:szCs w:val="22"/>
        </w:rPr>
        <w:t>medRxiv</w:t>
      </w:r>
      <w:r w:rsidRPr="00C038C7">
        <w:rPr>
          <w:rFonts w:ascii="Helvetica" w:hAnsi="Helvetica" w:cs="Times New Roman"/>
          <w:noProof/>
          <w:sz w:val="22"/>
          <w:szCs w:val="22"/>
        </w:rPr>
        <w:t>. Published online 2020:2020.09.08.20190629. https://www.medrxiv.org/content/10.1101/2020.09.08.20190629v1</w:t>
      </w:r>
    </w:p>
    <w:p w14:paraId="4123CD22" w14:textId="33D922B1" w:rsidR="004E43DC" w:rsidRPr="00C038C7" w:rsidRDefault="004E43DC" w:rsidP="00727D67">
      <w:pPr>
        <w:widowControl w:val="0"/>
        <w:autoSpaceDE w:val="0"/>
        <w:autoSpaceDN w:val="0"/>
        <w:adjustRightInd w:val="0"/>
        <w:spacing w:line="276" w:lineRule="auto"/>
        <w:ind w:left="640" w:hanging="640"/>
        <w:rPr>
          <w:rFonts w:ascii="Helvetica" w:hAnsi="Helvetica"/>
          <w:sz w:val="22"/>
          <w:szCs w:val="22"/>
        </w:rPr>
      </w:pPr>
      <w:r w:rsidRPr="00C038C7">
        <w:rPr>
          <w:rFonts w:ascii="Helvetica" w:hAnsi="Helvetica"/>
          <w:sz w:val="22"/>
          <w:szCs w:val="22"/>
        </w:rPr>
        <w:fldChar w:fldCharType="end"/>
      </w:r>
    </w:p>
    <w:p w14:paraId="79B6B31E" w14:textId="77777777" w:rsidR="00306C7E" w:rsidRPr="00C038C7" w:rsidRDefault="00306C7E" w:rsidP="00D617C5">
      <w:pPr>
        <w:spacing w:line="276" w:lineRule="auto"/>
        <w:jc w:val="both"/>
        <w:rPr>
          <w:rFonts w:ascii="Helvetica" w:hAnsi="Helvetica"/>
          <w:sz w:val="22"/>
          <w:szCs w:val="22"/>
        </w:rPr>
      </w:pPr>
    </w:p>
    <w:p w14:paraId="78C270FC" w14:textId="77777777" w:rsidR="00306C7E" w:rsidRPr="00C038C7" w:rsidRDefault="00306C7E" w:rsidP="00D617C5">
      <w:pPr>
        <w:spacing w:line="276" w:lineRule="auto"/>
        <w:jc w:val="both"/>
        <w:rPr>
          <w:rFonts w:ascii="Helvetica" w:hAnsi="Helvetica"/>
          <w:sz w:val="22"/>
          <w:szCs w:val="22"/>
        </w:rPr>
      </w:pPr>
    </w:p>
    <w:sectPr w:rsidR="00306C7E" w:rsidRPr="00C038C7" w:rsidSect="0019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4ECF"/>
    <w:multiLevelType w:val="hybridMultilevel"/>
    <w:tmpl w:val="4B46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C7E"/>
    <w:rsid w:val="0000089A"/>
    <w:rsid w:val="00002A9E"/>
    <w:rsid w:val="000041DA"/>
    <w:rsid w:val="00007A64"/>
    <w:rsid w:val="00013257"/>
    <w:rsid w:val="000265F6"/>
    <w:rsid w:val="00031B8A"/>
    <w:rsid w:val="00044705"/>
    <w:rsid w:val="000501D5"/>
    <w:rsid w:val="00051662"/>
    <w:rsid w:val="00061B6B"/>
    <w:rsid w:val="00062FB2"/>
    <w:rsid w:val="00063A2F"/>
    <w:rsid w:val="0007784A"/>
    <w:rsid w:val="00087E24"/>
    <w:rsid w:val="00095A82"/>
    <w:rsid w:val="000A3F0F"/>
    <w:rsid w:val="000C1857"/>
    <w:rsid w:val="000C4EB0"/>
    <w:rsid w:val="000C529B"/>
    <w:rsid w:val="000D1B60"/>
    <w:rsid w:val="000D2079"/>
    <w:rsid w:val="000D2808"/>
    <w:rsid w:val="0010304D"/>
    <w:rsid w:val="00126AD6"/>
    <w:rsid w:val="00137724"/>
    <w:rsid w:val="00141BAF"/>
    <w:rsid w:val="0014583A"/>
    <w:rsid w:val="00151593"/>
    <w:rsid w:val="00151E7B"/>
    <w:rsid w:val="001522F0"/>
    <w:rsid w:val="00155C32"/>
    <w:rsid w:val="00166B10"/>
    <w:rsid w:val="00180CDE"/>
    <w:rsid w:val="001868C6"/>
    <w:rsid w:val="00192BEA"/>
    <w:rsid w:val="001939CB"/>
    <w:rsid w:val="00194570"/>
    <w:rsid w:val="00195E1A"/>
    <w:rsid w:val="00196373"/>
    <w:rsid w:val="001964A6"/>
    <w:rsid w:val="001A3547"/>
    <w:rsid w:val="001A535B"/>
    <w:rsid w:val="001A5BFE"/>
    <w:rsid w:val="001B7621"/>
    <w:rsid w:val="001C6F28"/>
    <w:rsid w:val="001C720A"/>
    <w:rsid w:val="001D4FA7"/>
    <w:rsid w:val="001E5E1A"/>
    <w:rsid w:val="00200B2E"/>
    <w:rsid w:val="00212946"/>
    <w:rsid w:val="002238DA"/>
    <w:rsid w:val="00226FD0"/>
    <w:rsid w:val="00270331"/>
    <w:rsid w:val="002728FA"/>
    <w:rsid w:val="002E24CA"/>
    <w:rsid w:val="002E2676"/>
    <w:rsid w:val="002E3D80"/>
    <w:rsid w:val="002F648E"/>
    <w:rsid w:val="00303809"/>
    <w:rsid w:val="00306C7E"/>
    <w:rsid w:val="003075B4"/>
    <w:rsid w:val="00320427"/>
    <w:rsid w:val="003307CE"/>
    <w:rsid w:val="0033638F"/>
    <w:rsid w:val="00337506"/>
    <w:rsid w:val="00342234"/>
    <w:rsid w:val="00356204"/>
    <w:rsid w:val="003566CC"/>
    <w:rsid w:val="00364047"/>
    <w:rsid w:val="00367A4E"/>
    <w:rsid w:val="0037054F"/>
    <w:rsid w:val="003708DA"/>
    <w:rsid w:val="003712D7"/>
    <w:rsid w:val="0037486E"/>
    <w:rsid w:val="00381A46"/>
    <w:rsid w:val="00382107"/>
    <w:rsid w:val="00383050"/>
    <w:rsid w:val="003919EE"/>
    <w:rsid w:val="00397746"/>
    <w:rsid w:val="003A7CA0"/>
    <w:rsid w:val="003C2E88"/>
    <w:rsid w:val="003D4890"/>
    <w:rsid w:val="003D4FD0"/>
    <w:rsid w:val="003E0B54"/>
    <w:rsid w:val="003E1D7A"/>
    <w:rsid w:val="003F12B2"/>
    <w:rsid w:val="00404619"/>
    <w:rsid w:val="004241B8"/>
    <w:rsid w:val="00433EB9"/>
    <w:rsid w:val="00446CD4"/>
    <w:rsid w:val="00450C83"/>
    <w:rsid w:val="00452538"/>
    <w:rsid w:val="004571EF"/>
    <w:rsid w:val="0046348C"/>
    <w:rsid w:val="00485DA8"/>
    <w:rsid w:val="0049278F"/>
    <w:rsid w:val="004A35C0"/>
    <w:rsid w:val="004A5A22"/>
    <w:rsid w:val="004A6036"/>
    <w:rsid w:val="004B504F"/>
    <w:rsid w:val="004B5404"/>
    <w:rsid w:val="004C4E39"/>
    <w:rsid w:val="004D0458"/>
    <w:rsid w:val="004D6644"/>
    <w:rsid w:val="004E358E"/>
    <w:rsid w:val="004E43DC"/>
    <w:rsid w:val="004E5CBF"/>
    <w:rsid w:val="004E7CCA"/>
    <w:rsid w:val="004F1F75"/>
    <w:rsid w:val="004F3B7B"/>
    <w:rsid w:val="004F6327"/>
    <w:rsid w:val="00516B4D"/>
    <w:rsid w:val="005208D4"/>
    <w:rsid w:val="00523F50"/>
    <w:rsid w:val="00524130"/>
    <w:rsid w:val="00536075"/>
    <w:rsid w:val="00540417"/>
    <w:rsid w:val="00541328"/>
    <w:rsid w:val="005537FA"/>
    <w:rsid w:val="00560278"/>
    <w:rsid w:val="00561A17"/>
    <w:rsid w:val="005B35C5"/>
    <w:rsid w:val="005B4B78"/>
    <w:rsid w:val="005C190E"/>
    <w:rsid w:val="005C1BD2"/>
    <w:rsid w:val="005C59DF"/>
    <w:rsid w:val="005D2780"/>
    <w:rsid w:val="005D7B3E"/>
    <w:rsid w:val="005E66AE"/>
    <w:rsid w:val="005F6BAF"/>
    <w:rsid w:val="006019EA"/>
    <w:rsid w:val="00617C38"/>
    <w:rsid w:val="00630C5C"/>
    <w:rsid w:val="00633D44"/>
    <w:rsid w:val="00641F86"/>
    <w:rsid w:val="00661002"/>
    <w:rsid w:val="00661120"/>
    <w:rsid w:val="00662D6C"/>
    <w:rsid w:val="00666A74"/>
    <w:rsid w:val="00667AF9"/>
    <w:rsid w:val="00681109"/>
    <w:rsid w:val="00683D4A"/>
    <w:rsid w:val="006843F4"/>
    <w:rsid w:val="006864BE"/>
    <w:rsid w:val="00686E4E"/>
    <w:rsid w:val="0068766D"/>
    <w:rsid w:val="00690088"/>
    <w:rsid w:val="00690431"/>
    <w:rsid w:val="006B299E"/>
    <w:rsid w:val="006C4BE3"/>
    <w:rsid w:val="006C7A57"/>
    <w:rsid w:val="006E68AF"/>
    <w:rsid w:val="006F3A67"/>
    <w:rsid w:val="006F3B22"/>
    <w:rsid w:val="0070053A"/>
    <w:rsid w:val="00703597"/>
    <w:rsid w:val="00705772"/>
    <w:rsid w:val="00720D2C"/>
    <w:rsid w:val="00721202"/>
    <w:rsid w:val="00721A22"/>
    <w:rsid w:val="00727D67"/>
    <w:rsid w:val="00736114"/>
    <w:rsid w:val="00741CAE"/>
    <w:rsid w:val="00745117"/>
    <w:rsid w:val="00752FEB"/>
    <w:rsid w:val="00753FBC"/>
    <w:rsid w:val="0075630D"/>
    <w:rsid w:val="00777B80"/>
    <w:rsid w:val="0078363A"/>
    <w:rsid w:val="00783C12"/>
    <w:rsid w:val="0078774A"/>
    <w:rsid w:val="007966ED"/>
    <w:rsid w:val="007A390B"/>
    <w:rsid w:val="007A3DFD"/>
    <w:rsid w:val="007A662E"/>
    <w:rsid w:val="007A6EE9"/>
    <w:rsid w:val="007A6FED"/>
    <w:rsid w:val="007B6A93"/>
    <w:rsid w:val="007C1328"/>
    <w:rsid w:val="007C1DEE"/>
    <w:rsid w:val="007C23DF"/>
    <w:rsid w:val="007C26BE"/>
    <w:rsid w:val="007E2ED7"/>
    <w:rsid w:val="007E5C5D"/>
    <w:rsid w:val="007F0198"/>
    <w:rsid w:val="007F187A"/>
    <w:rsid w:val="00800F71"/>
    <w:rsid w:val="00801B58"/>
    <w:rsid w:val="0080366B"/>
    <w:rsid w:val="008107F3"/>
    <w:rsid w:val="00814570"/>
    <w:rsid w:val="008258C6"/>
    <w:rsid w:val="00826A87"/>
    <w:rsid w:val="008346C2"/>
    <w:rsid w:val="00844588"/>
    <w:rsid w:val="008467D5"/>
    <w:rsid w:val="008516DA"/>
    <w:rsid w:val="008538B2"/>
    <w:rsid w:val="008630E3"/>
    <w:rsid w:val="008646A7"/>
    <w:rsid w:val="008647E6"/>
    <w:rsid w:val="008669C0"/>
    <w:rsid w:val="008760A1"/>
    <w:rsid w:val="00880851"/>
    <w:rsid w:val="00882092"/>
    <w:rsid w:val="00883ED4"/>
    <w:rsid w:val="008856FD"/>
    <w:rsid w:val="00885CFE"/>
    <w:rsid w:val="008866CF"/>
    <w:rsid w:val="0089334D"/>
    <w:rsid w:val="008A6BF5"/>
    <w:rsid w:val="008B2754"/>
    <w:rsid w:val="008C09DC"/>
    <w:rsid w:val="008C1391"/>
    <w:rsid w:val="008C2D78"/>
    <w:rsid w:val="008C6FE1"/>
    <w:rsid w:val="008D4976"/>
    <w:rsid w:val="008D5EF3"/>
    <w:rsid w:val="00902C00"/>
    <w:rsid w:val="00911FAE"/>
    <w:rsid w:val="009279C8"/>
    <w:rsid w:val="00960E68"/>
    <w:rsid w:val="00960EEF"/>
    <w:rsid w:val="00963B0D"/>
    <w:rsid w:val="00963C1C"/>
    <w:rsid w:val="009650DD"/>
    <w:rsid w:val="00973074"/>
    <w:rsid w:val="009759A8"/>
    <w:rsid w:val="00977C26"/>
    <w:rsid w:val="00981332"/>
    <w:rsid w:val="0099049E"/>
    <w:rsid w:val="009A6D09"/>
    <w:rsid w:val="009B65E6"/>
    <w:rsid w:val="009C43D7"/>
    <w:rsid w:val="009D0115"/>
    <w:rsid w:val="009D1499"/>
    <w:rsid w:val="009E0545"/>
    <w:rsid w:val="009E2E4C"/>
    <w:rsid w:val="009E3AA8"/>
    <w:rsid w:val="009E71B7"/>
    <w:rsid w:val="00A03CC2"/>
    <w:rsid w:val="00A13441"/>
    <w:rsid w:val="00A1458A"/>
    <w:rsid w:val="00A20AF3"/>
    <w:rsid w:val="00A2221D"/>
    <w:rsid w:val="00A26C10"/>
    <w:rsid w:val="00A32173"/>
    <w:rsid w:val="00A45998"/>
    <w:rsid w:val="00A51427"/>
    <w:rsid w:val="00A61F03"/>
    <w:rsid w:val="00A64492"/>
    <w:rsid w:val="00A77215"/>
    <w:rsid w:val="00A8369C"/>
    <w:rsid w:val="00A86355"/>
    <w:rsid w:val="00AB2A92"/>
    <w:rsid w:val="00AD1884"/>
    <w:rsid w:val="00AD669B"/>
    <w:rsid w:val="00AE4AB2"/>
    <w:rsid w:val="00AE4DE5"/>
    <w:rsid w:val="00AE5A9A"/>
    <w:rsid w:val="00AF399F"/>
    <w:rsid w:val="00B037D3"/>
    <w:rsid w:val="00B04BB9"/>
    <w:rsid w:val="00B22F32"/>
    <w:rsid w:val="00B26D04"/>
    <w:rsid w:val="00B34D75"/>
    <w:rsid w:val="00B37668"/>
    <w:rsid w:val="00B4280A"/>
    <w:rsid w:val="00B46ECB"/>
    <w:rsid w:val="00B574AE"/>
    <w:rsid w:val="00B65471"/>
    <w:rsid w:val="00B67690"/>
    <w:rsid w:val="00B73EC0"/>
    <w:rsid w:val="00B80425"/>
    <w:rsid w:val="00BA1C9D"/>
    <w:rsid w:val="00BB3488"/>
    <w:rsid w:val="00BB3B61"/>
    <w:rsid w:val="00BB6B3C"/>
    <w:rsid w:val="00BC0C9C"/>
    <w:rsid w:val="00BC4B64"/>
    <w:rsid w:val="00BC7D19"/>
    <w:rsid w:val="00BD28AD"/>
    <w:rsid w:val="00BD3D74"/>
    <w:rsid w:val="00BD50D6"/>
    <w:rsid w:val="00BD67F1"/>
    <w:rsid w:val="00BE0383"/>
    <w:rsid w:val="00BE3BC1"/>
    <w:rsid w:val="00BE544B"/>
    <w:rsid w:val="00BF5773"/>
    <w:rsid w:val="00BF76C0"/>
    <w:rsid w:val="00BF7E61"/>
    <w:rsid w:val="00C01137"/>
    <w:rsid w:val="00C01287"/>
    <w:rsid w:val="00C038C7"/>
    <w:rsid w:val="00C10345"/>
    <w:rsid w:val="00C1272A"/>
    <w:rsid w:val="00C22AC8"/>
    <w:rsid w:val="00C338C7"/>
    <w:rsid w:val="00C37643"/>
    <w:rsid w:val="00C44362"/>
    <w:rsid w:val="00C54257"/>
    <w:rsid w:val="00C55BC2"/>
    <w:rsid w:val="00C60032"/>
    <w:rsid w:val="00C673E2"/>
    <w:rsid w:val="00C75990"/>
    <w:rsid w:val="00C803CA"/>
    <w:rsid w:val="00C924E8"/>
    <w:rsid w:val="00CA0125"/>
    <w:rsid w:val="00CB3BA2"/>
    <w:rsid w:val="00CB4069"/>
    <w:rsid w:val="00CB7CBE"/>
    <w:rsid w:val="00CB7F44"/>
    <w:rsid w:val="00CE594A"/>
    <w:rsid w:val="00CE70C4"/>
    <w:rsid w:val="00CF2D21"/>
    <w:rsid w:val="00CF304F"/>
    <w:rsid w:val="00CF41D7"/>
    <w:rsid w:val="00D1181B"/>
    <w:rsid w:val="00D11BBF"/>
    <w:rsid w:val="00D155D9"/>
    <w:rsid w:val="00D17BE2"/>
    <w:rsid w:val="00D26CE7"/>
    <w:rsid w:val="00D34F78"/>
    <w:rsid w:val="00D423EF"/>
    <w:rsid w:val="00D46A3A"/>
    <w:rsid w:val="00D470A6"/>
    <w:rsid w:val="00D57F3F"/>
    <w:rsid w:val="00D617C5"/>
    <w:rsid w:val="00D744A1"/>
    <w:rsid w:val="00D75F30"/>
    <w:rsid w:val="00D76FB0"/>
    <w:rsid w:val="00D84C0D"/>
    <w:rsid w:val="00D87F02"/>
    <w:rsid w:val="00D916FC"/>
    <w:rsid w:val="00D93965"/>
    <w:rsid w:val="00D96698"/>
    <w:rsid w:val="00DA0190"/>
    <w:rsid w:val="00DB24BA"/>
    <w:rsid w:val="00DB5006"/>
    <w:rsid w:val="00DC23DF"/>
    <w:rsid w:val="00DC2577"/>
    <w:rsid w:val="00DC5CAC"/>
    <w:rsid w:val="00DC7CA7"/>
    <w:rsid w:val="00DD0713"/>
    <w:rsid w:val="00DF39E3"/>
    <w:rsid w:val="00E04B5D"/>
    <w:rsid w:val="00E14849"/>
    <w:rsid w:val="00E15F3D"/>
    <w:rsid w:val="00E2051A"/>
    <w:rsid w:val="00E3745F"/>
    <w:rsid w:val="00E416DB"/>
    <w:rsid w:val="00E7115C"/>
    <w:rsid w:val="00E7624E"/>
    <w:rsid w:val="00E81632"/>
    <w:rsid w:val="00EA1530"/>
    <w:rsid w:val="00EA642A"/>
    <w:rsid w:val="00EB33AB"/>
    <w:rsid w:val="00EC3DBC"/>
    <w:rsid w:val="00ED0077"/>
    <w:rsid w:val="00ED4ED7"/>
    <w:rsid w:val="00EE355B"/>
    <w:rsid w:val="00F00417"/>
    <w:rsid w:val="00F0219C"/>
    <w:rsid w:val="00F02656"/>
    <w:rsid w:val="00F118CD"/>
    <w:rsid w:val="00F17557"/>
    <w:rsid w:val="00F23BE1"/>
    <w:rsid w:val="00F34F11"/>
    <w:rsid w:val="00F3633F"/>
    <w:rsid w:val="00F4129D"/>
    <w:rsid w:val="00F5793A"/>
    <w:rsid w:val="00F61F75"/>
    <w:rsid w:val="00F66345"/>
    <w:rsid w:val="00F82BD1"/>
    <w:rsid w:val="00F84811"/>
    <w:rsid w:val="00F979BF"/>
    <w:rsid w:val="00FC5B0A"/>
    <w:rsid w:val="00FC7A32"/>
    <w:rsid w:val="00FD4FB6"/>
    <w:rsid w:val="00FD5C5D"/>
    <w:rsid w:val="00FE16F6"/>
    <w:rsid w:val="00FE5217"/>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CFD6"/>
  <w15:chartTrackingRefBased/>
  <w15:docId w15:val="{692A9A45-B79F-CD4B-A2AD-C64BED74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C7E"/>
    <w:rPr>
      <w:color w:val="0563C1" w:themeColor="hyperlink"/>
      <w:u w:val="single"/>
    </w:rPr>
  </w:style>
  <w:style w:type="character" w:styleId="UnresolvedMention">
    <w:name w:val="Unresolved Mention"/>
    <w:basedOn w:val="DefaultParagraphFont"/>
    <w:uiPriority w:val="99"/>
    <w:semiHidden/>
    <w:unhideWhenUsed/>
    <w:rsid w:val="00306C7E"/>
    <w:rPr>
      <w:color w:val="605E5C"/>
      <w:shd w:val="clear" w:color="auto" w:fill="E1DFDD"/>
    </w:rPr>
  </w:style>
  <w:style w:type="paragraph" w:styleId="ListParagraph">
    <w:name w:val="List Paragraph"/>
    <w:basedOn w:val="Normal"/>
    <w:uiPriority w:val="34"/>
    <w:qFormat/>
    <w:rsid w:val="005C1BD2"/>
    <w:pPr>
      <w:ind w:left="720"/>
      <w:contextualSpacing/>
    </w:pPr>
  </w:style>
  <w:style w:type="paragraph" w:styleId="Caption">
    <w:name w:val="caption"/>
    <w:basedOn w:val="Normal"/>
    <w:next w:val="Normal"/>
    <w:uiPriority w:val="35"/>
    <w:unhideWhenUsed/>
    <w:qFormat/>
    <w:rsid w:val="00061B6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issler@hsph.harvard.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D2E9-E17C-FC40-BC41-E388D5B2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Kissler</dc:creator>
  <cp:keywords/>
  <dc:description/>
  <cp:lastModifiedBy>Stephen Kissler</cp:lastModifiedBy>
  <cp:revision>573</cp:revision>
  <dcterms:created xsi:type="dcterms:W3CDTF">2021-02-19T16:32:00Z</dcterms:created>
  <dcterms:modified xsi:type="dcterms:W3CDTF">2021-02-26T19:34:00Z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http://csl.mendeley.com/styles/23924871/american-medical-association</vt:lpwstr>
  </property>
  <property fmtid="{D5CDD505-2E9C-101B-9397-08002B2CF9AE}" pid="3" name="Mendeley Recent Style Name 0_1">
    <vt:lpwstr>American Medical Association - Stephen Kissler</vt:lpwstr>
  </property>
  <property fmtid="{D5CDD505-2E9C-101B-9397-08002B2CF9AE}" pid="4" name="Mendeley Recent Style Id 1_1">
    <vt:lpwstr>http://csl.mendeley.com/styles/23924871/american-medical-association-2</vt:lpwstr>
  </property>
  <property fmtid="{D5CDD505-2E9C-101B-9397-08002B2CF9AE}" pid="5" name="Mendeley Recent Style Name 1_1">
    <vt:lpwstr>American Medical Association 11th edition - Stephen Kissler</vt:lpwstr>
  </property>
  <property fmtid="{D5CDD505-2E9C-101B-9397-08002B2CF9AE}" pid="6" name="Mendeley Recent Style Id 2_1">
    <vt:lpwstr>https://csl.mendeley.com/styles/23924871/american-medical-association-2</vt:lpwstr>
  </property>
  <property fmtid="{D5CDD505-2E9C-101B-9397-08002B2CF9AE}" pid="7" name="Mendeley Recent Style Name 2_1">
    <vt:lpwstr>American Medical Association 11th edition - Stephen Kissler</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http://csl.mendeley.com/styles/23924871/proceedings-of-the-royal-society-b</vt:lpwstr>
  </property>
  <property fmtid="{D5CDD505-2E9C-101B-9397-08002B2CF9AE}" pid="19" name="Mendeley Recent Style Name 8_1">
    <vt:lpwstr>Proceedings of the Royal Society B - Stephen Kissler</vt:lpwstr>
  </property>
  <property fmtid="{D5CDD505-2E9C-101B-9397-08002B2CF9AE}" pid="20" name="Mendeley Recent Style Id 9_1">
    <vt:lpwstr>http://www.zotero.org/styles/royal-society-open-science</vt:lpwstr>
  </property>
  <property fmtid="{D5CDD505-2E9C-101B-9397-08002B2CF9AE}" pid="21" name="Mendeley Recent Style Name 9_1">
    <vt:lpwstr>Royal Society Open Science</vt:lpwstr>
  </property>
  <property fmtid="{D5CDD505-2E9C-101B-9397-08002B2CF9AE}" pid="22" name="Mendeley Document_1">
    <vt:lpwstr>True</vt:lpwstr>
  </property>
  <property fmtid="{D5CDD505-2E9C-101B-9397-08002B2CF9AE}" pid="23" name="Mendeley Unique User Id_1">
    <vt:lpwstr>253a4d82-5539-3846-ad98-f1f417513ada</vt:lpwstr>
  </property>
  <property fmtid="{D5CDD505-2E9C-101B-9397-08002B2CF9AE}" pid="24" name="Mendeley Citation Style_1">
    <vt:lpwstr>https://csl.mendeley.com/styles/23924871/american-medical-association-2</vt:lpwstr>
  </property>
</Properties>
</file>