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14559" w14:textId="63E62A70" w:rsidR="00306C7E" w:rsidRPr="007C1DEE" w:rsidRDefault="00306C7E" w:rsidP="006864BE">
      <w:pPr>
        <w:jc w:val="center"/>
        <w:rPr>
          <w:rFonts w:ascii="Courier" w:hAnsi="Courier"/>
          <w:b/>
          <w:bCs/>
          <w:sz w:val="20"/>
          <w:szCs w:val="20"/>
        </w:rPr>
      </w:pPr>
      <w:r w:rsidRPr="007C1DEE">
        <w:rPr>
          <w:rFonts w:ascii="Courier" w:hAnsi="Courier"/>
          <w:b/>
          <w:bCs/>
          <w:sz w:val="20"/>
          <w:szCs w:val="20"/>
        </w:rPr>
        <w:t>JUSTIFYING VACCINE ALLOCATION TO POPULATIONS WITH HIGH CONTACT RATES</w:t>
      </w:r>
    </w:p>
    <w:p w14:paraId="2C7FD7EE" w14:textId="3DCD931B" w:rsidR="00306C7E" w:rsidRPr="007C1DEE" w:rsidRDefault="00306C7E">
      <w:pPr>
        <w:rPr>
          <w:rFonts w:ascii="Courier" w:hAnsi="Courier"/>
          <w:sz w:val="20"/>
          <w:szCs w:val="20"/>
        </w:rPr>
      </w:pPr>
    </w:p>
    <w:p w14:paraId="6CF0FA0F" w14:textId="77777777" w:rsidR="00044705" w:rsidRPr="007C1DEE" w:rsidRDefault="00044705" w:rsidP="00044705">
      <w:pPr>
        <w:jc w:val="center"/>
        <w:rPr>
          <w:rFonts w:ascii="Courier" w:hAnsi="Courier"/>
          <w:sz w:val="20"/>
          <w:szCs w:val="20"/>
        </w:rPr>
      </w:pPr>
      <w:r w:rsidRPr="007C1DEE">
        <w:rPr>
          <w:rFonts w:ascii="Courier" w:hAnsi="Courier"/>
          <w:sz w:val="20"/>
          <w:szCs w:val="20"/>
        </w:rPr>
        <w:t>19 February 2021</w:t>
      </w:r>
    </w:p>
    <w:p w14:paraId="233B8798" w14:textId="77777777" w:rsidR="00044705" w:rsidRPr="007C1DEE" w:rsidRDefault="00044705">
      <w:pPr>
        <w:rPr>
          <w:rFonts w:ascii="Courier" w:hAnsi="Courier"/>
          <w:sz w:val="20"/>
          <w:szCs w:val="20"/>
        </w:rPr>
      </w:pPr>
    </w:p>
    <w:p w14:paraId="7627E7AE" w14:textId="77777777" w:rsidR="00306C7E" w:rsidRPr="007C1DEE" w:rsidRDefault="00306C7E">
      <w:pPr>
        <w:rPr>
          <w:rFonts w:ascii="Courier" w:hAnsi="Courier"/>
          <w:sz w:val="20"/>
          <w:szCs w:val="20"/>
        </w:rPr>
      </w:pPr>
      <w:r w:rsidRPr="007C1DEE">
        <w:rPr>
          <w:rFonts w:ascii="Courier" w:hAnsi="Courier"/>
          <w:sz w:val="20"/>
          <w:szCs w:val="20"/>
        </w:rPr>
        <w:t>AUTHORS:</w:t>
      </w:r>
    </w:p>
    <w:p w14:paraId="5FF25AD7" w14:textId="03F37667" w:rsidR="00306C7E" w:rsidRPr="007C1DEE" w:rsidRDefault="00306C7E" w:rsidP="00306C7E">
      <w:pPr>
        <w:ind w:firstLine="720"/>
        <w:rPr>
          <w:rFonts w:ascii="Courier" w:hAnsi="Courier"/>
          <w:sz w:val="20"/>
          <w:szCs w:val="20"/>
        </w:rPr>
      </w:pPr>
      <w:r w:rsidRPr="007C1DEE">
        <w:rPr>
          <w:rFonts w:ascii="Courier" w:hAnsi="Courier"/>
          <w:sz w:val="20"/>
          <w:szCs w:val="20"/>
        </w:rPr>
        <w:t>Stephen Kissler (</w:t>
      </w:r>
      <w:hyperlink r:id="rId6" w:history="1">
        <w:r w:rsidRPr="007C1DEE">
          <w:rPr>
            <w:rStyle w:val="Hyperlink"/>
            <w:rFonts w:ascii="Courier" w:hAnsi="Courier"/>
            <w:sz w:val="20"/>
            <w:szCs w:val="20"/>
          </w:rPr>
          <w:t>skissler@hsph.harvard.edu</w:t>
        </w:r>
      </w:hyperlink>
      <w:r w:rsidRPr="007C1DEE">
        <w:rPr>
          <w:rFonts w:ascii="Courier" w:hAnsi="Courier"/>
          <w:sz w:val="20"/>
          <w:szCs w:val="20"/>
        </w:rPr>
        <w:t>)</w:t>
      </w:r>
    </w:p>
    <w:p w14:paraId="3D8E2B29" w14:textId="728658B4" w:rsidR="00306C7E" w:rsidRPr="007C1DEE" w:rsidRDefault="00306C7E" w:rsidP="00306C7E">
      <w:pPr>
        <w:ind w:left="720"/>
        <w:rPr>
          <w:rFonts w:ascii="Courier" w:hAnsi="Courier"/>
          <w:sz w:val="20"/>
          <w:szCs w:val="20"/>
        </w:rPr>
      </w:pPr>
      <w:r w:rsidRPr="007C1DEE">
        <w:rPr>
          <w:rFonts w:ascii="Courier" w:hAnsi="Courier"/>
          <w:sz w:val="20"/>
          <w:szCs w:val="20"/>
        </w:rPr>
        <w:t>Rebecca Kahn</w:t>
      </w:r>
    </w:p>
    <w:p w14:paraId="2705DDAA" w14:textId="77777777" w:rsidR="00690431" w:rsidRPr="007C1DEE" w:rsidRDefault="00690431" w:rsidP="00306C7E">
      <w:pPr>
        <w:ind w:left="720"/>
        <w:rPr>
          <w:rFonts w:ascii="Courier" w:hAnsi="Courier"/>
          <w:sz w:val="20"/>
          <w:szCs w:val="20"/>
        </w:rPr>
      </w:pPr>
    </w:p>
    <w:p w14:paraId="3895647E" w14:textId="77777777" w:rsidR="00690431" w:rsidRPr="007C1DEE" w:rsidRDefault="00306C7E">
      <w:pPr>
        <w:rPr>
          <w:rFonts w:ascii="Courier" w:hAnsi="Courier"/>
          <w:sz w:val="20"/>
          <w:szCs w:val="20"/>
        </w:rPr>
      </w:pPr>
      <w:r w:rsidRPr="007C1DEE">
        <w:rPr>
          <w:rFonts w:ascii="Courier" w:hAnsi="Courier"/>
          <w:sz w:val="20"/>
          <w:szCs w:val="20"/>
        </w:rPr>
        <w:t>COMPILED FOR:</w:t>
      </w:r>
    </w:p>
    <w:p w14:paraId="5BEF02AE" w14:textId="18E4AE0A" w:rsidR="00D84C0D" w:rsidRPr="007C1DEE" w:rsidRDefault="00306C7E" w:rsidP="00690431">
      <w:pPr>
        <w:ind w:firstLine="720"/>
        <w:rPr>
          <w:rFonts w:ascii="Courier" w:hAnsi="Courier"/>
          <w:sz w:val="20"/>
          <w:szCs w:val="20"/>
        </w:rPr>
      </w:pPr>
      <w:r w:rsidRPr="007C1DEE">
        <w:rPr>
          <w:rFonts w:ascii="Courier" w:hAnsi="Courier"/>
          <w:sz w:val="20"/>
          <w:szCs w:val="20"/>
        </w:rPr>
        <w:t>Partners in Health</w:t>
      </w:r>
    </w:p>
    <w:p w14:paraId="141D4224" w14:textId="61B35D99" w:rsidR="009C43D7" w:rsidRPr="007C1DEE" w:rsidRDefault="009C43D7" w:rsidP="00D93965">
      <w:pPr>
        <w:rPr>
          <w:rFonts w:ascii="Courier" w:hAnsi="Courier"/>
          <w:sz w:val="20"/>
          <w:szCs w:val="20"/>
        </w:rPr>
      </w:pPr>
    </w:p>
    <w:p w14:paraId="391AAC4C" w14:textId="0DCF09A8" w:rsidR="00D57F3F" w:rsidRPr="007C1DEE" w:rsidRDefault="009650DD" w:rsidP="00D93965">
      <w:pPr>
        <w:rPr>
          <w:rFonts w:ascii="Courier" w:hAnsi="Courier"/>
          <w:sz w:val="20"/>
          <w:szCs w:val="20"/>
        </w:rPr>
      </w:pPr>
      <w:r w:rsidRPr="007C1DEE">
        <w:rPr>
          <w:rFonts w:ascii="Courier" w:hAnsi="Courier"/>
          <w:sz w:val="20"/>
          <w:szCs w:val="20"/>
        </w:rPr>
        <w:t>EXECUTIVE SUMMARY:</w:t>
      </w:r>
    </w:p>
    <w:p w14:paraId="44DA8D88" w14:textId="05BEC05F" w:rsidR="001D4FA7" w:rsidRPr="007C1DEE" w:rsidRDefault="001D4FA7">
      <w:pPr>
        <w:rPr>
          <w:rFonts w:ascii="Courier" w:hAnsi="Courier"/>
          <w:sz w:val="20"/>
          <w:szCs w:val="20"/>
        </w:rPr>
      </w:pPr>
      <w:r w:rsidRPr="007C1DEE">
        <w:rPr>
          <w:rFonts w:ascii="Courier" w:hAnsi="Courier"/>
          <w:sz w:val="20"/>
          <w:szCs w:val="20"/>
        </w:rPr>
        <w:br w:type="page"/>
      </w:r>
    </w:p>
    <w:p w14:paraId="0E8E62ED" w14:textId="77777777" w:rsidR="005C1BD2" w:rsidRPr="007C1DEE" w:rsidRDefault="001D4FA7" w:rsidP="00D93965">
      <w:pPr>
        <w:rPr>
          <w:rFonts w:ascii="Courier" w:hAnsi="Courier"/>
          <w:sz w:val="20"/>
          <w:szCs w:val="20"/>
        </w:rPr>
      </w:pPr>
      <w:r w:rsidRPr="007C1DEE">
        <w:rPr>
          <w:rFonts w:ascii="Courier" w:hAnsi="Courier"/>
          <w:sz w:val="20"/>
          <w:szCs w:val="20"/>
        </w:rPr>
        <w:lastRenderedPageBreak/>
        <w:t xml:space="preserve">CONTEXT. </w:t>
      </w:r>
    </w:p>
    <w:p w14:paraId="3F3D4479" w14:textId="37658DC5" w:rsidR="005C1BD2" w:rsidRPr="007C1DEE" w:rsidRDefault="00FC5B0A" w:rsidP="005C1BD2">
      <w:pPr>
        <w:pStyle w:val="ListParagraph"/>
        <w:numPr>
          <w:ilvl w:val="0"/>
          <w:numId w:val="1"/>
        </w:numPr>
        <w:rPr>
          <w:rFonts w:ascii="Courier" w:hAnsi="Courier"/>
          <w:sz w:val="20"/>
          <w:szCs w:val="20"/>
        </w:rPr>
      </w:pPr>
      <w:r w:rsidRPr="007C1DEE">
        <w:rPr>
          <w:rFonts w:ascii="Courier" w:hAnsi="Courier"/>
          <w:sz w:val="20"/>
          <w:szCs w:val="20"/>
        </w:rPr>
        <w:t xml:space="preserve">The COVID-19 pandemic </w:t>
      </w:r>
      <w:r w:rsidR="001868C6" w:rsidRPr="007C1DEE">
        <w:rPr>
          <w:rFonts w:ascii="Courier" w:hAnsi="Courier"/>
          <w:sz w:val="20"/>
          <w:szCs w:val="20"/>
        </w:rPr>
        <w:t xml:space="preserve">has </w:t>
      </w:r>
      <w:r w:rsidR="00A26C10" w:rsidRPr="007C1DEE">
        <w:rPr>
          <w:rFonts w:ascii="Courier" w:hAnsi="Courier"/>
          <w:sz w:val="20"/>
          <w:szCs w:val="20"/>
        </w:rPr>
        <w:t>caused ___ deaths</w:t>
      </w:r>
      <w:r w:rsidR="00BB6B3C" w:rsidRPr="007C1DEE">
        <w:rPr>
          <w:rFonts w:ascii="Courier" w:hAnsi="Courier"/>
          <w:sz w:val="20"/>
          <w:szCs w:val="20"/>
        </w:rPr>
        <w:t xml:space="preserve"> and ___ hospitalizations</w:t>
      </w:r>
      <w:r w:rsidR="00A26C10" w:rsidRPr="007C1DEE">
        <w:rPr>
          <w:rFonts w:ascii="Courier" w:hAnsi="Courier"/>
          <w:sz w:val="20"/>
          <w:szCs w:val="20"/>
        </w:rPr>
        <w:t xml:space="preserve"> in the United States</w:t>
      </w:r>
      <w:r w:rsidR="008467D5" w:rsidRPr="007C1DEE">
        <w:rPr>
          <w:rFonts w:ascii="Courier" w:hAnsi="Courier"/>
          <w:sz w:val="20"/>
          <w:szCs w:val="20"/>
        </w:rPr>
        <w:t xml:space="preserve"> as of 19 Feb 2021</w:t>
      </w:r>
      <w:r w:rsidR="005C1BD2" w:rsidRPr="007C1DEE">
        <w:rPr>
          <w:rFonts w:ascii="Courier" w:hAnsi="Courier"/>
          <w:sz w:val="20"/>
          <w:szCs w:val="20"/>
        </w:rPr>
        <w:t>.</w:t>
      </w:r>
    </w:p>
    <w:p w14:paraId="47C6BCB8" w14:textId="06C7352C" w:rsidR="00801B58" w:rsidRPr="007C1DEE" w:rsidRDefault="0014583A" w:rsidP="005C1BD2">
      <w:pPr>
        <w:pStyle w:val="ListParagraph"/>
        <w:numPr>
          <w:ilvl w:val="0"/>
          <w:numId w:val="1"/>
        </w:numPr>
        <w:rPr>
          <w:rFonts w:ascii="Courier" w:hAnsi="Courier"/>
          <w:sz w:val="20"/>
          <w:szCs w:val="20"/>
        </w:rPr>
      </w:pPr>
      <w:r w:rsidRPr="007C1DEE">
        <w:rPr>
          <w:rFonts w:ascii="Courier" w:hAnsi="Courier"/>
          <w:sz w:val="20"/>
          <w:szCs w:val="20"/>
        </w:rPr>
        <w:t>COVID-19 mortality and severe disease</w:t>
      </w:r>
      <w:r w:rsidR="00963B0D" w:rsidRPr="007C1DEE">
        <w:rPr>
          <w:rFonts w:ascii="Courier" w:hAnsi="Courier"/>
          <w:sz w:val="20"/>
          <w:szCs w:val="20"/>
        </w:rPr>
        <w:t xml:space="preserve"> </w:t>
      </w:r>
      <w:r w:rsidR="005C1BD2" w:rsidRPr="007C1DEE">
        <w:rPr>
          <w:rFonts w:ascii="Courier" w:hAnsi="Courier"/>
          <w:sz w:val="20"/>
          <w:szCs w:val="20"/>
        </w:rPr>
        <w:t xml:space="preserve">have been </w:t>
      </w:r>
      <w:r w:rsidR="00A26C10" w:rsidRPr="007C1DEE">
        <w:rPr>
          <w:rFonts w:ascii="Courier" w:hAnsi="Courier"/>
          <w:sz w:val="20"/>
          <w:szCs w:val="20"/>
        </w:rPr>
        <w:t xml:space="preserve">concentrated mainly in elderly and minority populations. </w:t>
      </w:r>
    </w:p>
    <w:p w14:paraId="08F66A2A" w14:textId="5302BA9E" w:rsidR="00D11BBF" w:rsidRPr="007C1DEE" w:rsidRDefault="00433EB9" w:rsidP="005C1BD2">
      <w:pPr>
        <w:pStyle w:val="ListParagraph"/>
        <w:numPr>
          <w:ilvl w:val="0"/>
          <w:numId w:val="1"/>
        </w:numPr>
        <w:rPr>
          <w:rFonts w:ascii="Courier" w:hAnsi="Courier"/>
          <w:sz w:val="20"/>
          <w:szCs w:val="20"/>
        </w:rPr>
      </w:pPr>
      <w:r w:rsidRPr="007C1DEE">
        <w:rPr>
          <w:rFonts w:ascii="Courier" w:hAnsi="Courier"/>
          <w:sz w:val="20"/>
          <w:szCs w:val="20"/>
        </w:rPr>
        <w:t>Two COVID-19 vaccines have been authorized for emergenc</w:t>
      </w:r>
      <w:r w:rsidR="00B34D75" w:rsidRPr="007C1DEE">
        <w:rPr>
          <w:rFonts w:ascii="Courier" w:hAnsi="Courier"/>
          <w:sz w:val="20"/>
          <w:szCs w:val="20"/>
        </w:rPr>
        <w:t>y</w:t>
      </w:r>
      <w:r w:rsidRPr="007C1DEE">
        <w:rPr>
          <w:rFonts w:ascii="Courier" w:hAnsi="Courier"/>
          <w:sz w:val="20"/>
          <w:szCs w:val="20"/>
        </w:rPr>
        <w:t xml:space="preserve"> use in the United States. </w:t>
      </w:r>
    </w:p>
    <w:p w14:paraId="38F1B739" w14:textId="3A9AB024" w:rsidR="006019EA" w:rsidRPr="007C1DEE" w:rsidRDefault="009E2E4C" w:rsidP="005C1BD2">
      <w:pPr>
        <w:pStyle w:val="ListParagraph"/>
        <w:numPr>
          <w:ilvl w:val="0"/>
          <w:numId w:val="1"/>
        </w:numPr>
        <w:rPr>
          <w:rFonts w:ascii="Courier" w:hAnsi="Courier"/>
          <w:sz w:val="20"/>
          <w:szCs w:val="20"/>
        </w:rPr>
      </w:pPr>
      <w:r w:rsidRPr="007C1DEE">
        <w:rPr>
          <w:rFonts w:ascii="Courier" w:hAnsi="Courier"/>
          <w:sz w:val="20"/>
          <w:szCs w:val="20"/>
        </w:rPr>
        <w:t>According to a</w:t>
      </w:r>
      <w:r w:rsidR="008866CF" w:rsidRPr="007C1DEE">
        <w:rPr>
          <w:rFonts w:ascii="Courier" w:hAnsi="Courier"/>
          <w:sz w:val="20"/>
          <w:szCs w:val="20"/>
        </w:rPr>
        <w:t xml:space="preserve"> </w:t>
      </w:r>
      <w:r w:rsidR="003F12B2" w:rsidRPr="007C1DEE">
        <w:rPr>
          <w:rFonts w:ascii="Courier" w:hAnsi="Courier"/>
          <w:sz w:val="20"/>
          <w:szCs w:val="20"/>
        </w:rPr>
        <w:t xml:space="preserve">recent </w:t>
      </w:r>
      <w:r w:rsidR="008866CF" w:rsidRPr="007C1DEE">
        <w:rPr>
          <w:rFonts w:ascii="Courier" w:hAnsi="Courier"/>
          <w:sz w:val="20"/>
          <w:szCs w:val="20"/>
        </w:rPr>
        <w:t>mathematical modeling study</w:t>
      </w:r>
      <w:r w:rsidR="00356204" w:rsidRPr="007C1DEE">
        <w:rPr>
          <w:rFonts w:ascii="Courier" w:hAnsi="Courier"/>
          <w:sz w:val="20"/>
          <w:szCs w:val="20"/>
        </w:rPr>
        <w:t xml:space="preserve">, </w:t>
      </w:r>
      <w:r w:rsidR="008107F3" w:rsidRPr="007C1DEE">
        <w:rPr>
          <w:rFonts w:ascii="Courier" w:hAnsi="Courier"/>
          <w:sz w:val="20"/>
          <w:szCs w:val="20"/>
        </w:rPr>
        <w:t xml:space="preserve">the optimal mortality-minimizing </w:t>
      </w:r>
      <w:r w:rsidR="000265F6" w:rsidRPr="007C1DEE">
        <w:rPr>
          <w:rFonts w:ascii="Courier" w:hAnsi="Courier"/>
          <w:sz w:val="20"/>
          <w:szCs w:val="20"/>
        </w:rPr>
        <w:t xml:space="preserve">vaccination </w:t>
      </w:r>
      <w:r w:rsidR="008107F3" w:rsidRPr="007C1DEE">
        <w:rPr>
          <w:rFonts w:ascii="Courier" w:hAnsi="Courier"/>
          <w:sz w:val="20"/>
          <w:szCs w:val="20"/>
        </w:rPr>
        <w:t xml:space="preserve">strategy </w:t>
      </w:r>
      <w:r w:rsidR="00DF39E3" w:rsidRPr="007C1DEE">
        <w:rPr>
          <w:rFonts w:ascii="Courier" w:hAnsi="Courier"/>
          <w:sz w:val="20"/>
          <w:szCs w:val="20"/>
        </w:rPr>
        <w:t xml:space="preserve">is to </w:t>
      </w:r>
      <w:r w:rsidR="00DA0190" w:rsidRPr="007C1DEE">
        <w:rPr>
          <w:rFonts w:ascii="Courier" w:hAnsi="Courier"/>
          <w:sz w:val="20"/>
          <w:szCs w:val="20"/>
        </w:rPr>
        <w:t xml:space="preserve">prioritize </w:t>
      </w:r>
      <w:r w:rsidR="00E81632" w:rsidRPr="007C1DEE">
        <w:rPr>
          <w:rFonts w:ascii="Courier" w:hAnsi="Courier"/>
          <w:sz w:val="20"/>
          <w:szCs w:val="20"/>
        </w:rPr>
        <w:t>vaccination for</w:t>
      </w:r>
      <w:r w:rsidR="003075B4" w:rsidRPr="007C1DEE">
        <w:rPr>
          <w:rFonts w:ascii="Courier" w:hAnsi="Courier"/>
          <w:sz w:val="20"/>
          <w:szCs w:val="20"/>
        </w:rPr>
        <w:t xml:space="preserve"> </w:t>
      </w:r>
      <w:r w:rsidR="00031B8A" w:rsidRPr="007C1DEE">
        <w:rPr>
          <w:rFonts w:ascii="Courier" w:hAnsi="Courier"/>
          <w:sz w:val="20"/>
          <w:szCs w:val="20"/>
        </w:rPr>
        <w:t xml:space="preserve">those </w:t>
      </w:r>
      <w:r w:rsidR="00F17557" w:rsidRPr="007C1DEE">
        <w:rPr>
          <w:rFonts w:ascii="Courier" w:hAnsi="Courier"/>
          <w:sz w:val="20"/>
          <w:szCs w:val="20"/>
        </w:rPr>
        <w:t>at highest risk of severe</w:t>
      </w:r>
      <w:r w:rsidR="00814570" w:rsidRPr="007C1DEE">
        <w:rPr>
          <w:rFonts w:ascii="Courier" w:hAnsi="Courier"/>
          <w:sz w:val="20"/>
          <w:szCs w:val="20"/>
        </w:rPr>
        <w:t xml:space="preserve"> disease</w:t>
      </w:r>
      <w:r w:rsidR="003708DA" w:rsidRPr="007C1DEE">
        <w:rPr>
          <w:rFonts w:ascii="Courier" w:hAnsi="Courier"/>
          <w:sz w:val="20"/>
          <w:szCs w:val="20"/>
        </w:rPr>
        <w:t>.</w:t>
      </w:r>
      <w:r w:rsidR="00126AD6" w:rsidRPr="007C1DEE">
        <w:rPr>
          <w:rFonts w:ascii="Courier" w:hAnsi="Courier"/>
          <w:sz w:val="20"/>
          <w:szCs w:val="20"/>
        </w:rPr>
        <w:fldChar w:fldCharType="begin" w:fldLock="1"/>
      </w:r>
      <w:r w:rsidR="004E43DC" w:rsidRPr="007C1DEE">
        <w:rPr>
          <w:rFonts w:ascii="Courier" w:hAnsi="Courier"/>
          <w:sz w:val="20"/>
          <w:szCs w:val="20"/>
        </w:rPr>
        <w:instrText>ADDIN CSL_CITATION {"citationItems":[{"id":"ITEM-1","itemData":{"DOI":"10.1126/science.abe6959","ISSN":"0036-8075","abstract":"Limited initial supply of SARS-CoV-2 vaccine raises the question of how to prioritize available doses. Here, we used a mathematical model to compare five age-stratified prioritization strategies. A highly effective transmission-blocking vaccine prioritized to adults ages 20-49 years minimized cumulative incidence, but mortality and years of life lost were minimized in most scenarios when the vaccine was prioritized to adults over 60 years old. Use of individual-level serological tests to redirect doses to seronegative individuals improved the marginal impact of each dose while potentially reducing existing inequities in COVID-19 impact. While maximum impact prioritization strategies were broadly consistent across countries, transmission rates, vaccination rollout speeds, and estimates of naturally acquired immunity, this framework can be used to compare impacts of prioritization strategies across contexts.","author":[{"dropping-particle":"","family":"Bubar","given":"Kate M.","non-dropping-particle":"","parse-names":false,"suffix":""},{"dropping-particle":"","family":"Reinholt","given":"Kyle","non-dropping-particle":"","parse-names":false,"suffix":""},{"dropping-particle":"","family":"Kissler","given":"Stephen M.","non-dropping-particle":"","parse-names":false,"suffix":""},{"dropping-particle":"","family":"Lipsitch","given":"Marc","non-dropping-particle":"","parse-names":false,"suffix":""},{"dropping-particle":"","family":"Cobey","given":"Sarah","non-dropping-particle":"","parse-names":false,"suffix":""},{"dropping-particle":"","family":"Grad","given":"Yonatan H.","non-dropping-particle":"","parse-names":false,"suffix":""},{"dropping-particle":"","family":"Larremore","given":"Daniel B.","non-dropping-particle":"","parse-names":false,"suffix":""}],"container-title":"Science","id":"ITEM-1","issued":{"date-parts":[["2021","1","21"]]},"page":"eabe6959","title":"Model-informed COVID-19 vaccine prioritization strategies by age and serostatus","type":"article-journal"},"uris":["http://www.mendeley.com/documents/?uuid=b50b3ed8-3ca1-441c-b1d4-1264593c2c0a"]}],"mendeley":{"formattedCitation":"&lt;sup&gt;1&lt;/sup&gt;","plainTextFormattedCitation":"1","previouslyFormattedCitation":"&lt;sup&gt;1&lt;/sup&gt;"},"properties":{"noteIndex":0},"schema":"https://github.com/citation-style-language/schema/raw/master/csl-citation.json"}</w:instrText>
      </w:r>
      <w:r w:rsidR="00126AD6" w:rsidRPr="007C1DEE">
        <w:rPr>
          <w:rFonts w:ascii="Courier" w:hAnsi="Courier"/>
          <w:sz w:val="20"/>
          <w:szCs w:val="20"/>
        </w:rPr>
        <w:fldChar w:fldCharType="separate"/>
      </w:r>
      <w:r w:rsidR="00126AD6" w:rsidRPr="007C1DEE">
        <w:rPr>
          <w:rFonts w:ascii="Courier" w:hAnsi="Courier"/>
          <w:noProof/>
          <w:sz w:val="20"/>
          <w:szCs w:val="20"/>
          <w:vertAlign w:val="superscript"/>
        </w:rPr>
        <w:t>1</w:t>
      </w:r>
      <w:r w:rsidR="00126AD6" w:rsidRPr="007C1DEE">
        <w:rPr>
          <w:rFonts w:ascii="Courier" w:hAnsi="Courier"/>
          <w:sz w:val="20"/>
          <w:szCs w:val="20"/>
        </w:rPr>
        <w:fldChar w:fldCharType="end"/>
      </w:r>
      <w:r w:rsidR="00192BEA" w:rsidRPr="007C1DEE">
        <w:rPr>
          <w:rFonts w:ascii="Courier" w:hAnsi="Courier"/>
          <w:sz w:val="20"/>
          <w:szCs w:val="20"/>
        </w:rPr>
        <w:t xml:space="preserve"> </w:t>
      </w:r>
    </w:p>
    <w:p w14:paraId="4E4E59BC" w14:textId="77777777" w:rsidR="00126AD6" w:rsidRPr="007C1DEE" w:rsidRDefault="00452538" w:rsidP="00126AD6">
      <w:pPr>
        <w:pStyle w:val="ListParagraph"/>
        <w:numPr>
          <w:ilvl w:val="0"/>
          <w:numId w:val="1"/>
        </w:numPr>
        <w:rPr>
          <w:rFonts w:ascii="Courier" w:hAnsi="Courier"/>
          <w:sz w:val="20"/>
          <w:szCs w:val="20"/>
        </w:rPr>
      </w:pPr>
      <w:r w:rsidRPr="007C1DEE">
        <w:rPr>
          <w:rFonts w:ascii="Courier" w:hAnsi="Courier"/>
          <w:sz w:val="20"/>
          <w:szCs w:val="20"/>
        </w:rPr>
        <w:t>In practice, this</w:t>
      </w:r>
      <w:r w:rsidR="00CB7F44" w:rsidRPr="007C1DEE">
        <w:rPr>
          <w:rFonts w:ascii="Courier" w:hAnsi="Courier"/>
          <w:sz w:val="20"/>
          <w:szCs w:val="20"/>
        </w:rPr>
        <w:t xml:space="preserve"> has </w:t>
      </w:r>
      <w:r w:rsidR="00721A22" w:rsidRPr="007C1DEE">
        <w:rPr>
          <w:rFonts w:ascii="Courier" w:hAnsi="Courier"/>
          <w:sz w:val="20"/>
          <w:szCs w:val="20"/>
        </w:rPr>
        <w:t xml:space="preserve">led </w:t>
      </w:r>
      <w:r w:rsidR="00095A82" w:rsidRPr="007C1DEE">
        <w:rPr>
          <w:rFonts w:ascii="Courier" w:hAnsi="Courier"/>
          <w:sz w:val="20"/>
          <w:szCs w:val="20"/>
        </w:rPr>
        <w:t>policymakers to prioritize</w:t>
      </w:r>
      <w:r w:rsidR="00721202" w:rsidRPr="007C1DEE">
        <w:rPr>
          <w:rFonts w:ascii="Courier" w:hAnsi="Courier"/>
          <w:sz w:val="20"/>
          <w:szCs w:val="20"/>
        </w:rPr>
        <w:t xml:space="preserve"> vaccine doses by age</w:t>
      </w:r>
      <w:r w:rsidR="00126AD6" w:rsidRPr="007C1DEE">
        <w:rPr>
          <w:rFonts w:ascii="Courier" w:hAnsi="Courier"/>
          <w:sz w:val="20"/>
          <w:szCs w:val="20"/>
        </w:rPr>
        <w:t xml:space="preserve"> </w:t>
      </w:r>
      <w:r w:rsidR="00196373" w:rsidRPr="007C1DEE">
        <w:rPr>
          <w:rFonts w:ascii="Courier" w:hAnsi="Courier"/>
          <w:sz w:val="20"/>
          <w:szCs w:val="20"/>
        </w:rPr>
        <w:t>because</w:t>
      </w:r>
      <w:r w:rsidR="00126AD6" w:rsidRPr="007C1DEE">
        <w:rPr>
          <w:rFonts w:ascii="Courier" w:hAnsi="Courier"/>
          <w:sz w:val="20"/>
          <w:szCs w:val="20"/>
        </w:rPr>
        <w:t>:</w:t>
      </w:r>
    </w:p>
    <w:p w14:paraId="41E1EC4C" w14:textId="14839D77" w:rsidR="00126AD6" w:rsidRPr="007C1DEE" w:rsidRDefault="00196373" w:rsidP="00126AD6">
      <w:pPr>
        <w:pStyle w:val="ListParagraph"/>
        <w:numPr>
          <w:ilvl w:val="1"/>
          <w:numId w:val="1"/>
        </w:numPr>
        <w:rPr>
          <w:rFonts w:ascii="Courier" w:hAnsi="Courier"/>
          <w:sz w:val="20"/>
          <w:szCs w:val="20"/>
        </w:rPr>
      </w:pPr>
      <w:r w:rsidRPr="007C1DEE">
        <w:rPr>
          <w:rFonts w:ascii="Courier" w:hAnsi="Courier"/>
          <w:sz w:val="20"/>
          <w:szCs w:val="20"/>
        </w:rPr>
        <w:t>the risk of severe disease increases sharply with age</w:t>
      </w:r>
      <w:r w:rsidR="00126AD6" w:rsidRPr="007C1DEE">
        <w:rPr>
          <w:rFonts w:ascii="Courier" w:hAnsi="Courier"/>
          <w:sz w:val="20"/>
          <w:szCs w:val="20"/>
        </w:rPr>
        <w:t>,</w:t>
      </w:r>
      <w:r w:rsidRPr="007C1DEE">
        <w:rPr>
          <w:rFonts w:ascii="Courier" w:hAnsi="Courier"/>
          <w:sz w:val="20"/>
          <w:szCs w:val="20"/>
        </w:rPr>
        <w:t xml:space="preserve"> and </w:t>
      </w:r>
    </w:p>
    <w:p w14:paraId="001D4E2D" w14:textId="13330032" w:rsidR="00690431" w:rsidRPr="007C1DEE" w:rsidRDefault="00196373" w:rsidP="00126AD6">
      <w:pPr>
        <w:pStyle w:val="ListParagraph"/>
        <w:numPr>
          <w:ilvl w:val="1"/>
          <w:numId w:val="1"/>
        </w:numPr>
        <w:rPr>
          <w:rFonts w:ascii="Courier" w:hAnsi="Courier"/>
          <w:sz w:val="20"/>
          <w:szCs w:val="20"/>
        </w:rPr>
      </w:pPr>
      <w:r w:rsidRPr="007C1DEE">
        <w:rPr>
          <w:rFonts w:ascii="Courier" w:hAnsi="Courier"/>
          <w:sz w:val="20"/>
          <w:szCs w:val="20"/>
        </w:rPr>
        <w:t>insufficient data exist to</w:t>
      </w:r>
      <w:r w:rsidR="00382107" w:rsidRPr="007C1DEE">
        <w:rPr>
          <w:rFonts w:ascii="Courier" w:hAnsi="Courier"/>
          <w:sz w:val="20"/>
          <w:szCs w:val="20"/>
        </w:rPr>
        <w:t xml:space="preserve"> inform </w:t>
      </w:r>
      <w:r w:rsidR="00404619" w:rsidRPr="007C1DEE">
        <w:rPr>
          <w:rFonts w:ascii="Courier" w:hAnsi="Courier"/>
          <w:sz w:val="20"/>
          <w:szCs w:val="20"/>
        </w:rPr>
        <w:t xml:space="preserve">disease transmission models based on other </w:t>
      </w:r>
      <w:r w:rsidR="00BB3B61" w:rsidRPr="007C1DEE">
        <w:rPr>
          <w:rFonts w:ascii="Courier" w:hAnsi="Courier"/>
          <w:sz w:val="20"/>
          <w:szCs w:val="20"/>
        </w:rPr>
        <w:t xml:space="preserve">social and demographic factors. </w:t>
      </w:r>
    </w:p>
    <w:p w14:paraId="269B36D0" w14:textId="465DFE26" w:rsidR="00126AD6" w:rsidRPr="007C1DEE" w:rsidRDefault="00B574AE" w:rsidP="00126AD6">
      <w:pPr>
        <w:pStyle w:val="ListParagraph"/>
        <w:numPr>
          <w:ilvl w:val="0"/>
          <w:numId w:val="1"/>
        </w:numPr>
        <w:rPr>
          <w:rFonts w:ascii="Courier" w:hAnsi="Courier"/>
          <w:sz w:val="20"/>
          <w:szCs w:val="20"/>
        </w:rPr>
      </w:pPr>
      <w:r w:rsidRPr="007C1DEE">
        <w:rPr>
          <w:rFonts w:ascii="Courier" w:hAnsi="Courier"/>
          <w:sz w:val="20"/>
          <w:szCs w:val="20"/>
        </w:rPr>
        <w:t xml:space="preserve">However, </w:t>
      </w:r>
      <w:r w:rsidR="00485DA8" w:rsidRPr="007C1DEE">
        <w:rPr>
          <w:rFonts w:ascii="Courier" w:hAnsi="Courier"/>
          <w:sz w:val="20"/>
          <w:szCs w:val="20"/>
        </w:rPr>
        <w:t xml:space="preserve">due to differences in </w:t>
      </w:r>
      <w:r w:rsidR="00226FD0" w:rsidRPr="007C1DEE">
        <w:rPr>
          <w:rFonts w:ascii="Courier" w:hAnsi="Courier"/>
          <w:sz w:val="20"/>
          <w:szCs w:val="20"/>
        </w:rPr>
        <w:t>life expectancy</w:t>
      </w:r>
      <w:r w:rsidR="00BF76C0" w:rsidRPr="007C1DEE">
        <w:rPr>
          <w:rFonts w:ascii="Courier" w:hAnsi="Courier"/>
          <w:sz w:val="20"/>
          <w:szCs w:val="20"/>
        </w:rPr>
        <w:t xml:space="preserve"> between </w:t>
      </w:r>
      <w:r w:rsidR="003A7CA0" w:rsidRPr="007C1DEE">
        <w:rPr>
          <w:rFonts w:ascii="Courier" w:hAnsi="Courier"/>
          <w:sz w:val="20"/>
          <w:szCs w:val="20"/>
        </w:rPr>
        <w:t xml:space="preserve">racial/ethnic groups, </w:t>
      </w:r>
      <w:r w:rsidR="00E3745F" w:rsidRPr="007C1DEE">
        <w:rPr>
          <w:rFonts w:ascii="Courier" w:hAnsi="Courier"/>
          <w:sz w:val="20"/>
          <w:szCs w:val="20"/>
        </w:rPr>
        <w:t xml:space="preserve">age-based vaccine prioritization </w:t>
      </w:r>
      <w:r w:rsidR="00141BAF" w:rsidRPr="007C1DEE">
        <w:rPr>
          <w:rFonts w:ascii="Courier" w:hAnsi="Courier"/>
          <w:sz w:val="20"/>
          <w:szCs w:val="20"/>
        </w:rPr>
        <w:t>has contributed t</w:t>
      </w:r>
      <w:r w:rsidR="00A64492" w:rsidRPr="007C1DEE">
        <w:rPr>
          <w:rFonts w:ascii="Courier" w:hAnsi="Courier"/>
          <w:sz w:val="20"/>
          <w:szCs w:val="20"/>
        </w:rPr>
        <w:t xml:space="preserve">o </w:t>
      </w:r>
      <w:r w:rsidR="00367A4E" w:rsidRPr="007C1DEE">
        <w:rPr>
          <w:rFonts w:ascii="Courier" w:hAnsi="Courier"/>
          <w:sz w:val="20"/>
          <w:szCs w:val="20"/>
        </w:rPr>
        <w:t>racial/ethnic disparities in vaccination</w:t>
      </w:r>
      <w:r w:rsidR="00303809" w:rsidRPr="007C1DEE">
        <w:rPr>
          <w:rFonts w:ascii="Courier" w:hAnsi="Courier"/>
          <w:sz w:val="20"/>
          <w:szCs w:val="20"/>
        </w:rPr>
        <w:t xml:space="preserve"> rates. </w:t>
      </w:r>
    </w:p>
    <w:p w14:paraId="4CAADA78" w14:textId="2810DFC3" w:rsidR="002728FA" w:rsidRPr="007C1DEE" w:rsidRDefault="004A5A22" w:rsidP="00126AD6">
      <w:pPr>
        <w:pStyle w:val="ListParagraph"/>
        <w:numPr>
          <w:ilvl w:val="0"/>
          <w:numId w:val="1"/>
        </w:numPr>
        <w:rPr>
          <w:rFonts w:ascii="Courier" w:hAnsi="Courier"/>
          <w:sz w:val="20"/>
          <w:szCs w:val="20"/>
        </w:rPr>
      </w:pPr>
      <w:r w:rsidRPr="007C1DEE">
        <w:rPr>
          <w:rFonts w:ascii="Courier" w:hAnsi="Courier"/>
          <w:sz w:val="20"/>
          <w:szCs w:val="20"/>
        </w:rPr>
        <w:t xml:space="preserve">Furthermore, </w:t>
      </w:r>
      <w:r w:rsidR="00F61F75" w:rsidRPr="007C1DEE">
        <w:rPr>
          <w:rFonts w:ascii="Courier" w:hAnsi="Courier"/>
          <w:sz w:val="20"/>
          <w:szCs w:val="20"/>
        </w:rPr>
        <w:t xml:space="preserve">members of racial/ethnic minority groups </w:t>
      </w:r>
      <w:r w:rsidR="00661120" w:rsidRPr="007C1DEE">
        <w:rPr>
          <w:rFonts w:ascii="Courier" w:hAnsi="Courier"/>
          <w:sz w:val="20"/>
          <w:szCs w:val="20"/>
        </w:rPr>
        <w:t>dis</w:t>
      </w:r>
      <w:r w:rsidR="00C75990" w:rsidRPr="007C1DEE">
        <w:rPr>
          <w:rFonts w:ascii="Courier" w:hAnsi="Courier"/>
          <w:sz w:val="20"/>
          <w:szCs w:val="20"/>
        </w:rPr>
        <w:t xml:space="preserve">proportionately </w:t>
      </w:r>
      <w:r w:rsidR="00381A46" w:rsidRPr="007C1DEE">
        <w:rPr>
          <w:rFonts w:ascii="Courier" w:hAnsi="Courier"/>
          <w:sz w:val="20"/>
          <w:szCs w:val="20"/>
        </w:rPr>
        <w:t xml:space="preserve">hold </w:t>
      </w:r>
      <w:r w:rsidR="001B7621" w:rsidRPr="007C1DEE">
        <w:rPr>
          <w:rFonts w:ascii="Courier" w:hAnsi="Courier"/>
          <w:sz w:val="20"/>
          <w:szCs w:val="20"/>
        </w:rPr>
        <w:t xml:space="preserve">essential </w:t>
      </w:r>
      <w:r w:rsidR="00381A46" w:rsidRPr="007C1DEE">
        <w:rPr>
          <w:rFonts w:ascii="Courier" w:hAnsi="Courier"/>
          <w:sz w:val="20"/>
          <w:szCs w:val="20"/>
        </w:rPr>
        <w:t xml:space="preserve">jobs </w:t>
      </w:r>
      <w:r w:rsidR="00960E68" w:rsidRPr="007C1DEE">
        <w:rPr>
          <w:rFonts w:ascii="Courier" w:hAnsi="Courier"/>
          <w:sz w:val="20"/>
          <w:szCs w:val="20"/>
        </w:rPr>
        <w:t xml:space="preserve">that </w:t>
      </w:r>
      <w:r w:rsidR="003919EE" w:rsidRPr="007C1DEE">
        <w:rPr>
          <w:rFonts w:ascii="Courier" w:hAnsi="Courier"/>
          <w:sz w:val="20"/>
          <w:szCs w:val="20"/>
        </w:rPr>
        <w:t xml:space="preserve">require </w:t>
      </w:r>
      <w:r w:rsidR="00F82BD1" w:rsidRPr="007C1DEE">
        <w:rPr>
          <w:rFonts w:ascii="Courier" w:hAnsi="Courier"/>
          <w:sz w:val="20"/>
          <w:szCs w:val="20"/>
        </w:rPr>
        <w:t xml:space="preserve">frequent </w:t>
      </w:r>
      <w:r w:rsidR="007A6EE9" w:rsidRPr="007C1DEE">
        <w:rPr>
          <w:rFonts w:ascii="Courier" w:hAnsi="Courier"/>
          <w:sz w:val="20"/>
          <w:szCs w:val="20"/>
        </w:rPr>
        <w:t>interpersonal contacts</w:t>
      </w:r>
      <w:r w:rsidR="00383050" w:rsidRPr="007C1DEE">
        <w:rPr>
          <w:rFonts w:ascii="Courier" w:hAnsi="Courier"/>
          <w:sz w:val="20"/>
          <w:szCs w:val="20"/>
        </w:rPr>
        <w:t xml:space="preserve">, </w:t>
      </w:r>
      <w:r w:rsidR="0075630D" w:rsidRPr="007C1DEE">
        <w:rPr>
          <w:rFonts w:ascii="Courier" w:hAnsi="Courier"/>
          <w:sz w:val="20"/>
          <w:szCs w:val="20"/>
        </w:rPr>
        <w:t xml:space="preserve">raising their risk of both acquiring and transmitting SARS-CoV-2. </w:t>
      </w:r>
      <w:r w:rsidR="004A6036" w:rsidRPr="007C1DEE">
        <w:rPr>
          <w:rFonts w:ascii="Courier" w:hAnsi="Courier"/>
          <w:sz w:val="20"/>
          <w:szCs w:val="20"/>
        </w:rPr>
        <w:t xml:space="preserve">This underscores </w:t>
      </w:r>
      <w:r w:rsidR="0089334D" w:rsidRPr="007C1DEE">
        <w:rPr>
          <w:rFonts w:ascii="Courier" w:hAnsi="Courier"/>
          <w:sz w:val="20"/>
          <w:szCs w:val="20"/>
        </w:rPr>
        <w:t xml:space="preserve">the potential value </w:t>
      </w:r>
      <w:r w:rsidR="00BE3BC1" w:rsidRPr="007C1DEE">
        <w:rPr>
          <w:rFonts w:ascii="Courier" w:hAnsi="Courier"/>
          <w:sz w:val="20"/>
          <w:szCs w:val="20"/>
        </w:rPr>
        <w:t xml:space="preserve">of </w:t>
      </w:r>
      <w:r w:rsidR="00D916FC" w:rsidRPr="007C1DEE">
        <w:rPr>
          <w:rFonts w:ascii="Courier" w:hAnsi="Courier"/>
          <w:sz w:val="20"/>
          <w:szCs w:val="20"/>
        </w:rPr>
        <w:t xml:space="preserve">prioritizing </w:t>
      </w:r>
      <w:r w:rsidR="00FE16F6" w:rsidRPr="007C1DEE">
        <w:rPr>
          <w:rFonts w:ascii="Courier" w:hAnsi="Courier"/>
          <w:sz w:val="20"/>
          <w:szCs w:val="20"/>
        </w:rPr>
        <w:t xml:space="preserve">these populations for vaccination. </w:t>
      </w:r>
    </w:p>
    <w:p w14:paraId="78758DB4" w14:textId="27438D57" w:rsidR="004241B8" w:rsidRPr="007C1DEE" w:rsidRDefault="00A2221D" w:rsidP="00126AD6">
      <w:pPr>
        <w:pStyle w:val="ListParagraph"/>
        <w:numPr>
          <w:ilvl w:val="0"/>
          <w:numId w:val="1"/>
        </w:numPr>
        <w:rPr>
          <w:rFonts w:ascii="Courier" w:hAnsi="Courier"/>
          <w:sz w:val="20"/>
          <w:szCs w:val="20"/>
        </w:rPr>
      </w:pPr>
      <w:r w:rsidRPr="007C1DEE">
        <w:rPr>
          <w:rFonts w:ascii="Courier" w:hAnsi="Courier"/>
          <w:sz w:val="20"/>
          <w:szCs w:val="20"/>
        </w:rPr>
        <w:t xml:space="preserve">Vaccine uptake among </w:t>
      </w:r>
      <w:r w:rsidR="00D744A1" w:rsidRPr="007C1DEE">
        <w:rPr>
          <w:rFonts w:ascii="Courier" w:hAnsi="Courier"/>
          <w:sz w:val="20"/>
          <w:szCs w:val="20"/>
        </w:rPr>
        <w:t>75+ year-olds has reached __% in the United States</w:t>
      </w:r>
      <w:r w:rsidR="00051662" w:rsidRPr="007C1DEE">
        <w:rPr>
          <w:rFonts w:ascii="Courier" w:hAnsi="Courier"/>
          <w:sz w:val="20"/>
          <w:szCs w:val="20"/>
        </w:rPr>
        <w:t xml:space="preserve">, thereby protecting many of the most vulnerable </w:t>
      </w:r>
      <w:r w:rsidR="000501D5" w:rsidRPr="007C1DEE">
        <w:rPr>
          <w:rFonts w:ascii="Courier" w:hAnsi="Courier"/>
          <w:sz w:val="20"/>
          <w:szCs w:val="20"/>
        </w:rPr>
        <w:t>individuals</w:t>
      </w:r>
      <w:r w:rsidR="00E15F3D" w:rsidRPr="007C1DEE">
        <w:rPr>
          <w:rFonts w:ascii="Courier" w:hAnsi="Courier"/>
          <w:sz w:val="20"/>
          <w:szCs w:val="20"/>
        </w:rPr>
        <w:t xml:space="preserve">. </w:t>
      </w:r>
      <w:r w:rsidR="00A1458A" w:rsidRPr="007C1DEE">
        <w:rPr>
          <w:rFonts w:ascii="Courier" w:hAnsi="Courier"/>
          <w:sz w:val="20"/>
          <w:szCs w:val="20"/>
        </w:rPr>
        <w:t>I</w:t>
      </w:r>
      <w:r w:rsidR="00844588" w:rsidRPr="007C1DEE">
        <w:rPr>
          <w:rFonts w:ascii="Courier" w:hAnsi="Courier"/>
          <w:sz w:val="20"/>
          <w:szCs w:val="20"/>
        </w:rPr>
        <w:t xml:space="preserve">t is </w:t>
      </w:r>
      <w:r w:rsidR="00D155D9" w:rsidRPr="007C1DEE">
        <w:rPr>
          <w:rFonts w:ascii="Courier" w:hAnsi="Courier"/>
          <w:sz w:val="20"/>
          <w:szCs w:val="20"/>
        </w:rPr>
        <w:t xml:space="preserve">now </w:t>
      </w:r>
      <w:r w:rsidR="00F5793A" w:rsidRPr="007C1DEE">
        <w:rPr>
          <w:rFonts w:ascii="Courier" w:hAnsi="Courier"/>
          <w:sz w:val="20"/>
          <w:szCs w:val="20"/>
        </w:rPr>
        <w:t xml:space="preserve">an urgent priority to </w:t>
      </w:r>
      <w:r w:rsidR="00F23BE1" w:rsidRPr="007C1DEE">
        <w:rPr>
          <w:rFonts w:ascii="Courier" w:hAnsi="Courier"/>
          <w:sz w:val="20"/>
          <w:szCs w:val="20"/>
        </w:rPr>
        <w:t xml:space="preserve">consider </w:t>
      </w:r>
      <w:r w:rsidR="00195E1A" w:rsidRPr="007C1DEE">
        <w:rPr>
          <w:rFonts w:ascii="Courier" w:hAnsi="Courier"/>
          <w:sz w:val="20"/>
          <w:szCs w:val="20"/>
        </w:rPr>
        <w:t xml:space="preserve">whom to vaccinate next. </w:t>
      </w:r>
    </w:p>
    <w:p w14:paraId="06F4BD7E" w14:textId="77777777" w:rsidR="00630C5C" w:rsidRPr="007C1DEE" w:rsidRDefault="002E2676" w:rsidP="00126AD6">
      <w:pPr>
        <w:pStyle w:val="ListParagraph"/>
        <w:numPr>
          <w:ilvl w:val="0"/>
          <w:numId w:val="1"/>
        </w:numPr>
        <w:rPr>
          <w:rFonts w:ascii="Courier" w:hAnsi="Courier"/>
          <w:sz w:val="20"/>
          <w:szCs w:val="20"/>
        </w:rPr>
      </w:pPr>
      <w:r w:rsidRPr="007C1DEE">
        <w:rPr>
          <w:rFonts w:ascii="Courier" w:hAnsi="Courier"/>
          <w:sz w:val="20"/>
          <w:szCs w:val="20"/>
        </w:rPr>
        <w:t xml:space="preserve">This choice should be informed by </w:t>
      </w:r>
      <w:r w:rsidR="00342234" w:rsidRPr="007C1DEE">
        <w:rPr>
          <w:rFonts w:ascii="Courier" w:hAnsi="Courier"/>
          <w:sz w:val="20"/>
          <w:szCs w:val="20"/>
        </w:rPr>
        <w:t xml:space="preserve">a wide range of considerations including </w:t>
      </w:r>
      <w:r w:rsidR="003D4890" w:rsidRPr="007C1DEE">
        <w:rPr>
          <w:rFonts w:ascii="Courier" w:hAnsi="Courier"/>
          <w:sz w:val="20"/>
          <w:szCs w:val="20"/>
        </w:rPr>
        <w:t xml:space="preserve">justice, reciprocity, </w:t>
      </w:r>
      <w:r w:rsidR="001C6F28" w:rsidRPr="007C1DEE">
        <w:rPr>
          <w:rFonts w:ascii="Courier" w:hAnsi="Courier"/>
          <w:sz w:val="20"/>
          <w:szCs w:val="20"/>
        </w:rPr>
        <w:t xml:space="preserve">and anticipated epidemiological outcomes. </w:t>
      </w:r>
    </w:p>
    <w:p w14:paraId="11C15045" w14:textId="585D1B7F" w:rsidR="002E2676" w:rsidRPr="007C1DEE" w:rsidRDefault="00963C1C" w:rsidP="00126AD6">
      <w:pPr>
        <w:pStyle w:val="ListParagraph"/>
        <w:numPr>
          <w:ilvl w:val="0"/>
          <w:numId w:val="1"/>
        </w:numPr>
        <w:rPr>
          <w:rFonts w:ascii="Courier" w:hAnsi="Courier"/>
          <w:sz w:val="20"/>
          <w:szCs w:val="20"/>
        </w:rPr>
      </w:pPr>
      <w:r w:rsidRPr="007C1DEE">
        <w:rPr>
          <w:rFonts w:ascii="Courier" w:hAnsi="Courier"/>
          <w:sz w:val="20"/>
          <w:szCs w:val="20"/>
        </w:rPr>
        <w:t xml:space="preserve">This report considers </w:t>
      </w:r>
      <w:r w:rsidR="00540417" w:rsidRPr="007C1DEE">
        <w:rPr>
          <w:rFonts w:ascii="Courier" w:hAnsi="Courier"/>
          <w:sz w:val="20"/>
          <w:szCs w:val="20"/>
        </w:rPr>
        <w:t xml:space="preserve">the epidemiological angle. </w:t>
      </w:r>
    </w:p>
    <w:p w14:paraId="0E05ABE7" w14:textId="2A641F99" w:rsidR="00AE4AB2" w:rsidRPr="007C1DEE" w:rsidRDefault="00AE4AB2" w:rsidP="00AE4AB2">
      <w:pPr>
        <w:rPr>
          <w:rFonts w:ascii="Courier" w:hAnsi="Courier"/>
          <w:sz w:val="20"/>
          <w:szCs w:val="20"/>
        </w:rPr>
      </w:pPr>
    </w:p>
    <w:p w14:paraId="5E1D0387" w14:textId="712BC61B" w:rsidR="00681109" w:rsidRPr="007C1DEE" w:rsidRDefault="007966ED" w:rsidP="00AE4AB2">
      <w:pPr>
        <w:rPr>
          <w:rFonts w:ascii="Courier" w:hAnsi="Courier"/>
          <w:sz w:val="20"/>
          <w:szCs w:val="20"/>
        </w:rPr>
      </w:pPr>
      <w:r w:rsidRPr="007C1DEE">
        <w:rPr>
          <w:rFonts w:ascii="Courier" w:hAnsi="Courier"/>
          <w:sz w:val="20"/>
          <w:szCs w:val="20"/>
        </w:rPr>
        <w:t xml:space="preserve">APPROACH. </w:t>
      </w:r>
    </w:p>
    <w:p w14:paraId="3F8F3BD8" w14:textId="0262A3D9" w:rsidR="004E43DC" w:rsidRPr="007C1DEE" w:rsidRDefault="00783C12" w:rsidP="00661002">
      <w:pPr>
        <w:pStyle w:val="ListParagraph"/>
        <w:numPr>
          <w:ilvl w:val="0"/>
          <w:numId w:val="1"/>
        </w:numPr>
        <w:rPr>
          <w:rFonts w:ascii="Courier" w:hAnsi="Courier"/>
          <w:sz w:val="20"/>
          <w:szCs w:val="20"/>
        </w:rPr>
      </w:pPr>
      <w:r w:rsidRPr="007C1DEE">
        <w:rPr>
          <w:rFonts w:ascii="Courier" w:hAnsi="Courier"/>
          <w:sz w:val="20"/>
          <w:szCs w:val="20"/>
        </w:rPr>
        <w:t>W</w:t>
      </w:r>
      <w:r w:rsidR="00561A17" w:rsidRPr="007C1DEE">
        <w:rPr>
          <w:rFonts w:ascii="Courier" w:hAnsi="Courier"/>
          <w:sz w:val="20"/>
          <w:szCs w:val="20"/>
        </w:rPr>
        <w:t xml:space="preserve">e developed a mathematical </w:t>
      </w:r>
      <w:r w:rsidR="00661002" w:rsidRPr="007C1DEE">
        <w:rPr>
          <w:rFonts w:ascii="Courier" w:hAnsi="Courier"/>
          <w:sz w:val="20"/>
          <w:szCs w:val="20"/>
        </w:rPr>
        <w:t>model that...</w:t>
      </w:r>
      <w:r w:rsidR="004E43DC" w:rsidRPr="007C1DEE">
        <w:rPr>
          <w:rFonts w:ascii="Courier" w:hAnsi="Courier"/>
          <w:sz w:val="20"/>
          <w:szCs w:val="20"/>
        </w:rPr>
        <w:br w:type="page"/>
      </w:r>
    </w:p>
    <w:p w14:paraId="45495CD0" w14:textId="322BBA26" w:rsidR="00690431" w:rsidRPr="007C1DEE" w:rsidRDefault="004E43DC">
      <w:pPr>
        <w:rPr>
          <w:rFonts w:ascii="Courier" w:hAnsi="Courier"/>
          <w:sz w:val="20"/>
          <w:szCs w:val="20"/>
        </w:rPr>
      </w:pPr>
      <w:r w:rsidRPr="007C1DEE">
        <w:rPr>
          <w:rFonts w:ascii="Courier" w:hAnsi="Courier"/>
          <w:sz w:val="20"/>
          <w:szCs w:val="20"/>
        </w:rPr>
        <w:lastRenderedPageBreak/>
        <w:t>REFERENCES</w:t>
      </w:r>
    </w:p>
    <w:p w14:paraId="52912403" w14:textId="251F699F" w:rsidR="004E43DC" w:rsidRPr="007C1DEE" w:rsidRDefault="004E43DC">
      <w:pPr>
        <w:rPr>
          <w:rFonts w:ascii="Courier" w:hAnsi="Courier"/>
          <w:sz w:val="20"/>
          <w:szCs w:val="20"/>
        </w:rPr>
      </w:pPr>
    </w:p>
    <w:p w14:paraId="56E001E0" w14:textId="10FCB11A" w:rsidR="004E43DC" w:rsidRPr="007C1DEE" w:rsidRDefault="004E43DC" w:rsidP="004E43DC">
      <w:pPr>
        <w:widowControl w:val="0"/>
        <w:autoSpaceDE w:val="0"/>
        <w:autoSpaceDN w:val="0"/>
        <w:adjustRightInd w:val="0"/>
        <w:ind w:left="640" w:hanging="640"/>
        <w:rPr>
          <w:rFonts w:ascii="Courier" w:hAnsi="Courier"/>
          <w:noProof/>
          <w:sz w:val="20"/>
          <w:szCs w:val="20"/>
        </w:rPr>
      </w:pPr>
      <w:r w:rsidRPr="007C1DEE">
        <w:rPr>
          <w:rFonts w:ascii="Courier" w:hAnsi="Courier"/>
          <w:sz w:val="20"/>
          <w:szCs w:val="20"/>
        </w:rPr>
        <w:fldChar w:fldCharType="begin" w:fldLock="1"/>
      </w:r>
      <w:r w:rsidRPr="007C1DEE">
        <w:rPr>
          <w:rFonts w:ascii="Courier" w:hAnsi="Courier"/>
          <w:sz w:val="20"/>
          <w:szCs w:val="20"/>
        </w:rPr>
        <w:instrText xml:space="preserve">ADDIN Mendeley Bibliography CSL_BIBLIOGRAPHY </w:instrText>
      </w:r>
      <w:r w:rsidRPr="007C1DEE">
        <w:rPr>
          <w:rFonts w:ascii="Courier" w:hAnsi="Courier"/>
          <w:sz w:val="20"/>
          <w:szCs w:val="20"/>
        </w:rPr>
        <w:fldChar w:fldCharType="separate"/>
      </w:r>
      <w:r w:rsidRPr="007C1DEE">
        <w:rPr>
          <w:rFonts w:ascii="Courier" w:hAnsi="Courier" w:cs="Times New Roman"/>
          <w:noProof/>
          <w:sz w:val="20"/>
          <w:szCs w:val="20"/>
        </w:rPr>
        <w:t xml:space="preserve">1. </w:t>
      </w:r>
      <w:r w:rsidRPr="007C1DEE">
        <w:rPr>
          <w:rFonts w:ascii="Courier" w:hAnsi="Courier" w:cs="Times New Roman"/>
          <w:noProof/>
          <w:sz w:val="20"/>
          <w:szCs w:val="20"/>
        </w:rPr>
        <w:tab/>
        <w:t xml:space="preserve">Bubar KM, Reinholt K, Kissler SM, Lipsitch M, Cobey S, Grad YH, et al. Model-informed COVID-19 vaccine prioritization strategies by age and serostatus. </w:t>
      </w:r>
      <w:r w:rsidRPr="007C1DEE">
        <w:rPr>
          <w:rFonts w:ascii="Courier" w:hAnsi="Courier" w:cs="Times New Roman"/>
          <w:i/>
          <w:iCs/>
          <w:noProof/>
          <w:sz w:val="20"/>
          <w:szCs w:val="20"/>
        </w:rPr>
        <w:t>Science (80- )</w:t>
      </w:r>
      <w:r w:rsidRPr="007C1DEE">
        <w:rPr>
          <w:rFonts w:ascii="Courier" w:hAnsi="Courier" w:cs="Times New Roman"/>
          <w:noProof/>
          <w:sz w:val="20"/>
          <w:szCs w:val="20"/>
        </w:rPr>
        <w:t>. Published online January 21, 2021:eabe6959. doi:10.1126/science.abe6959</w:t>
      </w:r>
    </w:p>
    <w:p w14:paraId="4123CD22" w14:textId="6AB4DCBE" w:rsidR="004E43DC" w:rsidRPr="007C1DEE" w:rsidRDefault="004E43DC">
      <w:pPr>
        <w:rPr>
          <w:rFonts w:ascii="Courier" w:hAnsi="Courier"/>
          <w:sz w:val="20"/>
          <w:szCs w:val="20"/>
        </w:rPr>
      </w:pPr>
      <w:r w:rsidRPr="007C1DEE">
        <w:rPr>
          <w:rFonts w:ascii="Courier" w:hAnsi="Courier"/>
          <w:sz w:val="20"/>
          <w:szCs w:val="20"/>
        </w:rPr>
        <w:fldChar w:fldCharType="end"/>
      </w:r>
    </w:p>
    <w:p w14:paraId="79B6B31E" w14:textId="77777777" w:rsidR="00306C7E" w:rsidRPr="007C1DEE" w:rsidRDefault="00306C7E">
      <w:pPr>
        <w:rPr>
          <w:rFonts w:ascii="Courier" w:hAnsi="Courier"/>
          <w:sz w:val="20"/>
          <w:szCs w:val="20"/>
        </w:rPr>
      </w:pPr>
    </w:p>
    <w:p w14:paraId="78C270FC" w14:textId="77777777" w:rsidR="00306C7E" w:rsidRPr="007C1DEE" w:rsidRDefault="00306C7E">
      <w:pPr>
        <w:rPr>
          <w:rFonts w:ascii="Courier" w:hAnsi="Courier"/>
          <w:sz w:val="20"/>
          <w:szCs w:val="20"/>
        </w:rPr>
      </w:pPr>
    </w:p>
    <w:sectPr w:rsidR="00306C7E" w:rsidRPr="007C1DEE" w:rsidSect="00196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54ECF"/>
    <w:multiLevelType w:val="hybridMultilevel"/>
    <w:tmpl w:val="4B464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7E"/>
    <w:rsid w:val="000041DA"/>
    <w:rsid w:val="00007A64"/>
    <w:rsid w:val="00013257"/>
    <w:rsid w:val="000265F6"/>
    <w:rsid w:val="00031B8A"/>
    <w:rsid w:val="00044705"/>
    <w:rsid w:val="000501D5"/>
    <w:rsid w:val="00051662"/>
    <w:rsid w:val="00063A2F"/>
    <w:rsid w:val="0007784A"/>
    <w:rsid w:val="00087E24"/>
    <w:rsid w:val="00095A82"/>
    <w:rsid w:val="000A3F0F"/>
    <w:rsid w:val="000C1857"/>
    <w:rsid w:val="000D1B60"/>
    <w:rsid w:val="000D2079"/>
    <w:rsid w:val="00126AD6"/>
    <w:rsid w:val="00137724"/>
    <w:rsid w:val="00141BAF"/>
    <w:rsid w:val="0014583A"/>
    <w:rsid w:val="001522F0"/>
    <w:rsid w:val="00166B10"/>
    <w:rsid w:val="001868C6"/>
    <w:rsid w:val="00192BEA"/>
    <w:rsid w:val="001939CB"/>
    <w:rsid w:val="00195E1A"/>
    <w:rsid w:val="00196373"/>
    <w:rsid w:val="001964A6"/>
    <w:rsid w:val="001A3547"/>
    <w:rsid w:val="001B7621"/>
    <w:rsid w:val="001C6F28"/>
    <w:rsid w:val="001C720A"/>
    <w:rsid w:val="001D4FA7"/>
    <w:rsid w:val="00226FD0"/>
    <w:rsid w:val="002728FA"/>
    <w:rsid w:val="002E2676"/>
    <w:rsid w:val="002F648E"/>
    <w:rsid w:val="00303809"/>
    <w:rsid w:val="00306C7E"/>
    <w:rsid w:val="003075B4"/>
    <w:rsid w:val="00320427"/>
    <w:rsid w:val="003307CE"/>
    <w:rsid w:val="00337506"/>
    <w:rsid w:val="00342234"/>
    <w:rsid w:val="00356204"/>
    <w:rsid w:val="00367A4E"/>
    <w:rsid w:val="0037054F"/>
    <w:rsid w:val="003708DA"/>
    <w:rsid w:val="003712D7"/>
    <w:rsid w:val="00381A46"/>
    <w:rsid w:val="00382107"/>
    <w:rsid w:val="00383050"/>
    <w:rsid w:val="003919EE"/>
    <w:rsid w:val="003A7CA0"/>
    <w:rsid w:val="003D4890"/>
    <w:rsid w:val="003D4FD0"/>
    <w:rsid w:val="003E1D7A"/>
    <w:rsid w:val="003F12B2"/>
    <w:rsid w:val="00404619"/>
    <w:rsid w:val="004241B8"/>
    <w:rsid w:val="00433EB9"/>
    <w:rsid w:val="00450C83"/>
    <w:rsid w:val="00452538"/>
    <w:rsid w:val="0046348C"/>
    <w:rsid w:val="00485DA8"/>
    <w:rsid w:val="0049278F"/>
    <w:rsid w:val="004A35C0"/>
    <w:rsid w:val="004A5A22"/>
    <w:rsid w:val="004A6036"/>
    <w:rsid w:val="004B5404"/>
    <w:rsid w:val="004C4E39"/>
    <w:rsid w:val="004E358E"/>
    <w:rsid w:val="004E43DC"/>
    <w:rsid w:val="004E7CCA"/>
    <w:rsid w:val="004F1F75"/>
    <w:rsid w:val="004F3B7B"/>
    <w:rsid w:val="005208D4"/>
    <w:rsid w:val="00524130"/>
    <w:rsid w:val="00536075"/>
    <w:rsid w:val="00540417"/>
    <w:rsid w:val="00561A17"/>
    <w:rsid w:val="005C190E"/>
    <w:rsid w:val="005C1BD2"/>
    <w:rsid w:val="006019EA"/>
    <w:rsid w:val="00630C5C"/>
    <w:rsid w:val="00633D44"/>
    <w:rsid w:val="00661002"/>
    <w:rsid w:val="00661120"/>
    <w:rsid w:val="00662D6C"/>
    <w:rsid w:val="00681109"/>
    <w:rsid w:val="006864BE"/>
    <w:rsid w:val="00690431"/>
    <w:rsid w:val="006F3B22"/>
    <w:rsid w:val="0070053A"/>
    <w:rsid w:val="00703597"/>
    <w:rsid w:val="00705772"/>
    <w:rsid w:val="00720D2C"/>
    <w:rsid w:val="00721202"/>
    <w:rsid w:val="00721A22"/>
    <w:rsid w:val="00752FEB"/>
    <w:rsid w:val="00753FBC"/>
    <w:rsid w:val="0075630D"/>
    <w:rsid w:val="00777B80"/>
    <w:rsid w:val="0078363A"/>
    <w:rsid w:val="00783C12"/>
    <w:rsid w:val="007966ED"/>
    <w:rsid w:val="007A6EE9"/>
    <w:rsid w:val="007C1328"/>
    <w:rsid w:val="007C1DEE"/>
    <w:rsid w:val="007C23DF"/>
    <w:rsid w:val="007F187A"/>
    <w:rsid w:val="00800F71"/>
    <w:rsid w:val="00801B58"/>
    <w:rsid w:val="008107F3"/>
    <w:rsid w:val="00814570"/>
    <w:rsid w:val="00844588"/>
    <w:rsid w:val="008467D5"/>
    <w:rsid w:val="008538B2"/>
    <w:rsid w:val="008647E6"/>
    <w:rsid w:val="008669C0"/>
    <w:rsid w:val="00882092"/>
    <w:rsid w:val="00883ED4"/>
    <w:rsid w:val="008866CF"/>
    <w:rsid w:val="0089334D"/>
    <w:rsid w:val="008C09DC"/>
    <w:rsid w:val="00902C00"/>
    <w:rsid w:val="00960E68"/>
    <w:rsid w:val="00960EEF"/>
    <w:rsid w:val="00963B0D"/>
    <w:rsid w:val="00963C1C"/>
    <w:rsid w:val="009650DD"/>
    <w:rsid w:val="00973074"/>
    <w:rsid w:val="009A6D09"/>
    <w:rsid w:val="009B65E6"/>
    <w:rsid w:val="009C43D7"/>
    <w:rsid w:val="009D0115"/>
    <w:rsid w:val="009E2E4C"/>
    <w:rsid w:val="009E3AA8"/>
    <w:rsid w:val="009E71B7"/>
    <w:rsid w:val="00A13441"/>
    <w:rsid w:val="00A1458A"/>
    <w:rsid w:val="00A20AF3"/>
    <w:rsid w:val="00A2221D"/>
    <w:rsid w:val="00A26C10"/>
    <w:rsid w:val="00A32173"/>
    <w:rsid w:val="00A51427"/>
    <w:rsid w:val="00A64492"/>
    <w:rsid w:val="00A77215"/>
    <w:rsid w:val="00A8369C"/>
    <w:rsid w:val="00AD669B"/>
    <w:rsid w:val="00AE4AB2"/>
    <w:rsid w:val="00AE4DE5"/>
    <w:rsid w:val="00AE5A9A"/>
    <w:rsid w:val="00AF399F"/>
    <w:rsid w:val="00B04BB9"/>
    <w:rsid w:val="00B22F32"/>
    <w:rsid w:val="00B26D04"/>
    <w:rsid w:val="00B34D75"/>
    <w:rsid w:val="00B574AE"/>
    <w:rsid w:val="00B65471"/>
    <w:rsid w:val="00B67690"/>
    <w:rsid w:val="00BA1C9D"/>
    <w:rsid w:val="00BB3488"/>
    <w:rsid w:val="00BB3B61"/>
    <w:rsid w:val="00BB6B3C"/>
    <w:rsid w:val="00BC0C9C"/>
    <w:rsid w:val="00BD3D74"/>
    <w:rsid w:val="00BE0383"/>
    <w:rsid w:val="00BE3BC1"/>
    <w:rsid w:val="00BF76C0"/>
    <w:rsid w:val="00BF7E61"/>
    <w:rsid w:val="00C01287"/>
    <w:rsid w:val="00C10345"/>
    <w:rsid w:val="00C1272A"/>
    <w:rsid w:val="00C37643"/>
    <w:rsid w:val="00C55BC2"/>
    <w:rsid w:val="00C60032"/>
    <w:rsid w:val="00C673E2"/>
    <w:rsid w:val="00C75990"/>
    <w:rsid w:val="00CA0125"/>
    <w:rsid w:val="00CB7CBE"/>
    <w:rsid w:val="00CB7F44"/>
    <w:rsid w:val="00CE70C4"/>
    <w:rsid w:val="00CF41D7"/>
    <w:rsid w:val="00D11BBF"/>
    <w:rsid w:val="00D155D9"/>
    <w:rsid w:val="00D34F78"/>
    <w:rsid w:val="00D423EF"/>
    <w:rsid w:val="00D46A3A"/>
    <w:rsid w:val="00D57F3F"/>
    <w:rsid w:val="00D744A1"/>
    <w:rsid w:val="00D75F30"/>
    <w:rsid w:val="00D84C0D"/>
    <w:rsid w:val="00D87F02"/>
    <w:rsid w:val="00D916FC"/>
    <w:rsid w:val="00D93965"/>
    <w:rsid w:val="00DA0190"/>
    <w:rsid w:val="00DC23DF"/>
    <w:rsid w:val="00DC5CAC"/>
    <w:rsid w:val="00DF39E3"/>
    <w:rsid w:val="00E04B5D"/>
    <w:rsid w:val="00E14849"/>
    <w:rsid w:val="00E15F3D"/>
    <w:rsid w:val="00E2051A"/>
    <w:rsid w:val="00E3745F"/>
    <w:rsid w:val="00E416DB"/>
    <w:rsid w:val="00E7115C"/>
    <w:rsid w:val="00E7624E"/>
    <w:rsid w:val="00E81632"/>
    <w:rsid w:val="00F00417"/>
    <w:rsid w:val="00F118CD"/>
    <w:rsid w:val="00F17557"/>
    <w:rsid w:val="00F23BE1"/>
    <w:rsid w:val="00F5793A"/>
    <w:rsid w:val="00F61F75"/>
    <w:rsid w:val="00F66345"/>
    <w:rsid w:val="00F82BD1"/>
    <w:rsid w:val="00F84811"/>
    <w:rsid w:val="00FC5B0A"/>
    <w:rsid w:val="00FE16F6"/>
    <w:rsid w:val="00FE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CFD6"/>
  <w15:chartTrackingRefBased/>
  <w15:docId w15:val="{692A9A45-B79F-CD4B-A2AD-C64BED74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C7E"/>
    <w:rPr>
      <w:color w:val="0563C1" w:themeColor="hyperlink"/>
      <w:u w:val="single"/>
    </w:rPr>
  </w:style>
  <w:style w:type="character" w:styleId="UnresolvedMention">
    <w:name w:val="Unresolved Mention"/>
    <w:basedOn w:val="DefaultParagraphFont"/>
    <w:uiPriority w:val="99"/>
    <w:semiHidden/>
    <w:unhideWhenUsed/>
    <w:rsid w:val="00306C7E"/>
    <w:rPr>
      <w:color w:val="605E5C"/>
      <w:shd w:val="clear" w:color="auto" w:fill="E1DFDD"/>
    </w:rPr>
  </w:style>
  <w:style w:type="paragraph" w:styleId="ListParagraph">
    <w:name w:val="List Paragraph"/>
    <w:basedOn w:val="Normal"/>
    <w:uiPriority w:val="34"/>
    <w:qFormat/>
    <w:rsid w:val="005C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kissler@hsph.harvard.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CD2E9-E17C-FC40-BC41-E388D5B25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Kissler</dc:creator>
  <cp:keywords/>
  <dc:description/>
  <cp:lastModifiedBy>Stephen Kissler</cp:lastModifiedBy>
  <cp:revision>323</cp:revision>
  <dcterms:created xsi:type="dcterms:W3CDTF">2021-02-19T16:32:00Z</dcterms:created>
  <dcterms:modified xsi:type="dcterms:W3CDTF">2021-02-19T17:08:00Z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http://csl.mendeley.com/styles/23924871/american-medical-association</vt:lpwstr>
  </property>
  <property fmtid="{D5CDD505-2E9C-101B-9397-08002B2CF9AE}" pid="3" name="Mendeley Recent Style Name 0_1">
    <vt:lpwstr>American Medical Association - Stephen Kissler</vt:lpwstr>
  </property>
  <property fmtid="{D5CDD505-2E9C-101B-9397-08002B2CF9AE}" pid="4" name="Mendeley Recent Style Id 1_1">
    <vt:lpwstr>http://csl.mendeley.com/styles/23924871/american-medical-association-2</vt:lpwstr>
  </property>
  <property fmtid="{D5CDD505-2E9C-101B-9397-08002B2CF9AE}" pid="5" name="Mendeley Recent Style Name 1_1">
    <vt:lpwstr>American Medical Association 11th edition - Stephen Kissler</vt:lpwstr>
  </property>
  <property fmtid="{D5CDD505-2E9C-101B-9397-08002B2CF9AE}" pid="6" name="Mendeley Recent Style Id 2_1">
    <vt:lpwstr>https://csl.mendeley.com/styles/23924871/american-medical-association-2</vt:lpwstr>
  </property>
  <property fmtid="{D5CDD505-2E9C-101B-9397-08002B2CF9AE}" pid="7" name="Mendeley Recent Style Name 2_1">
    <vt:lpwstr>American Medical Association 11th edition - Stephen Kissler</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http://csl.mendeley.com/styles/23924871/proceedings-of-the-royal-society-b</vt:lpwstr>
  </property>
  <property fmtid="{D5CDD505-2E9C-101B-9397-08002B2CF9AE}" pid="19" name="Mendeley Recent Style Name 8_1">
    <vt:lpwstr>Proceedings of the Royal Society B - Stephen Kissler</vt:lpwstr>
  </property>
  <property fmtid="{D5CDD505-2E9C-101B-9397-08002B2CF9AE}" pid="20" name="Mendeley Recent Style Id 9_1">
    <vt:lpwstr>http://www.zotero.org/styles/royal-society-open-science</vt:lpwstr>
  </property>
  <property fmtid="{D5CDD505-2E9C-101B-9397-08002B2CF9AE}" pid="21" name="Mendeley Recent Style Name 9_1">
    <vt:lpwstr>Royal Society Open Science</vt:lpwstr>
  </property>
  <property fmtid="{D5CDD505-2E9C-101B-9397-08002B2CF9AE}" pid="22" name="Mendeley Document_1">
    <vt:lpwstr>True</vt:lpwstr>
  </property>
  <property fmtid="{D5CDD505-2E9C-101B-9397-08002B2CF9AE}" pid="23" name="Mendeley Unique User Id_1">
    <vt:lpwstr>253a4d82-5539-3846-ad98-f1f417513ada</vt:lpwstr>
  </property>
  <property fmtid="{D5CDD505-2E9C-101B-9397-08002B2CF9AE}" pid="24" name="Mendeley Citation Style_1">
    <vt:lpwstr>https://csl.mendeley.com/styles/23924871/american-medical-association-2</vt:lpwstr>
  </property>
</Properties>
</file>