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65D" w:val="clear"/>
            <w:tcMar>
              <w:top w:type="dxa" w:w="280"/>
              <w:left w:type="dxa" w:w="280"/>
              <w:bottom w:type="dxa" w:w="280"/>
              <w:right w:type="dxa" w:w="280"/>
            </w:tcMar>
          </w:tcPr>
          <w:p>
            <w:pPr>
              <w:spacing w:after="80"/>
            </w:pPr>
            <w:r>
              <w:rPr>
                <w:rFonts w:ascii="Calibri" w:cs="Calibri" w:eastAsia="Calibri" w:hAnsi="Calibri"/>
                <w:b/>
                <w:bCs/>
                <w:i w:val="false"/>
                <w:iCs w:val="false"/>
                <w:color w:val="7DD3D6"/>
                <w:sz w:val="20"/>
                <w:szCs w:val="20"/>
              </w:rPr>
              <w:t xml:space="preserve">PLATFORM DATA ENGINEERING</w:t>
            </w:r>
          </w:p>
          <w:p>
            <w:pPr>
              <w:spacing w:after="80"/>
            </w:pPr>
            <w:r>
              <w:rPr>
                <w:rFonts w:ascii="Calibri" w:cs="Calibri" w:eastAsia="Calibri" w:hAnsi="Calibri"/>
                <w:b/>
                <w:bCs/>
                <w:i w:val="false"/>
                <w:iCs w:val="false"/>
                <w:color w:val="FFFFFF"/>
                <w:sz w:val="40"/>
                <w:szCs w:val="40"/>
              </w:rPr>
              <w:t xml:space="preserve">Service Usage Contract and Operating Agreement</w:t>
            </w:r>
          </w:p>
          <w:p>
            <w:pPr>
              <w:spacing w:after="0"/>
            </w:pPr>
            <w:r>
              <w:rPr>
                <w:rFonts w:ascii="Calibri" w:cs="Calibri" w:eastAsia="Calibri" w:hAnsi="Calibri"/>
                <w:b w:val="false"/>
                <w:bCs w:val="false"/>
                <w:i w:val="false"/>
                <w:iCs w:val="false"/>
                <w:color w:val="CBD5E1"/>
                <w:sz w:val="20"/>
                <w:szCs w:val="20"/>
              </w:rPr>
              <w:t xml:space="preserve">Do’s and Don’ts for Domain Engineers  ·  Fabric Pipelines, Notebooks, Spark Libraries, and DevOps CI/CD</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Document control</w:t>
            </w:r>
          </w:p>
        </w:tc>
        <w:tc>
          <w:tcPr>
            <w:tcW w:type="dxa" w:w="728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Document type</w:t>
            </w:r>
          </w:p>
        </w:tc>
        <w:tc>
          <w:tcPr>
            <w:tcW w:type="dxa" w:w="72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Internal operating agreement / service contract</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Audience</w:t>
            </w:r>
          </w:p>
        </w:tc>
        <w:tc>
          <w:tcPr>
            <w:tcW w:type="dxa" w:w="72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Domain data engineers, analytics engineers, and product owners consuming Platform services</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Owner</w:t>
            </w:r>
          </w:p>
        </w:tc>
        <w:tc>
          <w:tcPr>
            <w:tcW w:type="dxa" w:w="72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Platform Data Engineering</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Effective date</w:t>
            </w:r>
          </w:p>
        </w:tc>
        <w:tc>
          <w:tcPr>
            <w:tcW w:type="dxa" w:w="72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September 2026</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Review cadence</w:t>
            </w:r>
          </w:p>
        </w:tc>
        <w:tc>
          <w:tcPr>
            <w:tcW w:type="dxa" w:w="72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Quarterly, or after a material change to Platform-owned assets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Classification</w:t>
            </w:r>
          </w:p>
        </w:tc>
        <w:tc>
          <w:tcPr>
            <w:tcW w:type="dxa" w:w="72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Internal</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7377" w:sz="4"/>
              <w:left w:val="single" w:color="0D7377" w:sz="24"/>
              <w:bottom w:val="single" w:color="0D7377" w:sz="4"/>
              <w:right w:val="single" w:color="0D7377" w:sz="4"/>
            </w:tcBorders>
            <w:shd w:fill="E6F4F4" w:val="clear"/>
            <w:tcMar>
              <w:top w:type="dxa" w:w="100"/>
              <w:left w:type="dxa" w:w="160"/>
              <w:bottom w:type="dxa" w:w="100"/>
              <w:right w:type="dxa" w:w="160"/>
            </w:tcMar>
          </w:tcPr>
          <w:p>
            <w:pPr>
              <w:spacing w:after="60"/>
            </w:pPr>
            <w:r>
              <w:rPr>
                <w:rFonts w:ascii="Calibri" w:cs="Calibri" w:eastAsia="Calibri" w:hAnsi="Calibri"/>
                <w:b/>
                <w:bCs/>
                <w:i w:val="false"/>
                <w:iCs w:val="false"/>
                <w:color w:val="0D7377"/>
                <w:sz w:val="20"/>
                <w:szCs w:val="20"/>
              </w:rPr>
              <w:t xml:space="preserve">Intent of this document</w:t>
            </w:r>
          </w:p>
          <w:p>
            <w:pPr>
              <w:spacing w:after="0" w:line="260"/>
            </w:pPr>
            <w:r>
              <w:rPr>
                <w:rFonts w:ascii="Calibri" w:cs="Calibri" w:eastAsia="Calibri" w:hAnsi="Calibri"/>
                <w:b w:val="false"/>
                <w:bCs w:val="false"/>
                <w:i w:val="false"/>
                <w:iCs w:val="false"/>
                <w:color w:val="334155"/>
                <w:sz w:val="20"/>
                <w:szCs w:val="20"/>
              </w:rPr>
              <w:t xml:space="preserve">This is a partnership contract, not a gatekeeping list. Platform owns the shared engine so Domain teams can ship data products faster, safer, and without inheriting platform maintenance. The rules below exist to keep services stable, secure, and supportable — and to give Domain teams a clear, low-friction path when the platform needs to change.</w:t>
            </w:r>
          </w:p>
        </w:tc>
      </w:tr>
    </w:tbl>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1. Purpose and outcomes</w:t>
      </w:r>
    </w:p>
    <w:p>
      <w:pPr>
        <w:spacing w:after="140" w:before="0" w:line="276"/>
        <w:jc w:val="left"/>
      </w:pPr>
      <w:r>
        <w:rPr>
          <w:rFonts w:ascii="Calibri" w:cs="Calibri" w:eastAsia="Calibri" w:hAnsi="Calibri"/>
          <w:b w:val="false"/>
          <w:bCs w:val="false"/>
          <w:i w:val="false"/>
          <w:iCs w:val="false"/>
          <w:color w:val="334155"/>
          <w:sz w:val="22"/>
          <w:szCs w:val="22"/>
        </w:rPr>
        <w:t xml:space="preserve">This agreement defines how Domain Engineering teams use Platform-owned Data Engineering services in Microsoft Fabric and Azure DevOps. It establishes ownership, permitted use, prohibited modification, extension points, and the intake path for change. The intended outcomes are: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Fewer production incidents caused by unofficial edits to shared pipelines, notebooks, libraries, or CI/CD.</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Faster Domain delivery through reusable, supported building blocks instead of one-off forks.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Predictable support: Platform can stand behind assets it owns and can refuse support for assets it does not.</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A single, documented path to request capabilities so “just this once” edits do not become tribal knowledge.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Shared language for reviews, onboarding, and incident postmortems.</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2. Guiding principles</w:t>
      </w:r>
    </w:p>
    <w:p>
      <w:pPr>
        <w:pStyle w:val="ListParagraph"/>
        <w:numPr>
          <w:ilvl w:val="0"/>
          <w:numId w:val="3"/>
        </w:numPr>
        <w:spacing w:after="80" w:before="40" w:line="276"/>
      </w:pPr>
      <w:r>
        <w:rPr>
          <w:rFonts w:ascii="Calibri" w:cs="Calibri" w:eastAsia="Calibri" w:hAnsi="Calibri"/>
          <w:b/>
          <w:bCs/>
          <w:i w:val="false"/>
          <w:iCs w:val="false"/>
          <w:color w:val="1B365D"/>
          <w:sz w:val="21"/>
          <w:szCs w:val="21"/>
        </w:rPr>
        <w:t xml:space="preserve">Consume, do not fork. </w:t>
      </w:r>
      <w:r>
        <w:rPr>
          <w:rFonts w:ascii="Calibri" w:cs="Calibri" w:eastAsia="Calibri" w:hAnsi="Calibri"/>
          <w:b w:val="false"/>
          <w:bCs w:val="false"/>
          <w:i w:val="false"/>
          <w:iCs w:val="false"/>
          <w:color w:val="334155"/>
          <w:sz w:val="21"/>
          <w:szCs w:val="21"/>
        </w:rPr>
        <w:t xml:space="preserve">Use published versions of Platform services. Do not copy a pipeline, notebook, library, or YAML definition into a Domain repo in order to “tweak it.”</w:t>
      </w:r>
    </w:p>
    <w:p>
      <w:pPr>
        <w:pStyle w:val="ListParagraph"/>
        <w:numPr>
          <w:ilvl w:val="0"/>
          <w:numId w:val="3"/>
        </w:numPr>
        <w:spacing w:after="80" w:before="40" w:line="276"/>
      </w:pPr>
      <w:r>
        <w:rPr>
          <w:rFonts w:ascii="Calibri" w:cs="Calibri" w:eastAsia="Calibri" w:hAnsi="Calibri"/>
          <w:b/>
          <w:bCs/>
          <w:i w:val="false"/>
          <w:iCs w:val="false"/>
          <w:color w:val="1B365D"/>
          <w:sz w:val="21"/>
          <w:szCs w:val="21"/>
        </w:rPr>
        <w:t xml:space="preserve">Own your product, not the platform. </w:t>
      </w:r>
      <w:r>
        <w:rPr>
          <w:rFonts w:ascii="Calibri" w:cs="Calibri" w:eastAsia="Calibri" w:hAnsi="Calibri"/>
          <w:b w:val="false"/>
          <w:bCs w:val="false"/>
          <w:i w:val="false"/>
          <w:iCs w:val="false"/>
          <w:color w:val="334155"/>
          <w:sz w:val="21"/>
          <w:szCs w:val="21"/>
        </w:rPr>
        <w:t xml:space="preserve">Domains own business logic, domain models, data contracts, and product SLAs. Platform owns the shared runtime, patterns, security controls, and release machinery.</w:t>
      </w:r>
    </w:p>
    <w:p>
      <w:pPr>
        <w:pStyle w:val="ListParagraph"/>
        <w:numPr>
          <w:ilvl w:val="0"/>
          <w:numId w:val="3"/>
        </w:numPr>
        <w:spacing w:after="80" w:before="40" w:line="276"/>
      </w:pPr>
      <w:r>
        <w:rPr>
          <w:rFonts w:ascii="Calibri" w:cs="Calibri" w:eastAsia="Calibri" w:hAnsi="Calibri"/>
          <w:b/>
          <w:bCs/>
          <w:i w:val="false"/>
          <w:iCs w:val="false"/>
          <w:color w:val="1B365D"/>
          <w:sz w:val="21"/>
          <w:szCs w:val="21"/>
        </w:rPr>
        <w:t xml:space="preserve">Extend at published points. </w:t>
      </w:r>
      <w:r>
        <w:rPr>
          <w:rFonts w:ascii="Calibri" w:cs="Calibri" w:eastAsia="Calibri" w:hAnsi="Calibri"/>
          <w:b w:val="false"/>
          <w:bCs w:val="false"/>
          <w:i w:val="false"/>
          <w:iCs w:val="false"/>
          <w:color w:val="334155"/>
          <w:sz w:val="21"/>
          <w:szCs w:val="21"/>
        </w:rPr>
        <w:t xml:space="preserve">If a capability is missing, use configuration, parameters, hooks, or an approved Domain overlay. Do not edit Platform source.</w:t>
      </w:r>
    </w:p>
    <w:p>
      <w:pPr>
        <w:pStyle w:val="ListParagraph"/>
        <w:numPr>
          <w:ilvl w:val="0"/>
          <w:numId w:val="3"/>
        </w:numPr>
        <w:spacing w:after="80" w:before="40" w:line="276"/>
      </w:pPr>
      <w:r>
        <w:rPr>
          <w:rFonts w:ascii="Calibri" w:cs="Calibri" w:eastAsia="Calibri" w:hAnsi="Calibri"/>
          <w:b/>
          <w:bCs/>
          <w:i w:val="false"/>
          <w:iCs w:val="false"/>
          <w:color w:val="1B365D"/>
          <w:sz w:val="21"/>
          <w:szCs w:val="21"/>
        </w:rPr>
        <w:t xml:space="preserve">Ask early, in the open. </w:t>
      </w:r>
      <w:r>
        <w:rPr>
          <w:rFonts w:ascii="Calibri" w:cs="Calibri" w:eastAsia="Calibri" w:hAnsi="Calibri"/>
          <w:b w:val="false"/>
          <w:bCs w:val="false"/>
          <w:i w:val="false"/>
          <w:iCs w:val="false"/>
          <w:color w:val="334155"/>
          <w:sz w:val="21"/>
          <w:szCs w:val="21"/>
        </w:rPr>
        <w:t xml:space="preserve">A same-day question in the Platform intake channel is cheaper than a silent fork that breaks on the next Platform release.</w:t>
      </w:r>
    </w:p>
    <w:p>
      <w:pPr>
        <w:pStyle w:val="ListParagraph"/>
        <w:numPr>
          <w:ilvl w:val="0"/>
          <w:numId w:val="3"/>
        </w:numPr>
        <w:spacing w:after="80" w:before="40" w:line="276"/>
      </w:pPr>
      <w:r>
        <w:rPr>
          <w:rFonts w:ascii="Calibri" w:cs="Calibri" w:eastAsia="Calibri" w:hAnsi="Calibri"/>
          <w:b/>
          <w:bCs/>
          <w:i w:val="false"/>
          <w:iCs w:val="false"/>
          <w:color w:val="1B365D"/>
          <w:sz w:val="21"/>
          <w:szCs w:val="21"/>
        </w:rPr>
        <w:t xml:space="preserve">Security and governance are not optional. </w:t>
      </w:r>
      <w:r>
        <w:rPr>
          <w:rFonts w:ascii="Calibri" w:cs="Calibri" w:eastAsia="Calibri" w:hAnsi="Calibri"/>
          <w:b w:val="false"/>
          <w:bCs w:val="false"/>
          <w:i w:val="false"/>
          <w:iCs w:val="false"/>
          <w:color w:val="334155"/>
          <w:sz w:val="21"/>
          <w:szCs w:val="21"/>
        </w:rPr>
        <w:t xml:space="preserve">PII handling, OneLake access roles, secrets, and promotion gates are Platform contract terms, not style preferences.</w:t>
      </w:r>
    </w:p>
    <w:p>
      <w:pPr>
        <w:pStyle w:val="ListParagraph"/>
        <w:numPr>
          <w:ilvl w:val="0"/>
          <w:numId w:val="3"/>
        </w:numPr>
        <w:spacing w:after="140" w:before="40" w:line="276"/>
      </w:pPr>
      <w:r>
        <w:rPr>
          <w:rFonts w:ascii="Calibri" w:cs="Calibri" w:eastAsia="Calibri" w:hAnsi="Calibri"/>
          <w:b/>
          <w:bCs/>
          <w:i w:val="false"/>
          <w:iCs w:val="false"/>
          <w:color w:val="1B365D"/>
          <w:sz w:val="21"/>
          <w:szCs w:val="21"/>
        </w:rPr>
        <w:t xml:space="preserve">Platform is accountable for the platform. </w:t>
      </w:r>
      <w:r>
        <w:rPr>
          <w:rFonts w:ascii="Calibri" w:cs="Calibri" w:eastAsia="Calibri" w:hAnsi="Calibri"/>
          <w:b w:val="false"/>
          <w:bCs w:val="false"/>
          <w:i w:val="false"/>
          <w:iCs w:val="false"/>
          <w:color w:val="334155"/>
          <w:sz w:val="21"/>
          <w:szCs w:val="21"/>
        </w:rPr>
        <w:t xml:space="preserve">If a published service is deficient, that is a Platform defect or a roadmap item — not a Domain workaround.</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3. Scope of Platform-owned services</w:t>
      </w:r>
    </w:p>
    <w:p>
      <w:pPr>
        <w:spacing w:after="140" w:before="0" w:line="276"/>
        <w:jc w:val="left"/>
      </w:pPr>
      <w:r>
        <w:rPr>
          <w:rFonts w:ascii="Calibri" w:cs="Calibri" w:eastAsia="Calibri" w:hAnsi="Calibri"/>
          <w:b w:val="false"/>
          <w:bCs w:val="false"/>
          <w:i w:val="false"/>
          <w:iCs w:val="false"/>
          <w:color w:val="334155"/>
          <w:sz w:val="22"/>
          <w:szCs w:val="22"/>
        </w:rPr>
        <w:t xml:space="preserve">The following assets are designed, versioned, released, monitored, and supported exclusively by Platform Data Engineering. Domain engineers are consumers and configurators, not co-maintainers of these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Service</w:t>
            </w:r>
          </w:p>
        </w:tc>
        <w:tc>
          <w:tcPr>
            <w:tcW w:type="dxa" w:w="394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What Platform owns</w:t>
            </w:r>
          </w:p>
        </w:tc>
        <w:tc>
          <w:tcPr>
            <w:tcW w:type="dxa" w:w="394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What Domain owns</w:t>
            </w:r>
          </w:p>
        </w:tc>
      </w:tr>
      <w:tr>
        <w:tc>
          <w:tcPr>
            <w:tcW w:type="dxa" w:w="22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Fabric pipelines</w:t>
            </w:r>
          </w:p>
        </w:tc>
        <w:tc>
          <w:tcPr>
            <w:tcW w:type="dxa" w:w="39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Shared orchestration templates, connection patterns, retry/alert standards, parameterized ingestion and promotion pipelines, workspace deployment rules.</w:t>
            </w:r>
          </w:p>
        </w:tc>
        <w:tc>
          <w:tcPr>
            <w:tcW w:type="dxa" w:w="39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Pipeline parameter values, domain-specific schedules (within policy), source/target contracts, data quality expectations for domain tables.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Notebooks</w:t>
            </w:r>
          </w:p>
        </w:tc>
        <w:tc>
          <w:tcPr>
            <w:tcW w:type="dxa" w:w="39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Golden-path notebooks (ingest, transform, optimize, governance metadata, access-role helpers), shared utility notebooks, runtime conventions.</w:t>
            </w:r>
          </w:p>
        </w:tc>
        <w:tc>
          <w:tcPr>
            <w:tcW w:type="dxa" w:w="39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Domain transformation notebooks built on published templates; business rules; domain-specific validations. Not copies of Platform notebooks.</w:t>
            </w:r>
          </w:p>
        </w:tc>
      </w:tr>
      <w:tr>
        <w:tc>
          <w:tcPr>
            <w:tcW w:type="dxa" w:w="22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Custom Spark libraries</w:t>
            </w:r>
          </w:p>
        </w:tc>
        <w:tc>
          <w:tcPr>
            <w:tcW w:type="dxa" w:w="39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Published packages (ingest classes, governance metadata, OneLake role managers, secrets helpers, logging/telemetry). Versioning, compatibility matrix, artifact feed.</w:t>
            </w:r>
          </w:p>
        </w:tc>
        <w:tc>
          <w:tcPr>
            <w:tcW w:type="dxa" w:w="39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Application code that imports published packages. Domain-specific helpers that do not reimplement Platform libraries.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DevOps CI/CD</w:t>
            </w:r>
          </w:p>
        </w:tc>
        <w:tc>
          <w:tcPr>
            <w:tcW w:type="dxa" w:w="39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Shared pipeline YAML templates, environments, service connections, approval gates, artifact publishing, Fabric deployment stages, variable groups owned by Platform.</w:t>
            </w:r>
          </w:p>
        </w:tc>
        <w:tc>
          <w:tcPr>
            <w:tcW w:type="dxa" w:w="39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Domain build definitions that extend published templates; Domain variable values; Domain test suites and data-product release notes.</w:t>
            </w:r>
          </w:p>
        </w:tc>
      </w:tr>
    </w:tbl>
    <w:p>
      <w:pPr>
        <w:spacing w:after="160"/>
      </w:pPr>
    </w:p>
    <w:p>
      <w:pPr>
        <w:spacing w:after="80" w:before="0" w:line="276"/>
        <w:jc w:val="left"/>
      </w:pPr>
      <w:r>
        <w:rPr>
          <w:rFonts w:ascii="Calibri" w:cs="Calibri" w:eastAsia="Calibri" w:hAnsi="Calibri"/>
          <w:b w:val="false"/>
          <w:bCs w:val="false"/>
          <w:i/>
          <w:iCs/>
          <w:color w:val="334155"/>
          <w:sz w:val="22"/>
          <w:szCs w:val="22"/>
        </w:rPr>
        <w:t xml:space="preserve">Out of scope for this contract: Domain-owned lakehouse tables and semantic models, Domain business logic notebooks created from templates, and ad-hoc exploratory work in personal or sandbox workspaces that never promote to shared or production workspaces.</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4. Roles and RACI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Activity</w:t>
            </w:r>
          </w:p>
        </w:tc>
        <w:tc>
          <w:tcPr>
            <w:tcW w:type="dxa" w:w="189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Domain Eng.</w:t>
            </w:r>
          </w:p>
        </w:tc>
        <w:tc>
          <w:tcPr>
            <w:tcW w:type="dxa" w:w="189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Domain PO</w:t>
            </w:r>
          </w:p>
        </w:tc>
        <w:tc>
          <w:tcPr>
            <w:tcW w:type="dxa" w:w="189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Platform Eng.</w:t>
            </w:r>
          </w:p>
        </w:tc>
        <w:tc>
          <w:tcPr>
            <w:tcW w:type="dxa" w:w="189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Platform Lead</w:t>
            </w:r>
          </w:p>
        </w:tc>
      </w:tr>
      <w:tr>
        <w:tc>
          <w:tcPr>
            <w:tcW w:type="dxa" w:w="252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Use published pipeline / notebook / library</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 / C</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w:t>
            </w:r>
          </w:p>
        </w:tc>
      </w:tr>
      <w:tr>
        <w:tc>
          <w:tcPr>
            <w:tcW w:type="dxa" w:w="25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Modify Platform source asset</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w:t>
            </w:r>
          </w:p>
        </w:tc>
      </w:tr>
      <w:tr>
        <w:tc>
          <w:tcPr>
            <w:tcW w:type="dxa" w:w="252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Request new capability or exception</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w:t>
            </w:r>
          </w:p>
        </w:tc>
      </w:tr>
      <w:tr>
        <w:tc>
          <w:tcPr>
            <w:tcW w:type="dxa" w:w="25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Configure parameters / hooks</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w:t>
            </w:r>
          </w:p>
        </w:tc>
      </w:tr>
      <w:tr>
        <w:tc>
          <w:tcPr>
            <w:tcW w:type="dxa" w:w="252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Promote Domain product to prod</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w:t>
            </w:r>
          </w:p>
        </w:tc>
      </w:tr>
      <w:tr>
        <w:tc>
          <w:tcPr>
            <w:tcW w:type="dxa" w:w="25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Break-glass production change to Platform asset</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w:t>
            </w:r>
          </w:p>
        </w:tc>
      </w:tr>
      <w:tr>
        <w:tc>
          <w:tcPr>
            <w:tcW w:type="dxa" w:w="252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Security / PII / OneLake role design</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w:t>
            </w:r>
          </w:p>
        </w:tc>
      </w:tr>
      <w:tr>
        <w:tc>
          <w:tcPr>
            <w:tcW w:type="dxa" w:w="25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Incident on Platform-owned service</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w:t>
            </w:r>
          </w:p>
        </w:tc>
        <w:tc>
          <w:tcPr>
            <w:tcW w:type="dxa" w:w="189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w:t>
            </w:r>
          </w:p>
        </w:tc>
      </w:tr>
    </w:tbl>
    <w:p>
      <w:pPr>
        <w:spacing w:after="80"/>
      </w:pPr>
    </w:p>
    <w:p>
      <w:pPr>
        <w:spacing w:after="140" w:before="0" w:line="276"/>
        <w:jc w:val="left"/>
      </w:pPr>
      <w:r>
        <w:rPr>
          <w:rFonts w:ascii="Calibri" w:cs="Calibri" w:eastAsia="Calibri" w:hAnsi="Calibri"/>
          <w:b w:val="false"/>
          <w:bCs w:val="false"/>
          <w:i/>
          <w:iCs/>
          <w:color w:val="334155"/>
          <w:sz w:val="20"/>
          <w:szCs w:val="20"/>
        </w:rPr>
        <w:t xml:space="preserve">R = Responsible, A = Accountable, C = Consulted, I = Informed. A dash means the role must not perform the activity.</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5. Contract terms of use</w:t>
      </w:r>
    </w:p>
    <w:p>
      <w:pPr>
        <w:pStyle w:val="Heading2"/>
        <w:spacing w:after="120" w:before="280"/>
      </w:pPr>
      <w:r>
        <w:rPr>
          <w:rFonts w:ascii="Calibri" w:cs="Calibri" w:eastAsia="Calibri" w:hAnsi="Calibri"/>
          <w:b/>
          <w:bCs/>
          <w:i w:val="false"/>
          <w:iCs w:val="false"/>
          <w:color w:val="0D7377"/>
          <w:sz w:val="26"/>
          <w:szCs w:val="26"/>
        </w:rPr>
        <w:t xml:space="preserve">5.1 License to use</w:t>
      </w:r>
    </w:p>
    <w:p>
      <w:pPr>
        <w:spacing w:after="140" w:before="0" w:line="276"/>
        <w:jc w:val="left"/>
      </w:pPr>
      <w:r>
        <w:rPr>
          <w:rFonts w:ascii="Calibri" w:cs="Calibri" w:eastAsia="Calibri" w:hAnsi="Calibri"/>
          <w:b w:val="false"/>
          <w:bCs w:val="false"/>
          <w:i w:val="false"/>
          <w:iCs w:val="false"/>
          <w:color w:val="334155"/>
          <w:sz w:val="22"/>
          <w:szCs w:val="22"/>
        </w:rPr>
        <w:t xml:space="preserve">Domain teams are granted a non-exclusive, internal right to invoke, parameterize, and schedule published Platform services in approved workspaces. That right does not include the right to edit, fork, re-home, re-brand, or redistribute Platform source.</w:t>
      </w:r>
    </w:p>
    <w:p>
      <w:pPr>
        <w:pStyle w:val="Heading2"/>
        <w:spacing w:after="120" w:before="280"/>
      </w:pPr>
      <w:r>
        <w:rPr>
          <w:rFonts w:ascii="Calibri" w:cs="Calibri" w:eastAsia="Calibri" w:hAnsi="Calibri"/>
          <w:b/>
          <w:bCs/>
          <w:i w:val="false"/>
          <w:iCs w:val="false"/>
          <w:color w:val="0D7377"/>
          <w:sz w:val="26"/>
          <w:szCs w:val="26"/>
        </w:rPr>
        <w:t xml:space="preserve">5.2 Source of truth</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Platform Git repositories and the Platform artifact feed are the only supported sources for pipelines, notebooks, Spark libraries, and CI/CD templates.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Fabric items created by Platform deployment pipelines are Platform-managed. Editing them in the Fabric UI is treated as an unauthorized change.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Pinned library versions in Domain jobs must come from the approved feed and the published compatibility matrix.</w:t>
      </w:r>
    </w:p>
    <w:p>
      <w:pPr>
        <w:pStyle w:val="Heading2"/>
        <w:spacing w:after="120" w:before="280"/>
      </w:pPr>
      <w:r>
        <w:rPr>
          <w:rFonts w:ascii="Calibri" w:cs="Calibri" w:eastAsia="Calibri" w:hAnsi="Calibri"/>
          <w:b/>
          <w:bCs/>
          <w:i w:val="false"/>
          <w:iCs w:val="false"/>
          <w:color w:val="0D7377"/>
          <w:sz w:val="26"/>
          <w:szCs w:val="26"/>
        </w:rPr>
        <w:t xml:space="preserve">5.3 Environments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Sandbox / personal workspaces: exploration is allowed. Do not copy Platform assets there to “improve” them and then promote the copy.</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Shared Dev / Test / Prod workspaces: only Platform-released versions of Platform assets may run. Domain products consume those versions.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Production changes to Platform assets are made only through Platform CI/CD, with Platform approval.</w:t>
      </w:r>
    </w:p>
    <w:p>
      <w:pPr>
        <w:pStyle w:val="Heading2"/>
        <w:spacing w:after="120" w:before="280"/>
      </w:pPr>
      <w:r>
        <w:rPr>
          <w:rFonts w:ascii="Calibri" w:cs="Calibri" w:eastAsia="Calibri" w:hAnsi="Calibri"/>
          <w:b/>
          <w:bCs/>
          <w:i w:val="false"/>
          <w:iCs w:val="false"/>
          <w:color w:val="0D7377"/>
          <w:sz w:val="26"/>
          <w:szCs w:val="26"/>
        </w:rPr>
        <w:t xml:space="preserve">5.4 Support boundary</w:t>
      </w:r>
    </w:p>
    <w:p>
      <w:pPr>
        <w:spacing w:after="140" w:before="0" w:line="276"/>
        <w:jc w:val="left"/>
      </w:pPr>
      <w:r>
        <w:rPr>
          <w:rFonts w:ascii="Calibri" w:cs="Calibri" w:eastAsia="Calibri" w:hAnsi="Calibri"/>
          <w:b w:val="false"/>
          <w:bCs w:val="false"/>
          <w:i w:val="false"/>
          <w:iCs w:val="false"/>
          <w:color w:val="334155"/>
          <w:sz w:val="22"/>
          <w:szCs w:val="22"/>
        </w:rPr>
        <w:t xml:space="preserve">Platform will support incidents on unmodified, currently supported versions of Platform services. The following fall outside the support boundary and may be reverted without notice: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Direct edits to Platform pipelines, notebooks, or library source in any workspace or repo.</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Forked copies running in Domain pipelines or Domain repos.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Unpublished or yanked library versions, or packages installed from an unofficial source.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Disabled or bypassed CI/CD gates, environment checks, or approval steps.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Hard-coded secrets, personal identities, or connection strings in Domain overlays.</w:t>
      </w:r>
    </w:p>
    <w:p>
      <w:pPr>
        <w:pStyle w:val="Heading2"/>
        <w:spacing w:after="120" w:before="280"/>
      </w:pPr>
      <w:r>
        <w:rPr>
          <w:rFonts w:ascii="Calibri" w:cs="Calibri" w:eastAsia="Calibri" w:hAnsi="Calibri"/>
          <w:b/>
          <w:bCs/>
          <w:i w:val="false"/>
          <w:iCs w:val="false"/>
          <w:color w:val="0D7377"/>
          <w:sz w:val="26"/>
          <w:szCs w:val="26"/>
        </w:rPr>
        <w:t xml:space="preserve">5.5 Compatibility and breaking changes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Platform publishes a compatibility matrix (library version × Fabric runtime × template version).</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Minor versions are backward compatible for published interfaces. Major versions may break interfaces and will be announced with a migration window.</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Domains must plan upgrades inside the supported window. Running an unsupported version is an accepted Domain risk.</w:t>
      </w:r>
    </w:p>
    <w:p>
      <w:pPr>
        <w:pStyle w:val="Heading2"/>
        <w:spacing w:after="120" w:before="280"/>
      </w:pPr>
      <w:r>
        <w:rPr>
          <w:rFonts w:ascii="Calibri" w:cs="Calibri" w:eastAsia="Calibri" w:hAnsi="Calibri"/>
          <w:b/>
          <w:bCs/>
          <w:i w:val="false"/>
          <w:iCs w:val="false"/>
          <w:color w:val="0D7377"/>
          <w:sz w:val="26"/>
          <w:szCs w:val="26"/>
        </w:rPr>
        <w:t xml:space="preserve">5.6 Security, secrets, and data access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Secrets live in Key Vault or Fabric-approved secret stores, referenced by name. Never in notebooks, pipeline parameters checked into Git, or chat.</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OneLake data access roles, workspace RBAC, and table/folder ACLs are applied through Platform-supported managers and processes.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PII and sensitive columns follow Platform classification and role patterns (least privilege, no ad-hoc grants in prod).</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Service principals and managed identities used by Platform pipelines are Platform-owned. Domains do not rotate, share, or reuse them for other jobs.</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6. Do’s and Don’ts by service</w:t>
      </w:r>
    </w:p>
    <w:p>
      <w:pPr>
        <w:pStyle w:val="Heading2"/>
        <w:spacing w:after="120" w:before="280"/>
      </w:pPr>
      <w:r>
        <w:rPr>
          <w:rFonts w:ascii="Calibri" w:cs="Calibri" w:eastAsia="Calibri" w:hAnsi="Calibri"/>
          <w:b/>
          <w:bCs/>
          <w:i w:val="false"/>
          <w:iCs w:val="false"/>
          <w:color w:val="0D7377"/>
          <w:sz w:val="26"/>
          <w:szCs w:val="26"/>
        </w:rPr>
        <w:t xml:space="preserve">6.1 Fabric pipelines</w:t>
      </w:r>
    </w:p>
    <w:p>
      <w:pPr>
        <w:pStyle w:val="Heading3"/>
        <w:spacing w:after="80" w:before="200"/>
      </w:pPr>
      <w:r>
        <w:rPr>
          <w:rFonts w:ascii="Calibri" w:cs="Calibri" w:eastAsia="Calibri" w:hAnsi="Calibri"/>
          <w:b/>
          <w:bCs/>
          <w:i w:val="false"/>
          <w:iCs w:val="false"/>
          <w:color w:val="1B365D"/>
          <w:sz w:val="24"/>
          <w:szCs w:val="24"/>
        </w:rPr>
        <w:t xml:space="preserve">Do</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Invoke published pipeline templates </w:t>
      </w:r>
      <w:r>
        <w:rPr>
          <w:rFonts w:ascii="Calibri" w:cs="Calibri" w:eastAsia="Calibri" w:hAnsi="Calibri"/>
          <w:b w:val="false"/>
          <w:bCs w:val="false"/>
          <w:i w:val="false"/>
          <w:iCs w:val="false"/>
          <w:color w:val="334155"/>
          <w:sz w:val="21"/>
          <w:szCs w:val="21"/>
        </w:rPr>
        <w:t xml:space="preserve">via parameters (source system, table list, schedule, notification channel, target lakehouse).</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Keep Domain configuration in the designated config store </w:t>
      </w:r>
      <w:r>
        <w:rPr>
          <w:rFonts w:ascii="Calibri" w:cs="Calibri" w:eastAsia="Calibri" w:hAnsi="Calibri"/>
          <w:b w:val="false"/>
          <w:bCs w:val="false"/>
          <w:i w:val="false"/>
          <w:iCs w:val="false"/>
          <w:color w:val="334155"/>
          <w:sz w:val="21"/>
          <w:szCs w:val="21"/>
        </w:rPr>
        <w:t xml:space="preserve">(ingest_config JSON, variable groups, or pipeline parameters) — not inside the template body.</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Request a new activity or connector </w:t>
      </w:r>
      <w:r>
        <w:rPr>
          <w:rFonts w:ascii="Calibri" w:cs="Calibri" w:eastAsia="Calibri" w:hAnsi="Calibri"/>
          <w:b w:val="false"/>
          <w:bCs w:val="false"/>
          <w:i w:val="false"/>
          <w:iCs w:val="false"/>
          <w:color w:val="334155"/>
          <w:sz w:val="21"/>
          <w:szCs w:val="21"/>
        </w:rPr>
        <w:t xml:space="preserve">through intake when the template cannot express the need.</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Use Platform retry, alerting, and lineage conventions </w:t>
      </w:r>
      <w:r>
        <w:rPr>
          <w:rFonts w:ascii="Calibri" w:cs="Calibri" w:eastAsia="Calibri" w:hAnsi="Calibri"/>
          <w:b w:val="false"/>
          <w:bCs w:val="false"/>
          <w:i w:val="false"/>
          <w:iCs w:val="false"/>
          <w:color w:val="334155"/>
          <w:sz w:val="21"/>
          <w:szCs w:val="21"/>
        </w:rPr>
        <w:t xml:space="preserve">so operations can see Domain jobs in the same dashboards.</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Test parameter changes in Dev </w:t>
      </w:r>
      <w:r>
        <w:rPr>
          <w:rFonts w:ascii="Calibri" w:cs="Calibri" w:eastAsia="Calibri" w:hAnsi="Calibri"/>
          <w:b w:val="false"/>
          <w:bCs w:val="false"/>
          <w:i w:val="false"/>
          <w:iCs w:val="false"/>
          <w:color w:val="334155"/>
          <w:sz w:val="21"/>
          <w:szCs w:val="21"/>
        </w:rPr>
        <w:t xml:space="preserve">using the Platform deployment path before promoting.</w:t>
      </w:r>
    </w:p>
    <w:p>
      <w:pPr>
        <w:pStyle w:val="Heading3"/>
        <w:spacing w:after="80" w:before="200"/>
      </w:pPr>
      <w:r>
        <w:rPr>
          <w:rFonts w:ascii="Calibri" w:cs="Calibri" w:eastAsia="Calibri" w:hAnsi="Calibri"/>
          <w:b/>
          <w:bCs/>
          <w:i w:val="false"/>
          <w:iCs w:val="false"/>
          <w:color w:val="1B365D"/>
          <w:sz w:val="24"/>
          <w:szCs w:val="24"/>
        </w:rPr>
        <w:t xml:space="preserve">Don’t</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Open a Platform pipeline in the Fabric authoring UI and save changes. </w:t>
      </w:r>
      <w:r>
        <w:rPr>
          <w:rFonts w:ascii="Calibri" w:cs="Calibri" w:eastAsia="Calibri" w:hAnsi="Calibri"/>
          <w:b w:val="false"/>
          <w:bCs w:val="false"/>
          <w:i w:val="false"/>
          <w:iCs w:val="false"/>
          <w:color w:val="334155"/>
          <w:sz w:val="21"/>
          <w:szCs w:val="21"/>
        </w:rPr>
        <w:t xml:space="preserve">UI saves create unmanaged drift from Git.</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Clone a Platform pipeline into a Domain workspace “just to add one activity.” </w:t>
      </w:r>
      <w:r>
        <w:rPr>
          <w:rFonts w:ascii="Calibri" w:cs="Calibri" w:eastAsia="Calibri" w:hAnsi="Calibri"/>
          <w:b w:val="false"/>
          <w:bCs w:val="false"/>
          <w:i w:val="false"/>
          <w:iCs w:val="false"/>
          <w:color w:val="334155"/>
          <w:sz w:val="21"/>
          <w:szCs w:val="21"/>
        </w:rPr>
        <w:t xml:space="preserve">That clone will not receive security or reliability fixes.</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Hard-code linked service names, workspace IDs, or lakehouse GUIDs </w:t>
      </w:r>
      <w:r>
        <w:rPr>
          <w:rFonts w:ascii="Calibri" w:cs="Calibri" w:eastAsia="Calibri" w:hAnsi="Calibri"/>
          <w:b w:val="false"/>
          <w:bCs w:val="false"/>
          <w:i w:val="false"/>
          <w:iCs w:val="false"/>
          <w:color w:val="334155"/>
          <w:sz w:val="21"/>
          <w:szCs w:val="21"/>
        </w:rPr>
        <w:t xml:space="preserve">inside a copied pipeline.</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Disable or skip activities that implement governance, logging, or quality gates.</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Point a production trigger at a Dev copy of a Platform pipeline.</w:t>
      </w:r>
    </w:p>
    <w:p>
      <w:pPr>
        <w:pStyle w:val="Heading2"/>
        <w:spacing w:after="120" w:before="280"/>
      </w:pPr>
      <w:r>
        <w:rPr>
          <w:rFonts w:ascii="Calibri" w:cs="Calibri" w:eastAsia="Calibri" w:hAnsi="Calibri"/>
          <w:b/>
          <w:bCs/>
          <w:i w:val="false"/>
          <w:iCs w:val="false"/>
          <w:color w:val="0D7377"/>
          <w:sz w:val="26"/>
          <w:szCs w:val="26"/>
        </w:rPr>
        <w:t xml:space="preserve">6.2 Notebooks</w:t>
      </w:r>
    </w:p>
    <w:p>
      <w:pPr>
        <w:pStyle w:val="Heading3"/>
        <w:spacing w:after="80" w:before="200"/>
      </w:pPr>
      <w:r>
        <w:rPr>
          <w:rFonts w:ascii="Calibri" w:cs="Calibri" w:eastAsia="Calibri" w:hAnsi="Calibri"/>
          <w:b/>
          <w:bCs/>
          <w:i w:val="false"/>
          <w:iCs w:val="false"/>
          <w:color w:val="1B365D"/>
          <w:sz w:val="24"/>
          <w:szCs w:val="24"/>
        </w:rPr>
        <w:t xml:space="preserve">Do</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Create Domain notebooks from the published template </w:t>
      </w:r>
      <w:r>
        <w:rPr>
          <w:rFonts w:ascii="Calibri" w:cs="Calibri" w:eastAsia="Calibri" w:hAnsi="Calibri"/>
          <w:b w:val="false"/>
          <w:bCs w:val="false"/>
          <w:i w:val="false"/>
          <w:iCs w:val="false"/>
          <w:color w:val="334155"/>
          <w:sz w:val="21"/>
          <w:szCs w:val="21"/>
        </w:rPr>
        <w:t xml:space="preserve">and keep the template header, logging bootstrap, and governance hooks intact.</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Import Platform Spark libraries </w:t>
      </w:r>
      <w:r>
        <w:rPr>
          <w:rFonts w:ascii="Calibri" w:cs="Calibri" w:eastAsia="Calibri" w:hAnsi="Calibri"/>
          <w:b w:val="false"/>
          <w:bCs w:val="false"/>
          <w:i w:val="false"/>
          <w:iCs w:val="false"/>
          <w:color w:val="334155"/>
          <w:sz w:val="21"/>
          <w:szCs w:val="21"/>
        </w:rPr>
        <w:t xml:space="preserve">and call published APIs (for example ingest classes, apply_governance_metadata, role managers).</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Put business logic in clearly marked Domain sections </w:t>
      </w:r>
      <w:r>
        <w:rPr>
          <w:rFonts w:ascii="Calibri" w:cs="Calibri" w:eastAsia="Calibri" w:hAnsi="Calibri"/>
          <w:b w:val="false"/>
          <w:bCs w:val="false"/>
          <w:i w:val="false"/>
          <w:iCs w:val="false"/>
          <w:color w:val="334155"/>
          <w:sz w:val="21"/>
          <w:szCs w:val="21"/>
        </w:rPr>
        <w:t xml:space="preserve">or in Domain modules that the notebook calls.</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Pin the supported library version </w:t>
      </w:r>
      <w:r>
        <w:rPr>
          <w:rFonts w:ascii="Calibri" w:cs="Calibri" w:eastAsia="Calibri" w:hAnsi="Calibri"/>
          <w:b w:val="false"/>
          <w:bCs w:val="false"/>
          <w:i w:val="false"/>
          <w:iCs w:val="false"/>
          <w:color w:val="334155"/>
          <w:sz w:val="21"/>
          <w:szCs w:val="21"/>
        </w:rPr>
        <w:t xml:space="preserve">documented for your Fabric runtime.</w:t>
      </w:r>
    </w:p>
    <w:p>
      <w:pPr>
        <w:pStyle w:val="ListParagraph"/>
        <w:numPr>
          <w:ilvl w:val="0"/>
          <w:numId w:val="4"/>
        </w:numPr>
        <w:spacing w:after="60" w:before="40" w:line="276"/>
      </w:pPr>
      <w:r>
        <w:rPr>
          <w:rFonts w:ascii="Calibri" w:cs="Calibri" w:eastAsia="Calibri" w:hAnsi="Calibri"/>
          <w:b w:val="false"/>
          <w:bCs w:val="false"/>
          <w:i w:val="false"/>
          <w:iCs w:val="false"/>
          <w:color w:val="334155"/>
          <w:sz w:val="21"/>
          <w:szCs w:val="21"/>
        </w:rPr>
        <w:t xml:space="preserve">Open a Platform ticket if a golden-path notebook is missing a hook you need.</w:t>
      </w:r>
    </w:p>
    <w:p>
      <w:pPr>
        <w:pStyle w:val="Heading3"/>
        <w:spacing w:after="80" w:before="200"/>
      </w:pPr>
      <w:r>
        <w:rPr>
          <w:rFonts w:ascii="Calibri" w:cs="Calibri" w:eastAsia="Calibri" w:hAnsi="Calibri"/>
          <w:b/>
          <w:bCs/>
          <w:i w:val="false"/>
          <w:iCs w:val="false"/>
          <w:color w:val="1B365D"/>
          <w:sz w:val="24"/>
          <w:szCs w:val="24"/>
        </w:rPr>
        <w:t xml:space="preserve">Don’t</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Edit Platform-owned golden-path notebooks in place </w:t>
      </w:r>
      <w:r>
        <w:rPr>
          <w:rFonts w:ascii="Calibri" w:cs="Calibri" w:eastAsia="Calibri" w:hAnsi="Calibri"/>
          <w:b w:val="false"/>
          <w:bCs w:val="false"/>
          <w:i w:val="false"/>
          <w:iCs w:val="false"/>
          <w:color w:val="334155"/>
          <w:sz w:val="21"/>
          <w:szCs w:val="21"/>
        </w:rPr>
        <w:t xml:space="preserve">in a shared or production workspace.</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Copy a Platform notebook, strip the governance cells, and treat the copy as yours.</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Paste library source into a notebook cell </w:t>
      </w:r>
      <w:r>
        <w:rPr>
          <w:rFonts w:ascii="Calibri" w:cs="Calibri" w:eastAsia="Calibri" w:hAnsi="Calibri"/>
          <w:b w:val="false"/>
          <w:bCs w:val="false"/>
          <w:i w:val="false"/>
          <w:iCs w:val="false"/>
          <w:color w:val="334155"/>
          <w:sz w:val="21"/>
          <w:szCs w:val="21"/>
        </w:rPr>
        <w:t xml:space="preserve">to avoid upgrading a package.</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Change Spark session defaults, Delta writer options, or liquid-clustering settings </w:t>
      </w:r>
      <w:r>
        <w:rPr>
          <w:rFonts w:ascii="Calibri" w:cs="Calibri" w:eastAsia="Calibri" w:hAnsi="Calibri"/>
          <w:b w:val="false"/>
          <w:bCs w:val="false"/>
          <w:i w:val="false"/>
          <w:iCs w:val="false"/>
          <w:color w:val="334155"/>
          <w:sz w:val="21"/>
          <w:szCs w:val="21"/>
        </w:rPr>
        <w:t xml:space="preserve">in ways that contradict Platform standards, unless a documented exception exists.</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Commit notebooks that contain output with PII, secrets, or production row samples.</w:t>
      </w:r>
    </w:p>
    <w:p>
      <w:pPr>
        <w:pStyle w:val="Heading2"/>
        <w:spacing w:after="120" w:before="280"/>
      </w:pPr>
      <w:r>
        <w:rPr>
          <w:rFonts w:ascii="Calibri" w:cs="Calibri" w:eastAsia="Calibri" w:hAnsi="Calibri"/>
          <w:b/>
          <w:bCs/>
          <w:i w:val="false"/>
          <w:iCs w:val="false"/>
          <w:color w:val="0D7377"/>
          <w:sz w:val="26"/>
          <w:szCs w:val="26"/>
        </w:rPr>
        <w:t xml:space="preserve">6.3 Custom Spark libraries</w:t>
      </w:r>
    </w:p>
    <w:p>
      <w:pPr>
        <w:pStyle w:val="Heading3"/>
        <w:spacing w:after="80" w:before="200"/>
      </w:pPr>
      <w:r>
        <w:rPr>
          <w:rFonts w:ascii="Calibri" w:cs="Calibri" w:eastAsia="Calibri" w:hAnsi="Calibri"/>
          <w:b/>
          <w:bCs/>
          <w:i w:val="false"/>
          <w:iCs w:val="false"/>
          <w:color w:val="1B365D"/>
          <w:sz w:val="24"/>
          <w:szCs w:val="24"/>
        </w:rPr>
        <w:t xml:space="preserve">Do</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Install from the Platform artifact feed only </w:t>
      </w:r>
      <w:r>
        <w:rPr>
          <w:rFonts w:ascii="Calibri" w:cs="Calibri" w:eastAsia="Calibri" w:hAnsi="Calibri"/>
          <w:b w:val="false"/>
          <w:bCs w:val="false"/>
          <w:i w:val="false"/>
          <w:iCs w:val="false"/>
          <w:color w:val="334155"/>
          <w:sz w:val="21"/>
          <w:szCs w:val="21"/>
        </w:rPr>
        <w:t xml:space="preserve">using the version specified in the compatibility matrix.</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Depend on public, documented interfaces </w:t>
      </w:r>
      <w:r>
        <w:rPr>
          <w:rFonts w:ascii="Calibri" w:cs="Calibri" w:eastAsia="Calibri" w:hAnsi="Calibri"/>
          <w:b w:val="false"/>
          <w:bCs w:val="false"/>
          <w:i w:val="false"/>
          <w:iCs w:val="false"/>
          <w:color w:val="334155"/>
          <w:sz w:val="21"/>
          <w:szCs w:val="21"/>
        </w:rPr>
        <w:t xml:space="preserve">(classes, methods, and config schema). Treat undocumented members as unstable.</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Write Domain helpers that compose Platform APIs </w:t>
      </w:r>
      <w:r>
        <w:rPr>
          <w:rFonts w:ascii="Calibri" w:cs="Calibri" w:eastAsia="Calibri" w:hAnsi="Calibri"/>
          <w:b w:val="false"/>
          <w:bCs w:val="false"/>
          <w:i w:val="false"/>
          <w:iCs w:val="false"/>
          <w:color w:val="334155"/>
          <w:sz w:val="21"/>
          <w:szCs w:val="21"/>
        </w:rPr>
        <w:t xml:space="preserve">rather than wrapping and silently altering their behavior.</w:t>
      </w:r>
    </w:p>
    <w:p>
      <w:pPr>
        <w:pStyle w:val="ListParagraph"/>
        <w:numPr>
          <w:ilvl w:val="0"/>
          <w:numId w:val="4"/>
        </w:numPr>
        <w:spacing w:after="60" w:before="40" w:line="276"/>
      </w:pPr>
      <w:r>
        <w:rPr>
          <w:rFonts w:ascii="Calibri" w:cs="Calibri" w:eastAsia="Calibri" w:hAnsi="Calibri"/>
          <w:b w:val="false"/>
          <w:bCs w:val="false"/>
          <w:i w:val="false"/>
          <w:iCs w:val="false"/>
          <w:color w:val="334155"/>
          <w:sz w:val="21"/>
          <w:szCs w:val="21"/>
        </w:rPr>
        <w:t xml:space="preserve">Report defects with runtime, library version, and a minimal repro.</w:t>
      </w:r>
    </w:p>
    <w:p>
      <w:pPr>
        <w:pStyle w:val="ListParagraph"/>
        <w:numPr>
          <w:ilvl w:val="0"/>
          <w:numId w:val="4"/>
        </w:numPr>
        <w:spacing w:after="60" w:before="40" w:line="276"/>
      </w:pPr>
      <w:r>
        <w:rPr>
          <w:rFonts w:ascii="Calibri" w:cs="Calibri" w:eastAsia="Calibri" w:hAnsi="Calibri"/>
          <w:b w:val="false"/>
          <w:bCs w:val="false"/>
          <w:i w:val="false"/>
          <w:iCs w:val="false"/>
          <w:color w:val="334155"/>
          <w:sz w:val="21"/>
          <w:szCs w:val="21"/>
        </w:rPr>
        <w:t xml:space="preserve">Participate in RFC review when Platform proposes an interface change that affects you.</w:t>
      </w:r>
    </w:p>
    <w:p>
      <w:pPr>
        <w:pStyle w:val="Heading3"/>
        <w:spacing w:after="80" w:before="200"/>
      </w:pPr>
      <w:r>
        <w:rPr>
          <w:rFonts w:ascii="Calibri" w:cs="Calibri" w:eastAsia="Calibri" w:hAnsi="Calibri"/>
          <w:b/>
          <w:bCs/>
          <w:i w:val="false"/>
          <w:iCs w:val="false"/>
          <w:color w:val="1B365D"/>
          <w:sz w:val="24"/>
          <w:szCs w:val="24"/>
        </w:rPr>
        <w:t xml:space="preserve">Don’t</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Vendor, fork, or rewrite a Platform package inside a Domain repo.</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Patch installed site-packages on a cluster </w:t>
      </w:r>
      <w:r>
        <w:rPr>
          <w:rFonts w:ascii="Calibri" w:cs="Calibri" w:eastAsia="Calibri" w:hAnsi="Calibri"/>
          <w:b w:val="false"/>
          <w:bCs w:val="false"/>
          <w:i w:val="false"/>
          <w:iCs w:val="false"/>
          <w:color w:val="334155"/>
          <w:sz w:val="21"/>
          <w:szCs w:val="21"/>
        </w:rPr>
        <w:t xml:space="preserve">or ship a “hotfix” wheel that shadows a Platform module name.</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Call private or underscore-prefixed members </w:t>
      </w:r>
      <w:r>
        <w:rPr>
          <w:rFonts w:ascii="Calibri" w:cs="Calibri" w:eastAsia="Calibri" w:hAnsi="Calibri"/>
          <w:b w:val="false"/>
          <w:bCs w:val="false"/>
          <w:i w:val="false"/>
          <w:iCs w:val="false"/>
          <w:color w:val="334155"/>
          <w:sz w:val="21"/>
          <w:szCs w:val="21"/>
        </w:rPr>
        <w:t xml:space="preserve">and then treat breakage as a Platform incident.</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Change TBLPROPERTIES, clustering, or governance metadata </w:t>
      </w:r>
      <w:r>
        <w:rPr>
          <w:rFonts w:ascii="Calibri" w:cs="Calibri" w:eastAsia="Calibri" w:hAnsi="Calibri"/>
          <w:b w:val="false"/>
          <w:bCs w:val="false"/>
          <w:i w:val="false"/>
          <w:iCs w:val="false"/>
          <w:color w:val="334155"/>
          <w:sz w:val="21"/>
          <w:szCs w:val="21"/>
        </w:rPr>
        <w:t xml:space="preserve">outside the published apply_governance_metadata / config contract.</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Distribute an internal wheel to another Domain. </w:t>
      </w:r>
      <w:r>
        <w:rPr>
          <w:rFonts w:ascii="Calibri" w:cs="Calibri" w:eastAsia="Calibri" w:hAnsi="Calibri"/>
          <w:b w:val="false"/>
          <w:bCs w:val="false"/>
          <w:i w:val="false"/>
          <w:iCs w:val="false"/>
          <w:color w:val="334155"/>
          <w:sz w:val="21"/>
          <w:szCs w:val="21"/>
        </w:rPr>
        <w:t xml:space="preserve">If two Domains need it, it belongs on the Platform roadmap.</w:t>
      </w:r>
    </w:p>
    <w:p>
      <w:pPr>
        <w:pStyle w:val="Heading2"/>
        <w:spacing w:after="120" w:before="280"/>
      </w:pPr>
      <w:r>
        <w:rPr>
          <w:rFonts w:ascii="Calibri" w:cs="Calibri" w:eastAsia="Calibri" w:hAnsi="Calibri"/>
          <w:b/>
          <w:bCs/>
          <w:i w:val="false"/>
          <w:iCs w:val="false"/>
          <w:color w:val="0D7377"/>
          <w:sz w:val="26"/>
          <w:szCs w:val="26"/>
        </w:rPr>
        <w:t xml:space="preserve">6.4 DevOps CI/CD pipelines</w:t>
      </w:r>
    </w:p>
    <w:p>
      <w:pPr>
        <w:pStyle w:val="Heading3"/>
        <w:spacing w:after="80" w:before="200"/>
      </w:pPr>
      <w:r>
        <w:rPr>
          <w:rFonts w:ascii="Calibri" w:cs="Calibri" w:eastAsia="Calibri" w:hAnsi="Calibri"/>
          <w:b/>
          <w:bCs/>
          <w:i w:val="false"/>
          <w:iCs w:val="false"/>
          <w:color w:val="1B365D"/>
          <w:sz w:val="24"/>
          <w:szCs w:val="24"/>
        </w:rPr>
        <w:t xml:space="preserve">Do</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Extend published YAML templates </w:t>
      </w:r>
      <w:r>
        <w:rPr>
          <w:rFonts w:ascii="Calibri" w:cs="Calibri" w:eastAsia="Calibri" w:hAnsi="Calibri"/>
          <w:b w:val="false"/>
          <w:bCs w:val="false"/>
          <w:i w:val="false"/>
          <w:iCs w:val="false"/>
          <w:color w:val="334155"/>
          <w:sz w:val="21"/>
          <w:szCs w:val="21"/>
        </w:rPr>
        <w:t xml:space="preserve">with template references (extends / resources.repositories). Keep Domain files thin.</w:t>
      </w:r>
    </w:p>
    <w:p>
      <w:pPr>
        <w:pStyle w:val="ListParagraph"/>
        <w:numPr>
          <w:ilvl w:val="0"/>
          <w:numId w:val="4"/>
        </w:numPr>
        <w:spacing w:after="60" w:before="40" w:line="276"/>
      </w:pPr>
      <w:r>
        <w:rPr>
          <w:rFonts w:ascii="Calibri" w:cs="Calibri" w:eastAsia="Calibri" w:hAnsi="Calibri"/>
          <w:b w:val="false"/>
          <w:bCs w:val="false"/>
          <w:i w:val="false"/>
          <w:iCs w:val="false"/>
          <w:color w:val="334155"/>
          <w:sz w:val="21"/>
          <w:szCs w:val="21"/>
        </w:rPr>
        <w:t xml:space="preserve">Supply Domain values through pipeline parameters and Domain-owned variable groups.</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Keep tests, linters, and data-product checks in the Domain repo </w:t>
      </w:r>
      <w:r>
        <w:rPr>
          <w:rFonts w:ascii="Calibri" w:cs="Calibri" w:eastAsia="Calibri" w:hAnsi="Calibri"/>
          <w:b w:val="false"/>
          <w:bCs w:val="false"/>
          <w:i w:val="false"/>
          <w:iCs w:val="false"/>
          <w:color w:val="334155"/>
          <w:sz w:val="21"/>
          <w:szCs w:val="21"/>
        </w:rPr>
        <w:t xml:space="preserve">so they run inside the Platform-provided stages.</w:t>
      </w:r>
    </w:p>
    <w:p>
      <w:pPr>
        <w:pStyle w:val="ListParagraph"/>
        <w:numPr>
          <w:ilvl w:val="0"/>
          <w:numId w:val="4"/>
        </w:numPr>
        <w:spacing w:after="60" w:before="40" w:line="276"/>
      </w:pPr>
      <w:r>
        <w:rPr>
          <w:rFonts w:ascii="Calibri" w:cs="Calibri" w:eastAsia="Calibri" w:hAnsi="Calibri"/>
          <w:b/>
          <w:bCs/>
          <w:i w:val="false"/>
          <w:iCs w:val="false"/>
          <w:color w:val="166534"/>
          <w:sz w:val="21"/>
          <w:szCs w:val="21"/>
        </w:rPr>
        <w:t xml:space="preserve">Use the standard Dev → Test → Prod promotion path </w:t>
      </w:r>
      <w:r>
        <w:rPr>
          <w:rFonts w:ascii="Calibri" w:cs="Calibri" w:eastAsia="Calibri" w:hAnsi="Calibri"/>
          <w:b w:val="false"/>
          <w:bCs w:val="false"/>
          <w:i w:val="false"/>
          <w:iCs w:val="false"/>
          <w:color w:val="334155"/>
          <w:sz w:val="21"/>
          <w:szCs w:val="21"/>
        </w:rPr>
        <w:t xml:space="preserve">including required reviewers on production.</w:t>
      </w:r>
    </w:p>
    <w:p>
      <w:pPr>
        <w:pStyle w:val="ListParagraph"/>
        <w:numPr>
          <w:ilvl w:val="0"/>
          <w:numId w:val="4"/>
        </w:numPr>
        <w:spacing w:after="60" w:before="40" w:line="276"/>
      </w:pPr>
      <w:r>
        <w:rPr>
          <w:rFonts w:ascii="Calibri" w:cs="Calibri" w:eastAsia="Calibri" w:hAnsi="Calibri"/>
          <w:b w:val="false"/>
          <w:bCs w:val="false"/>
          <w:i w:val="false"/>
          <w:iCs w:val="false"/>
          <w:color w:val="334155"/>
          <w:sz w:val="21"/>
          <w:szCs w:val="21"/>
        </w:rPr>
        <w:t xml:space="preserve">Request a template change when a stage, environment, or service connection is missing.</w:t>
      </w:r>
    </w:p>
    <w:p>
      <w:pPr>
        <w:pStyle w:val="Heading3"/>
        <w:spacing w:after="80" w:before="200"/>
      </w:pPr>
      <w:r>
        <w:rPr>
          <w:rFonts w:ascii="Calibri" w:cs="Calibri" w:eastAsia="Calibri" w:hAnsi="Calibri"/>
          <w:b/>
          <w:bCs/>
          <w:i w:val="false"/>
          <w:iCs w:val="false"/>
          <w:color w:val="1B365D"/>
          <w:sz w:val="24"/>
          <w:szCs w:val="24"/>
        </w:rPr>
        <w:t xml:space="preserve">Don’t</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Copy-paste Platform YAML into a Domain repo and maintain a private variant.</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Bypass environments, checks, or approval gates </w:t>
      </w:r>
      <w:r>
        <w:rPr>
          <w:rFonts w:ascii="Calibri" w:cs="Calibri" w:eastAsia="Calibri" w:hAnsi="Calibri"/>
          <w:b w:val="false"/>
          <w:bCs w:val="false"/>
          <w:i w:val="false"/>
          <w:iCs w:val="false"/>
          <w:color w:val="334155"/>
          <w:sz w:val="21"/>
          <w:szCs w:val="21"/>
        </w:rPr>
        <w:t xml:space="preserve">with inline scripts, REST calls, or “deploy from my laptop.”</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Create additional service connections that impersonate Platform identities.</w:t>
      </w:r>
    </w:p>
    <w:p>
      <w:pPr>
        <w:pStyle w:val="ListParagraph"/>
        <w:numPr>
          <w:ilvl w:val="0"/>
          <w:numId w:val="5"/>
        </w:numPr>
        <w:spacing w:after="60" w:before="40" w:line="276"/>
      </w:pPr>
      <w:r>
        <w:rPr>
          <w:rFonts w:ascii="Calibri" w:cs="Calibri" w:eastAsia="Calibri" w:hAnsi="Calibri"/>
          <w:b/>
          <w:bCs/>
          <w:i w:val="false"/>
          <w:iCs w:val="false"/>
          <w:color w:val="991B1B"/>
          <w:sz w:val="21"/>
          <w:szCs w:val="21"/>
        </w:rPr>
        <w:t xml:space="preserve">Change variable groups owned by Platform, </w:t>
      </w:r>
      <w:r>
        <w:rPr>
          <w:rFonts w:ascii="Calibri" w:cs="Calibri" w:eastAsia="Calibri" w:hAnsi="Calibri"/>
          <w:b w:val="false"/>
          <w:bCs w:val="false"/>
          <w:i w:val="false"/>
          <w:iCs w:val="false"/>
          <w:color w:val="334155"/>
          <w:sz w:val="21"/>
          <w:szCs w:val="21"/>
        </w:rPr>
        <w:t xml:space="preserve">or store production secrets in Domain variable groups as plain text.</w:t>
      </w:r>
    </w:p>
    <w:p>
      <w:pPr>
        <w:pStyle w:val="ListParagraph"/>
        <w:numPr>
          <w:ilvl w:val="0"/>
          <w:numId w:val="5"/>
        </w:numPr>
        <w:spacing w:after="60" w:before="40" w:line="276"/>
      </w:pPr>
      <w:r>
        <w:rPr>
          <w:rFonts w:ascii="Calibri" w:cs="Calibri" w:eastAsia="Calibri" w:hAnsi="Calibri"/>
          <w:b w:val="false"/>
          <w:bCs w:val="false"/>
          <w:i w:val="false"/>
          <w:iCs w:val="false"/>
          <w:color w:val="334155"/>
          <w:sz w:val="21"/>
          <w:szCs w:val="21"/>
        </w:rPr>
        <w:t xml:space="preserve">Point production Fabric deployment pipelines at unreviewed feature branches.</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7. Allowed extension points</w:t>
      </w:r>
    </w:p>
    <w:p>
      <w:pPr>
        <w:spacing w:after="140" w:before="0" w:line="276"/>
        <w:jc w:val="left"/>
      </w:pPr>
      <w:r>
        <w:rPr>
          <w:rFonts w:ascii="Calibri" w:cs="Calibri" w:eastAsia="Calibri" w:hAnsi="Calibri"/>
          <w:b w:val="false"/>
          <w:bCs w:val="false"/>
          <w:i w:val="false"/>
          <w:iCs w:val="false"/>
          <w:color w:val="334155"/>
          <w:sz w:val="22"/>
          <w:szCs w:val="22"/>
        </w:rPr>
        <w:t xml:space="preserve">If the need fits one of the following, Domain teams may proceed without a Platform code change. If it does not fit, use intake — do not invent a fourth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Extension point</w:t>
            </w:r>
          </w:p>
        </w:tc>
        <w:tc>
          <w:tcPr>
            <w:tcW w:type="dxa" w:w="378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Allowed Domain action</w:t>
            </w:r>
          </w:p>
        </w:tc>
        <w:tc>
          <w:tcPr>
            <w:tcW w:type="dxa" w:w="378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Still not allowed</w:t>
            </w:r>
          </w:p>
        </w:tc>
      </w:tr>
      <w:tr>
        <w:tc>
          <w:tcPr>
            <w:tcW w:type="dxa" w:w="252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Pipeline parameters</w:t>
            </w:r>
          </w:p>
        </w:tc>
        <w:tc>
          <w:tcPr>
            <w:tcW w:type="dxa" w:w="37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Set documented parameters and schedules; bind to Domain config files.</w:t>
            </w:r>
          </w:p>
        </w:tc>
        <w:tc>
          <w:tcPr>
            <w:tcW w:type="dxa" w:w="37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Add or remove activities; change linked services; edit expressions inside the template.</w:t>
            </w:r>
          </w:p>
        </w:tc>
      </w:tr>
      <w:tr>
        <w:tc>
          <w:tcPr>
            <w:tcW w:type="dxa" w:w="25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ingest_config / JSON contracts</w:t>
            </w:r>
          </w:p>
        </w:tc>
        <w:tc>
          <w:tcPr>
            <w:tcW w:type="dxa" w:w="37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Declare sources, targets, keys, CDC settings, quality rules, and deltaTableProperties per Platform schema.</w:t>
            </w:r>
          </w:p>
        </w:tc>
        <w:tc>
          <w:tcPr>
            <w:tcW w:type="dxa" w:w="37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Introduce undocumented keys that the library ignores or that shadow reserved names.</w:t>
            </w:r>
          </w:p>
        </w:tc>
      </w:tr>
      <w:tr>
        <w:tc>
          <w:tcPr>
            <w:tcW w:type="dxa" w:w="252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Notebook Domain section</w:t>
            </w:r>
          </w:p>
        </w:tc>
        <w:tc>
          <w:tcPr>
            <w:tcW w:type="dxa" w:w="37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Implement transforms, business rules, and Domain tests below the template marker.</w:t>
            </w:r>
          </w:p>
        </w:tc>
        <w:tc>
          <w:tcPr>
            <w:tcW w:type="dxa" w:w="37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Delete or rewrite bootstrap, logging, secrets, or governance cells.</w:t>
            </w:r>
          </w:p>
        </w:tc>
      </w:tr>
      <w:tr>
        <w:tc>
          <w:tcPr>
            <w:tcW w:type="dxa" w:w="25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Library composition</w:t>
            </w:r>
          </w:p>
        </w:tc>
        <w:tc>
          <w:tcPr>
            <w:tcW w:type="dxa" w:w="37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Subclass or wrap only where the public API documents an extension class or protocol.</w:t>
            </w:r>
          </w:p>
        </w:tc>
        <w:tc>
          <w:tcPr>
            <w:tcW w:type="dxa" w:w="37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Monkey-patch, rewrite private methods, or change default security behavior.</w:t>
            </w:r>
          </w:p>
        </w:tc>
      </w:tr>
      <w:tr>
        <w:tc>
          <w:tcPr>
            <w:tcW w:type="dxa" w:w="252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CI/CD thin wrapper</w:t>
            </w:r>
          </w:p>
        </w:tc>
        <w:tc>
          <w:tcPr>
            <w:tcW w:type="dxa" w:w="37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extends: template; pass parameters; add Domain jobs that do not replace Platform stages.</w:t>
            </w:r>
          </w:p>
        </w:tc>
        <w:tc>
          <w:tcPr>
            <w:tcW w:type="dxa" w:w="378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Override template jobs by name to empty them; skip environments; fork the template repo.</w:t>
            </w:r>
          </w:p>
        </w:tc>
      </w:tr>
      <w:tr>
        <w:tc>
          <w:tcPr>
            <w:tcW w:type="dxa" w:w="25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Workspace configuration</w:t>
            </w:r>
          </w:p>
        </w:tc>
        <w:tc>
          <w:tcPr>
            <w:tcW w:type="dxa" w:w="37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Request Domain workspace + lakehouse provisioning; manage Domain-scoped RBAC members via process.</w:t>
            </w:r>
          </w:p>
        </w:tc>
        <w:tc>
          <w:tcPr>
            <w:tcW w:type="dxa" w:w="378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Grant yourself Contributor on Platform workspaces; create unmanaged production workspaces.</w:t>
            </w:r>
          </w:p>
        </w:tc>
      </w:tr>
    </w:tbl>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8. Change, exception, and intake process</w:t>
      </w:r>
    </w:p>
    <w:p>
      <w:pPr>
        <w:spacing w:after="140" w:before="0" w:line="276"/>
        <w:jc w:val="left"/>
      </w:pPr>
      <w:r>
        <w:rPr>
          <w:rFonts w:ascii="Calibri" w:cs="Calibri" w:eastAsia="Calibri" w:hAnsi="Calibri"/>
          <w:b w:val="false"/>
          <w:bCs w:val="false"/>
          <w:i w:val="false"/>
          <w:iCs w:val="false"/>
          <w:color w:val="334155"/>
          <w:sz w:val="22"/>
          <w:szCs w:val="22"/>
        </w:rPr>
        <w:t xml:space="preserve">The fastest way to get a new capability is the official path. Unofficial edits look faster on day one and cost everyone on day thirty.</w:t>
      </w:r>
    </w:p>
    <w:p>
      <w:pPr>
        <w:pStyle w:val="Heading2"/>
        <w:spacing w:after="120" w:before="280"/>
      </w:pPr>
      <w:r>
        <w:rPr>
          <w:rFonts w:ascii="Calibri" w:cs="Calibri" w:eastAsia="Calibri" w:hAnsi="Calibri"/>
          <w:b/>
          <w:bCs/>
          <w:i w:val="false"/>
          <w:iCs w:val="false"/>
          <w:color w:val="0D7377"/>
          <w:sz w:val="26"/>
          <w:szCs w:val="26"/>
        </w:rPr>
        <w:t xml:space="preserve">8.1 When to use intake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The published template or library cannot express a legitimate Domain requirement.</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You believe a Platform default is wrong, unsafe, or materially slower than an alternative.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You need a time-boxed exception (for example a regulatory deadline).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Two or more Domains share the same workaround — that is a Platform feature request.</w:t>
      </w:r>
    </w:p>
    <w:p>
      <w:pPr>
        <w:pStyle w:val="Heading2"/>
        <w:spacing w:after="120" w:before="280"/>
      </w:pPr>
      <w:r>
        <w:rPr>
          <w:rFonts w:ascii="Calibri" w:cs="Calibri" w:eastAsia="Calibri" w:hAnsi="Calibri"/>
          <w:b/>
          <w:bCs/>
          <w:i w:val="false"/>
          <w:iCs w:val="false"/>
          <w:color w:val="0D7377"/>
          <w:sz w:val="26"/>
          <w:szCs w:val="26"/>
        </w:rPr>
        <w:t xml:space="preserve">8.2 How to request</w:t>
      </w:r>
    </w:p>
    <w:p>
      <w:pPr>
        <w:pStyle w:val="ListParagraph"/>
        <w:numPr>
          <w:ilvl w:val="0"/>
          <w:numId w:val="6"/>
        </w:numPr>
        <w:spacing w:after="60" w:before="40" w:line="276"/>
      </w:pPr>
      <w:r>
        <w:rPr>
          <w:rFonts w:ascii="Calibri" w:cs="Calibri" w:eastAsia="Calibri" w:hAnsi="Calibri"/>
          <w:b w:val="false"/>
          <w:bCs w:val="false"/>
          <w:i w:val="false"/>
          <w:iCs w:val="false"/>
          <w:color w:val="334155"/>
          <w:sz w:val="21"/>
          <w:szCs w:val="21"/>
        </w:rPr>
        <w:t xml:space="preserve">Open a ticket in the Platform Data Engineering intake board (or the agreed ADO work item type).</w:t>
      </w:r>
    </w:p>
    <w:p>
      <w:pPr>
        <w:pStyle w:val="ListParagraph"/>
        <w:numPr>
          <w:ilvl w:val="0"/>
          <w:numId w:val="6"/>
        </w:numPr>
        <w:spacing w:after="60" w:before="40" w:line="276"/>
      </w:pPr>
      <w:r>
        <w:rPr>
          <w:rFonts w:ascii="Calibri" w:cs="Calibri" w:eastAsia="Calibri" w:hAnsi="Calibri"/>
          <w:b w:val="false"/>
          <w:bCs w:val="false"/>
          <w:i w:val="false"/>
          <w:iCs w:val="false"/>
          <w:color w:val="334155"/>
          <w:sz w:val="21"/>
          <w:szCs w:val="21"/>
        </w:rPr>
        <w:t xml:space="preserve">Use the request template: outcome, affected service, current workaround (if any), Domains impacted, target date, and security implications.</w:t>
      </w:r>
    </w:p>
    <w:p>
      <w:pPr>
        <w:pStyle w:val="ListParagraph"/>
        <w:numPr>
          <w:ilvl w:val="0"/>
          <w:numId w:val="6"/>
        </w:numPr>
        <w:spacing w:after="60" w:before="40" w:line="276"/>
      </w:pPr>
      <w:r>
        <w:rPr>
          <w:rFonts w:ascii="Calibri" w:cs="Calibri" w:eastAsia="Calibri" w:hAnsi="Calibri"/>
          <w:b w:val="false"/>
          <w:bCs w:val="false"/>
          <w:i w:val="false"/>
          <w:iCs w:val="false"/>
          <w:color w:val="334155"/>
          <w:sz w:val="21"/>
          <w:szCs w:val="21"/>
        </w:rPr>
        <w:t xml:space="preserve">Platform triages within the published response target (see §9) and classifies as: supported configuration, small change, roadmap item, or declined with rationale.</w:t>
      </w:r>
    </w:p>
    <w:p>
      <w:pPr>
        <w:pStyle w:val="ListParagraph"/>
        <w:numPr>
          <w:ilvl w:val="0"/>
          <w:numId w:val="6"/>
        </w:numPr>
        <w:spacing w:after="60" w:before="40" w:line="276"/>
      </w:pPr>
      <w:r>
        <w:rPr>
          <w:rFonts w:ascii="Calibri" w:cs="Calibri" w:eastAsia="Calibri" w:hAnsi="Calibri"/>
          <w:b w:val="false"/>
          <w:bCs w:val="false"/>
          <w:i w:val="false"/>
          <w:iCs w:val="false"/>
          <w:color w:val="334155"/>
          <w:sz w:val="21"/>
          <w:szCs w:val="21"/>
        </w:rPr>
        <w:t xml:space="preserve">If accepted as a change, Platform implements, versions, and releases it. Domain teams consume the release — they do not receive a private patch.</w:t>
      </w:r>
    </w:p>
    <w:p>
      <w:pPr>
        <w:pStyle w:val="ListParagraph"/>
        <w:numPr>
          <w:ilvl w:val="0"/>
          <w:numId w:val="6"/>
        </w:numPr>
        <w:spacing w:after="140" w:before="40" w:line="276"/>
      </w:pPr>
      <w:r>
        <w:rPr>
          <w:rFonts w:ascii="Calibri" w:cs="Calibri" w:eastAsia="Calibri" w:hAnsi="Calibri"/>
          <w:b w:val="false"/>
          <w:bCs w:val="false"/>
          <w:i w:val="false"/>
          <w:iCs w:val="false"/>
          <w:color w:val="334155"/>
          <w:sz w:val="21"/>
          <w:szCs w:val="21"/>
        </w:rPr>
        <w:t xml:space="preserve">If declined, Platform records the reason and, where possible, an approved alternative. Domains do not self-implement the declined design in production.</w:t>
      </w:r>
    </w:p>
    <w:p>
      <w:pPr>
        <w:pStyle w:val="Heading2"/>
        <w:spacing w:after="120" w:before="280"/>
      </w:pPr>
      <w:r>
        <w:rPr>
          <w:rFonts w:ascii="Calibri" w:cs="Calibri" w:eastAsia="Calibri" w:hAnsi="Calibri"/>
          <w:b/>
          <w:bCs/>
          <w:i w:val="false"/>
          <w:iCs w:val="false"/>
          <w:color w:val="0D7377"/>
          <w:sz w:val="26"/>
          <w:szCs w:val="26"/>
        </w:rPr>
        <w:t xml:space="preserve">8.3 Exceptions</w:t>
      </w:r>
    </w:p>
    <w:p>
      <w:pPr>
        <w:spacing w:after="140" w:before="0" w:line="276"/>
        <w:jc w:val="left"/>
      </w:pPr>
      <w:r>
        <w:rPr>
          <w:rFonts w:ascii="Calibri" w:cs="Calibri" w:eastAsia="Calibri" w:hAnsi="Calibri"/>
          <w:b w:val="false"/>
          <w:bCs w:val="false"/>
          <w:i w:val="false"/>
          <w:iCs w:val="false"/>
          <w:color w:val="334155"/>
          <w:sz w:val="22"/>
          <w:szCs w:val="22"/>
        </w:rPr>
        <w:t xml:space="preserve">Exceptions are written, time-boxed, and owned. An exception that is not closed by its expiry date is automatically withdrawn. Production exceptions require Platform Lead approval and a tracked compensating control.</w:t>
      </w:r>
    </w:p>
    <w:p>
      <w:pPr>
        <w:pStyle w:val="Heading2"/>
        <w:spacing w:after="120" w:before="280"/>
      </w:pPr>
      <w:r>
        <w:rPr>
          <w:rFonts w:ascii="Calibri" w:cs="Calibri" w:eastAsia="Calibri" w:hAnsi="Calibri"/>
          <w:b/>
          <w:bCs/>
          <w:i w:val="false"/>
          <w:iCs w:val="false"/>
          <w:color w:val="0D7377"/>
          <w:sz w:val="26"/>
          <w:szCs w:val="26"/>
        </w:rPr>
        <w:t xml:space="preserve">8.4 What Platform commits back</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A visible backlog. Domain requests are not a black hole.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Release notes for every published version of pipelines, notebooks, libraries, and templates.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A deprecation window before a breaking change.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Office hours or a designated channel for design questions before a request is filed.</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9. Support, incidents, and SLAs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540"/>
        <w:gridCol w:w="334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Class</w:t>
            </w:r>
          </w:p>
        </w:tc>
        <w:tc>
          <w:tcPr>
            <w:tcW w:type="dxa" w:w="454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Examples</w:t>
            </w:r>
          </w:p>
        </w:tc>
        <w:tc>
          <w:tcPr>
            <w:tcW w:type="dxa" w:w="334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Platform target</w:t>
            </w:r>
          </w:p>
        </w:tc>
      </w:tr>
      <w:tr>
        <w:tc>
          <w:tcPr>
            <w:tcW w:type="dxa" w:w="22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Sev-1 production</w:t>
            </w:r>
          </w:p>
        </w:tc>
        <w:tc>
          <w:tcPr>
            <w:tcW w:type="dxa" w:w="45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Platform pipeline or library outage blocking multiple Domains in prod; security incident on a Platform identity.</w:t>
            </w:r>
          </w:p>
        </w:tc>
        <w:tc>
          <w:tcPr>
            <w:tcW w:type="dxa" w:w="33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Acknowledge 30 minutes (business hours) / 1 hour (on-call). Workaround or fix underway immediately.</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Sev-2</w:t>
            </w:r>
          </w:p>
        </w:tc>
        <w:tc>
          <w:tcPr>
            <w:tcW w:type="dxa" w:w="45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Single-Domain production failure clearly caused by a published Platform asset on a supported version.</w:t>
            </w:r>
          </w:p>
        </w:tc>
        <w:tc>
          <w:tcPr>
            <w:tcW w:type="dxa" w:w="33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Acknowledge 4 business hours. Fix or official workaround in the current or next patch.</w:t>
            </w:r>
          </w:p>
        </w:tc>
      </w:tr>
      <w:tr>
        <w:tc>
          <w:tcPr>
            <w:tcW w:type="dxa" w:w="22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Intake / enhancement</w:t>
            </w:r>
          </w:p>
        </w:tc>
        <w:tc>
          <w:tcPr>
            <w:tcW w:type="dxa" w:w="45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New connector, new hook, template improvement, docs gap.</w:t>
            </w:r>
          </w:p>
        </w:tc>
        <w:tc>
          <w:tcPr>
            <w:tcW w:type="dxa" w:w="334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Triage 2 business days. Scheduling follows Platform capacity and multi-Domain value.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How-to / office hours</w:t>
            </w:r>
          </w:p>
        </w:tc>
        <w:tc>
          <w:tcPr>
            <w:tcW w:type="dxa" w:w="45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“Which parameter do I set?” / “Is this an extension point or an intake item?”</w:t>
            </w:r>
          </w:p>
        </w:tc>
        <w:tc>
          <w:tcPr>
            <w:tcW w:type="dxa" w:w="334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Same or next business day in the support channel.</w:t>
            </w:r>
          </w:p>
        </w:tc>
      </w:tr>
    </w:tbl>
    <w:p>
      <w:pPr>
        <w:spacing w:after="140"/>
      </w:pPr>
    </w:p>
    <w:p>
      <w:pPr>
        <w:spacing w:after="140" w:before="0" w:line="276"/>
        <w:jc w:val="left"/>
      </w:pPr>
      <w:r>
        <w:rPr>
          <w:rFonts w:ascii="Calibri" w:cs="Calibri" w:eastAsia="Calibri" w:hAnsi="Calibri"/>
          <w:b w:val="false"/>
          <w:bCs w:val="false"/>
          <w:i w:val="false"/>
          <w:iCs w:val="false"/>
          <w:color w:val="334155"/>
          <w:sz w:val="22"/>
          <w:szCs w:val="22"/>
        </w:rPr>
        <w:t xml:space="preserve">Incidents caused by unauthorized modification are Domain-owned. Platform may help restore the published asset and will treat recurrence as a process failure to correct, not as a Platform defect.</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10. Compliance, audit, and enforcement</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Platform may inspect shared and production workspaces, repos, and pipeline definitions for drift from published assets.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Unauthorized copies or in-place edits of Platform assets will be reverted to the last published version. Domain product code is not deleted, but the unmanaged Platform fork is.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Repeated violation after written notice is escalated to the Domain product owner and engineering leadership. Access to Platform workspaces may be reduced to least privilege until the pattern stops.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This is not punitive theater. Drift is how silent outages and audit findings are born. Enforcement protects Domain production as much as it protects Platform.</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11. Reducing friction in practice</w:t>
      </w:r>
    </w:p>
    <w:p>
      <w:pPr>
        <w:spacing w:after="140" w:before="0" w:line="276"/>
        <w:jc w:val="left"/>
      </w:pPr>
      <w:r>
        <w:rPr>
          <w:rFonts w:ascii="Calibri" w:cs="Calibri" w:eastAsia="Calibri" w:hAnsi="Calibri"/>
          <w:b w:val="false"/>
          <w:bCs w:val="false"/>
          <w:i w:val="false"/>
          <w:iCs w:val="false"/>
          <w:color w:val="334155"/>
          <w:sz w:val="22"/>
          <w:szCs w:val="22"/>
        </w:rPr>
        <w:t xml:space="preserve">Rules alone do not reduce friction. The operating habits below are part of this contract for both sides.</w:t>
      </w:r>
    </w:p>
    <w:p>
      <w:pPr>
        <w:pStyle w:val="Heading3"/>
        <w:spacing w:after="80" w:before="200"/>
      </w:pPr>
      <w:r>
        <w:rPr>
          <w:rFonts w:ascii="Calibri" w:cs="Calibri" w:eastAsia="Calibri" w:hAnsi="Calibri"/>
          <w:b/>
          <w:bCs/>
          <w:i w:val="false"/>
          <w:iCs w:val="false"/>
          <w:color w:val="1B365D"/>
          <w:sz w:val="24"/>
          <w:szCs w:val="24"/>
        </w:rPr>
        <w:t xml:space="preserve">Platform will</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Publish templates that are parameterized enough that common Domain needs do not require a fork.</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Keep docs, compatibility matrix, and example configs next to the code, versioned with the release.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Say yes to extension points before saying no to a use case.</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Join Domain design reviews when a product is about to stretch the platform.</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Own mistakes in published assets without requiring Domains to patch around them.</w:t>
      </w:r>
    </w:p>
    <w:p>
      <w:pPr>
        <w:pStyle w:val="Heading3"/>
        <w:spacing w:after="80" w:before="200"/>
      </w:pPr>
      <w:r>
        <w:rPr>
          <w:rFonts w:ascii="Calibri" w:cs="Calibri" w:eastAsia="Calibri" w:hAnsi="Calibri"/>
          <w:b/>
          <w:bCs/>
          <w:i w:val="false"/>
          <w:iCs w:val="false"/>
          <w:color w:val="1B365D"/>
          <w:sz w:val="24"/>
          <w:szCs w:val="24"/>
        </w:rPr>
        <w:t xml:space="preserve">Domain teams will</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Ask in the channel before copying an asset “for speed.”</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Bring requirements as outcomes and constraints, not as a finished unofficial design that Platform is asked to rubber-stamp.</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Keep Domain logic out of Platform source so upgrades stay cheap.</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Retire workarounds when the official capability ships.</w:t>
      </w:r>
    </w:p>
    <w:p>
      <w:pPr>
        <w:pStyle w:val="ListParagraph"/>
        <w:numPr>
          <w:ilvl w:val="0"/>
          <w:numId w:val="2"/>
        </w:numPr>
        <w:spacing w:after="60" w:before="40" w:line="276"/>
      </w:pPr>
      <w:r>
        <w:rPr>
          <w:rFonts w:ascii="Calibri" w:cs="Calibri" w:eastAsia="Calibri" w:hAnsi="Calibri"/>
          <w:b w:val="false"/>
          <w:bCs w:val="false"/>
          <w:i w:val="false"/>
          <w:iCs w:val="false"/>
          <w:color w:val="334155"/>
          <w:sz w:val="21"/>
          <w:szCs w:val="21"/>
        </w:rPr>
        <w:t xml:space="preserve">Treat Platform engineers as partners on the same production estate, not as a ticket queue.</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12. Quick reference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If you want to…</w:t>
            </w:r>
          </w:p>
        </w:tc>
        <w:tc>
          <w:tcPr>
            <w:tcW w:type="dxa" w:w="336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Then you…</w:t>
            </w:r>
          </w:p>
        </w:tc>
        <w:tc>
          <w:tcPr>
            <w:tcW w:type="dxa" w:w="336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vAlign w:val="center"/>
          </w:tcPr>
          <w:p>
            <w:pPr>
              <w:spacing w:after="40" w:before="40" w:line="240"/>
            </w:pPr>
            <w:r>
              <w:rPr>
                <w:rFonts w:ascii="Calibri" w:cs="Calibri" w:eastAsia="Calibri" w:hAnsi="Calibri"/>
                <w:b/>
                <w:bCs/>
                <w:i w:val="false"/>
                <w:iCs w:val="false"/>
                <w:color w:val="FFFFFF"/>
                <w:sz w:val="19"/>
                <w:szCs w:val="19"/>
              </w:rPr>
              <w:t xml:space="preserve">You do not…</w:t>
            </w:r>
          </w:p>
        </w:tc>
      </w:tr>
      <w:tr>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Run ingestion for a new domain table</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Add a config entry and invoke the published pipeline</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Clone the ingestion pipeline</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Change transform logic</w:t>
            </w:r>
          </w:p>
        </w:tc>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Edit your Domain notebook / module</w:t>
            </w:r>
          </w:p>
        </w:tc>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Edit the Platform template notebook</w:t>
            </w:r>
          </w:p>
        </w:tc>
      </w:tr>
      <w:tr>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Need a new library method</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File intake with a repro and proposed interface</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Copy the package into your repo</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Add a CI check</w:t>
            </w:r>
          </w:p>
        </w:tc>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Add a Domain job in your thin wrapper pipeline</w:t>
            </w:r>
          </w:p>
        </w:tc>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Fork the Platform YAML template</w:t>
            </w:r>
          </w:p>
        </w:tc>
      </w:tr>
      <w:tr>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Fix a bug in a Platform asset</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Open a Sev ticket with version + repro</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Hotfix production in the Fabric UI</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Ship before a Platform change lands</w:t>
            </w:r>
          </w:p>
        </w:tc>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Request a dated exception with a compensating control</w:t>
            </w:r>
          </w:p>
        </w:tc>
        <w:tc>
          <w:tcPr>
            <w:tcW w:type="dxa" w:w="33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Quietly run a private fork in prod</w:t>
            </w:r>
          </w:p>
        </w:tc>
      </w:tr>
      <w:tr>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Grant access to a table</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Use the published OneLake / RBAC process</w:t>
            </w:r>
          </w:p>
        </w:tc>
        <w:tc>
          <w:tcPr>
            <w:tcW w:type="dxa" w:w="336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vAlign w:val="top"/>
          </w:tcPr>
          <w:p>
            <w:pPr>
              <w:spacing w:after="40" w:before="40" w:line="240"/>
            </w:pPr>
            <w:r>
              <w:rPr>
                <w:rFonts w:ascii="Calibri" w:cs="Calibri" w:eastAsia="Calibri" w:hAnsi="Calibri"/>
                <w:b w:val="false"/>
                <w:bCs w:val="false"/>
                <w:i w:val="false"/>
                <w:iCs w:val="false"/>
                <w:color w:val="334155"/>
                <w:sz w:val="19"/>
                <w:szCs w:val="19"/>
              </w:rPr>
              <w:t xml:space="preserve">Add members directly on a Platform-owned role</w:t>
            </w:r>
          </w:p>
        </w:tc>
      </w:tr>
    </w:tbl>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13. Definitions</w:t>
      </w:r>
    </w:p>
    <w:p>
      <w:pPr>
        <w:pStyle w:val="ListParagraph"/>
        <w:numPr>
          <w:ilvl w:val="0"/>
          <w:numId w:val="2"/>
        </w:numPr>
        <w:spacing w:after="60" w:before="40" w:line="276"/>
      </w:pPr>
      <w:r>
        <w:rPr>
          <w:rFonts w:ascii="Calibri" w:cs="Calibri" w:eastAsia="Calibri" w:hAnsi="Calibri"/>
          <w:b/>
          <w:bCs/>
          <w:i w:val="false"/>
          <w:iCs w:val="false"/>
          <w:color w:val="334155"/>
          <w:sz w:val="21"/>
          <w:szCs w:val="21"/>
        </w:rPr>
        <w:t xml:space="preserve">Platform asset. </w:t>
      </w:r>
      <w:r>
        <w:rPr>
          <w:rFonts w:ascii="Calibri" w:cs="Calibri" w:eastAsia="Calibri" w:hAnsi="Calibri"/>
          <w:b w:val="false"/>
          <w:bCs w:val="false"/>
          <w:i w:val="false"/>
          <w:iCs w:val="false"/>
          <w:color w:val="334155"/>
          <w:sz w:val="21"/>
          <w:szCs w:val="21"/>
        </w:rPr>
        <w:t xml:space="preserve">A pipeline, notebook, Spark package, YAML template, variable group, identity, or workspace item whose Git home and release path belong to Platform Data Engineering.</w:t>
      </w:r>
    </w:p>
    <w:p>
      <w:pPr>
        <w:pStyle w:val="ListParagraph"/>
        <w:numPr>
          <w:ilvl w:val="0"/>
          <w:numId w:val="2"/>
        </w:numPr>
        <w:spacing w:after="60" w:before="40" w:line="276"/>
      </w:pPr>
      <w:r>
        <w:rPr>
          <w:rFonts w:ascii="Calibri" w:cs="Calibri" w:eastAsia="Calibri" w:hAnsi="Calibri"/>
          <w:b/>
          <w:bCs/>
          <w:i w:val="false"/>
          <w:iCs w:val="false"/>
          <w:color w:val="334155"/>
          <w:sz w:val="21"/>
          <w:szCs w:val="21"/>
        </w:rPr>
        <w:t xml:space="preserve">Published version. </w:t>
      </w:r>
      <w:r>
        <w:rPr>
          <w:rFonts w:ascii="Calibri" w:cs="Calibri" w:eastAsia="Calibri" w:hAnsi="Calibri"/>
          <w:b w:val="false"/>
          <w:bCs w:val="false"/>
          <w:i w:val="false"/>
          <w:iCs w:val="false"/>
          <w:color w:val="334155"/>
          <w:sz w:val="21"/>
          <w:szCs w:val="21"/>
        </w:rPr>
        <w:t xml:space="preserve">A versioned release available from the Platform repo/feed and listed on the compatibility matrix.</w:t>
      </w:r>
    </w:p>
    <w:p>
      <w:pPr>
        <w:pStyle w:val="ListParagraph"/>
        <w:numPr>
          <w:ilvl w:val="0"/>
          <w:numId w:val="2"/>
        </w:numPr>
        <w:spacing w:after="60" w:before="40" w:line="276"/>
      </w:pPr>
      <w:r>
        <w:rPr>
          <w:rFonts w:ascii="Calibri" w:cs="Calibri" w:eastAsia="Calibri" w:hAnsi="Calibri"/>
          <w:b/>
          <w:bCs/>
          <w:i w:val="false"/>
          <w:iCs w:val="false"/>
          <w:color w:val="334155"/>
          <w:sz w:val="21"/>
          <w:szCs w:val="21"/>
        </w:rPr>
        <w:t xml:space="preserve">Domain product. </w:t>
      </w:r>
      <w:r>
        <w:rPr>
          <w:rFonts w:ascii="Calibri" w:cs="Calibri" w:eastAsia="Calibri" w:hAnsi="Calibri"/>
          <w:b w:val="false"/>
          <w:bCs w:val="false"/>
          <w:i w:val="false"/>
          <w:iCs w:val="false"/>
          <w:color w:val="334155"/>
          <w:sz w:val="21"/>
          <w:szCs w:val="21"/>
        </w:rPr>
        <w:t xml:space="preserve">Tables, models, notebooks, and pipelines whose business meaning belongs to a Domain and which consume Platform assets.</w:t>
      </w:r>
    </w:p>
    <w:p>
      <w:pPr>
        <w:pStyle w:val="ListParagraph"/>
        <w:numPr>
          <w:ilvl w:val="0"/>
          <w:numId w:val="2"/>
        </w:numPr>
        <w:spacing w:after="60" w:before="40" w:line="276"/>
      </w:pPr>
      <w:r>
        <w:rPr>
          <w:rFonts w:ascii="Calibri" w:cs="Calibri" w:eastAsia="Calibri" w:hAnsi="Calibri"/>
          <w:b/>
          <w:bCs/>
          <w:i w:val="false"/>
          <w:iCs w:val="false"/>
          <w:color w:val="334155"/>
          <w:sz w:val="21"/>
          <w:szCs w:val="21"/>
        </w:rPr>
        <w:t xml:space="preserve">Fork / clone / copy. </w:t>
      </w:r>
      <w:r>
        <w:rPr>
          <w:rFonts w:ascii="Calibri" w:cs="Calibri" w:eastAsia="Calibri" w:hAnsi="Calibri"/>
          <w:b w:val="false"/>
          <w:bCs w:val="false"/>
          <w:i w:val="false"/>
          <w:iCs w:val="false"/>
          <w:color w:val="334155"/>
          <w:sz w:val="21"/>
          <w:szCs w:val="21"/>
        </w:rPr>
        <w:t xml:space="preserve">Any reproduction of a Platform asset that is then edited outside the Platform release path, including Fabric UI Save As, repo copy, and vendored source.</w:t>
      </w:r>
    </w:p>
    <w:p>
      <w:pPr>
        <w:pStyle w:val="ListParagraph"/>
        <w:numPr>
          <w:ilvl w:val="0"/>
          <w:numId w:val="2"/>
        </w:numPr>
        <w:spacing w:after="60" w:before="40" w:line="276"/>
      </w:pPr>
      <w:r>
        <w:rPr>
          <w:rFonts w:ascii="Calibri" w:cs="Calibri" w:eastAsia="Calibri" w:hAnsi="Calibri"/>
          <w:b/>
          <w:bCs/>
          <w:i w:val="false"/>
          <w:iCs w:val="false"/>
          <w:color w:val="334155"/>
          <w:sz w:val="21"/>
          <w:szCs w:val="21"/>
        </w:rPr>
        <w:t xml:space="preserve">Extension point. </w:t>
      </w:r>
      <w:r>
        <w:rPr>
          <w:rFonts w:ascii="Calibri" w:cs="Calibri" w:eastAsia="Calibri" w:hAnsi="Calibri"/>
          <w:b w:val="false"/>
          <w:bCs w:val="false"/>
          <w:i w:val="false"/>
          <w:iCs w:val="false"/>
          <w:color w:val="334155"/>
          <w:sz w:val="21"/>
          <w:szCs w:val="21"/>
        </w:rPr>
        <w:t xml:space="preserve">A documented parameter, hook, config schema, or subclass protocol intended for Domain use.</w:t>
      </w:r>
    </w:p>
    <w:p>
      <w:pPr>
        <w:pStyle w:val="ListParagraph"/>
        <w:numPr>
          <w:ilvl w:val="0"/>
          <w:numId w:val="2"/>
        </w:numPr>
        <w:spacing w:after="60" w:before="40" w:line="276"/>
      </w:pPr>
      <w:r>
        <w:rPr>
          <w:rFonts w:ascii="Calibri" w:cs="Calibri" w:eastAsia="Calibri" w:hAnsi="Calibri"/>
          <w:b/>
          <w:bCs/>
          <w:i w:val="false"/>
          <w:iCs w:val="false"/>
          <w:color w:val="334155"/>
          <w:sz w:val="21"/>
          <w:szCs w:val="21"/>
        </w:rPr>
        <w:t xml:space="preserve">Exception. </w:t>
      </w:r>
      <w:r>
        <w:rPr>
          <w:rFonts w:ascii="Calibri" w:cs="Calibri" w:eastAsia="Calibri" w:hAnsi="Calibri"/>
          <w:b w:val="false"/>
          <w:bCs w:val="false"/>
          <w:i w:val="false"/>
          <w:iCs w:val="false"/>
          <w:color w:val="334155"/>
          <w:sz w:val="21"/>
          <w:szCs w:val="21"/>
        </w:rPr>
        <w:t xml:space="preserve">A written, time-boxed waiver of a term in this contract, with an owner and a compensating control.</w:t>
      </w:r>
    </w:p>
    <w:p>
      <w:pPr>
        <w:pStyle w:val="Heading1"/>
        <w:pBdr>
          <w:bottom w:val="single" w:color="0D7377" w:sz="12" w:space="4"/>
        </w:pBdr>
        <w:spacing w:after="160" w:before="360"/>
      </w:pPr>
      <w:r>
        <w:rPr>
          <w:rFonts w:ascii="Calibri" w:cs="Calibri" w:eastAsia="Calibri" w:hAnsi="Calibri"/>
          <w:b/>
          <w:bCs/>
          <w:i w:val="false"/>
          <w:iCs w:val="false"/>
          <w:color w:val="1B365D"/>
          <w:sz w:val="32"/>
          <w:szCs w:val="32"/>
        </w:rPr>
        <w:t xml:space="preserve">14. Document control and revision</w:t>
      </w:r>
    </w:p>
    <w:p>
      <w:pPr>
        <w:spacing w:after="140" w:before="0" w:line="276"/>
        <w:jc w:val="left"/>
      </w:pPr>
      <w:r>
        <w:rPr>
          <w:rFonts w:ascii="Calibri" w:cs="Calibri" w:eastAsia="Calibri" w:hAnsi="Calibri"/>
          <w:b w:val="false"/>
          <w:bCs w:val="false"/>
          <w:i w:val="false"/>
          <w:iCs w:val="false"/>
          <w:color w:val="334155"/>
          <w:sz w:val="22"/>
          <w:szCs w:val="22"/>
        </w:rPr>
        <w:t xml:space="preserve">This agreement is owned by Platform Data Engineering and is reviewed with Domain leads at least quarterly. Material changes are announced with the same notice used for breaking Platform releases. Domain teams may propose amendments through intake.</w:t>
      </w:r>
    </w:p>
    <w:p>
      <w:pPr>
        <w:spacing w:after="140" w:before="0" w:line="276"/>
        <w:jc w:val="left"/>
      </w:pPr>
      <w:r>
        <w:rPr>
          <w:rFonts w:ascii="Calibri" w:cs="Calibri" w:eastAsia="Calibri" w:hAnsi="Calibri"/>
          <w:b w:val="false"/>
          <w:bCs w:val="false"/>
          <w:i w:val="false"/>
          <w:iCs w:val="false"/>
          <w:color w:val="334155"/>
          <w:sz w:val="22"/>
          <w:szCs w:val="22"/>
        </w:rPr>
        <w:t xml:space="preserve">Suggested next artifacts, if not already in place: compatibility matrix, intake work-item template, example ingest_config, and a one-page onboarding checklist derived from §12.</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1B365D" w:sz="12"/>
              <w:left w:val="single" w:color="CBD5E1" w:sz="4"/>
              <w:bottom w:val="single" w:color="CBD5E1" w:sz="4"/>
              <w:right w:val="single" w:color="CBD5E1" w:sz="4"/>
            </w:tcBorders>
            <w:shd w:fill="F1F5F9" w:val="clear"/>
            <w:tcMar>
              <w:top w:type="dxa" w:w="160"/>
              <w:left w:type="dxa" w:w="200"/>
              <w:bottom w:type="dxa" w:w="160"/>
              <w:right w:type="dxa" w:w="200"/>
            </w:tcMar>
          </w:tcPr>
          <w:p>
            <w:pPr>
              <w:spacing w:after="80"/>
            </w:pPr>
            <w:r>
              <w:rPr>
                <w:rFonts w:ascii="Calibri" w:cs="Calibri" w:eastAsia="Calibri" w:hAnsi="Calibri"/>
                <w:b/>
                <w:bCs/>
                <w:i w:val="false"/>
                <w:iCs w:val="false"/>
                <w:color w:val="1B365D"/>
                <w:sz w:val="22"/>
                <w:szCs w:val="22"/>
              </w:rPr>
              <w:t xml:space="preserve">Acknowledgement</w:t>
            </w:r>
          </w:p>
          <w:p>
            <w:pPr>
              <w:spacing w:after="140" w:line="276"/>
            </w:pPr>
            <w:r>
              <w:rPr>
                <w:rFonts w:ascii="Calibri" w:cs="Calibri" w:eastAsia="Calibri" w:hAnsi="Calibri"/>
                <w:b w:val="false"/>
                <w:bCs w:val="false"/>
                <w:i w:val="false"/>
                <w:iCs w:val="false"/>
                <w:color w:val="334155"/>
                <w:sz w:val="21"/>
                <w:szCs w:val="21"/>
              </w:rPr>
              <w:t xml:space="preserve">By consuming Platform Data Engineering services in shared or production workspaces, Domain teams agree to the terms in this document. Questions and amendment proposals go to Platform intake — not into a private copy of the platform.</w:t>
            </w:r>
          </w:p>
          <w:p>
            <w:pPr>
              <w:spacing w:after="40"/>
            </w:pPr>
            <w:r>
              <w:rPr>
                <w:rFonts w:ascii="Calibri" w:cs="Calibri" w:eastAsia="Calibri" w:hAnsi="Calibri"/>
                <w:b w:val="false"/>
                <w:bCs w:val="false"/>
                <w:i w:val="false"/>
                <w:iCs w:val="false"/>
                <w:color w:val="64748B"/>
                <w:sz w:val="20"/>
                <w:szCs w:val="20"/>
              </w:rPr>
              <w:t xml:space="preserve">Platform Data Engineering owner: _______________________     Date: ______________</w:t>
            </w:r>
          </w:p>
          <w:p>
            <w:pPr>
              <w:spacing w:after="0"/>
            </w:pPr>
            <w:r>
              <w:rPr>
                <w:rFonts w:ascii="Calibri" w:cs="Calibri" w:eastAsia="Calibri" w:hAnsi="Calibri"/>
                <w:b w:val="false"/>
                <w:bCs w:val="false"/>
                <w:i w:val="false"/>
                <w:iCs w:val="false"/>
                <w:color w:val="64748B"/>
                <w:sz w:val="20"/>
                <w:szCs w:val="20"/>
              </w:rPr>
              <w:t xml:space="preserve">Domain Engineering lead:        _______________________     Date: ______________</w:t>
            </w:r>
          </w:p>
        </w:tc>
      </w:tr>
    </w:tbl>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8" w:space="6"/>
      </w:pBdr>
      <w:tabs>
        <w:tab w:val="right" w:pos="10080"/>
      </w:tabs>
      <w:spacing w:before="80"/>
    </w:pPr>
    <w:r>
      <w:rPr>
        <w:rFonts w:ascii="Calibri" w:cs="Calibri" w:eastAsia="Calibri" w:hAnsi="Calibri"/>
        <w:b w:val="false"/>
        <w:bCs w:val="false"/>
        <w:i w:val="false"/>
        <w:iCs w:val="false"/>
        <w:color w:val="64748B"/>
        <w:sz w:val="16"/>
        <w:szCs w:val="16"/>
      </w:rPr>
      <w:t xml:space="preserve">Internal use  ·  Domain Engineering  ·  v1.0  ·  September 2026</w:t>
    </w:r>
    <w:r>
      <w:rPr>
        <w:rFonts w:ascii="Calibri" w:cs="Calibri" w:eastAsia="Calibri" w:hAnsi="Calibri"/>
        <w:b w:val="false"/>
        <w:bCs w:val="false"/>
        <w:i w:val="false"/>
        <w:iCs w:val="false"/>
        <w:color w:val="334155"/>
        <w:sz w:val="16"/>
        <w:szCs w:val="16"/>
      </w:rPr>
      <w:t xml:space="preserve">	</w:t>
    </w:r>
    <w:r>
      <w:rPr>
        <w:rFonts w:ascii="Calibri" w:cs="Calibri" w:eastAsia="Calibri" w:hAnsi="Calibri"/>
        <w:b w:val="false"/>
        <w:bCs w:val="false"/>
        <w:i w:val="false"/>
        <w:iCs w:val="false"/>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6"/>
      </w:pBdr>
      <w:tabs>
        <w:tab w:val="right" w:pos="10080"/>
      </w:tabs>
      <w:spacing w:after="80"/>
    </w:pPr>
    <w:r>
      <w:rPr>
        <w:rFonts w:ascii="Calibri" w:cs="Calibri" w:eastAsia="Calibri" w:hAnsi="Calibri"/>
        <w:b/>
        <w:bCs/>
        <w:i w:val="false"/>
        <w:iCs w:val="false"/>
        <w:color w:val="1B365D"/>
        <w:sz w:val="18"/>
        <w:szCs w:val="18"/>
      </w:rPr>
      <w:t xml:space="preserve">Platform Data Engineering</w:t>
    </w:r>
    <w:r>
      <w:rPr>
        <w:rFonts w:ascii="Calibri" w:cs="Calibri" w:eastAsia="Calibri" w:hAnsi="Calibri"/>
        <w:b w:val="false"/>
        <w:bCs w:val="false"/>
        <w:i w:val="false"/>
        <w:iCs w:val="false"/>
        <w:color w:val="334155"/>
        <w:sz w:val="18"/>
        <w:szCs w:val="18"/>
      </w:rPr>
      <w:t xml:space="preserve">	</w:t>
    </w:r>
    <w:r>
      <w:rPr>
        <w:rFonts w:ascii="Calibri" w:cs="Calibri" w:eastAsia="Calibri" w:hAnsi="Calibri"/>
        <w:b w:val="false"/>
        <w:bCs w:val="false"/>
        <w:i w:val="false"/>
        <w:iCs w:val="false"/>
        <w:color w:val="64748B"/>
        <w:sz w:val="18"/>
        <w:szCs w:val="18"/>
      </w:rPr>
      <w:t xml:space="preserve">Service Usage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20"/>
      </w:pPr>
    </w:lvl>
  </w:abstractNum>
  <w:abstractNum w:abstractNumId="4" w15:restartNumberingAfterBreak="0">
    <w:multiLevelType w:val="hybridMultilevel"/>
    <w:lvl w:ilvl="0" w15:tentative="1">
      <w:start w:val="1"/>
      <w:numFmt w:val="bullet"/>
      <w:lvlText w:val="✗"/>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D737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2026-09-28T18:48:48.022Z</dcterms:created>
  <dcterms:modified xsi:type="dcterms:W3CDTF">2026-09-28T18:48:48.022Z</dcterms:modified>
</cp:coreProperties>
</file>

<file path=docProps/custom.xml><?xml version="1.0" encoding="utf-8"?>
<Properties xmlns="http://schemas.openxmlformats.org/officeDocument/2006/custom-properties" xmlns:vt="http://schemas.openxmlformats.org/officeDocument/2006/docPropsVTypes"/>
</file>