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SOLUTION DESIGN &amp; ESTIMATION</w:t>
      </w:r>
    </w:p>
    <w:p>
      <w:pPr>
        <w:spacing w:after="120"/>
      </w:pPr>
      <w:r>
        <w:rPr>
          <w:b/>
          <w:bCs/>
          <w:color w:val="1F4E79"/>
          <w:sz w:val="28"/>
          <w:szCs w:val="28"/>
        </w:rPr>
        <w:t xml:space="preserve">Great Expectations 1.24.0 Compatibility Upgrade</w:t>
      </w:r>
    </w:p>
    <w:p>
      <w:pPr>
        <w:spacing w:after="200"/>
      </w:pPr>
      <w:r>
        <w:rPr>
          <w:i/>
          <w:iCs/>
          <w:color w:val="404040"/>
          <w:sz w:val="22"/>
          <w:szCs w:val="22"/>
        </w:rPr>
        <w:t xml:space="preserve">Restore DQ framework reliability after Spark condition processing regression</w:t>
      </w:r>
    </w:p>
    <w:p>
      <w:pPr>
        <w:pStyle w:val="Heading2"/>
      </w:pPr>
      <w:r>
        <w:t xml:space="preserve">1. Document Control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c>
          <w:tcPr>
            <w:tcW w:type="dxa" w:w="2800"/>
            <w:tcBorders>
              <w:top w:val="single" w:color="2E75B6" w:sz="1"/>
              <w:left w:val="single" w:color="2E75B6" w:sz="1"/>
              <w:bottom w:val="single" w:color="2E75B6" w:sz="1"/>
              <w:right w:val="single" w:color="2E75B6" w:sz="1"/>
            </w:tcBorders>
            <w:shd w:fill="1F4E79" w:val="clear"/>
          </w:tcPr>
          <w:p>
            <w:r>
              <w:rPr>
                <w:b/>
                <w:bCs/>
                <w:color w:val="FFFFFF"/>
                <w:sz w:val="20"/>
                <w:szCs w:val="20"/>
              </w:rPr>
              <w:t xml:space="preserve">Field</w:t>
            </w:r>
          </w:p>
        </w:tc>
        <w:tc>
          <w:tcPr>
            <w:tcW w:type="dxa" w:w="7424"/>
            <w:tcBorders>
              <w:top w:val="single" w:color="2E75B6" w:sz="1"/>
              <w:left w:val="single" w:color="2E75B6" w:sz="1"/>
              <w:bottom w:val="single" w:color="2E75B6" w:sz="1"/>
              <w:right w:val="single" w:color="2E75B6" w:sz="1"/>
            </w:tcBorders>
            <w:shd w:fill="1F4E79" w:val="clear"/>
          </w:tcPr>
          <w:p>
            <w:r>
              <w:rPr>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2F2F2" w:val="clear"/>
          </w:tcPr>
          <w:p>
            <w:r>
              <w:rPr>
                <w:b/>
                <w:bCs/>
                <w:sz w:val="20"/>
                <w:szCs w:val="20"/>
              </w:rPr>
              <w:t xml:space="preserve">Title</w:t>
            </w:r>
          </w:p>
        </w:tc>
        <w:tc>
          <w:tcPr>
            <w:tcW w:type="dxa" w:w="7424"/>
            <w:tcBorders>
              <w:top w:val="single" w:color="CCCCCC" w:sz="1"/>
              <w:left w:val="single" w:color="CCCCCC" w:sz="1"/>
              <w:bottom w:val="single" w:color="CCCCCC" w:sz="1"/>
              <w:right w:val="single" w:color="CCCCCC" w:sz="1"/>
            </w:tcBorders>
          </w:tcPr>
          <w:p>
            <w:r>
              <w:rPr>
                <w:sz w:val="20"/>
                <w:szCs w:val="20"/>
              </w:rPr>
              <w:t xml:space="preserve">GE 1.24.0 Compatibility Upgrade — DQ Framework</w:t>
            </w:r>
          </w:p>
        </w:tc>
      </w:tr>
      <w:tr>
        <w:tc>
          <w:tcPr>
            <w:tcW w:type="dxa" w:w="2800"/>
            <w:tcBorders>
              <w:top w:val="single" w:color="CCCCCC" w:sz="1"/>
              <w:left w:val="single" w:color="CCCCCC" w:sz="1"/>
              <w:bottom w:val="single" w:color="CCCCCC" w:sz="1"/>
              <w:right w:val="single" w:color="CCCCCC" w:sz="1"/>
            </w:tcBorders>
            <w:shd w:fill="F2F2F2" w:val="clear"/>
          </w:tcPr>
          <w:p>
            <w:r>
              <w:rPr>
                <w:b/>
                <w:bCs/>
                <w:sz w:val="20"/>
                <w:szCs w:val="20"/>
              </w:rPr>
              <w:t xml:space="preserve">Status</w:t>
            </w:r>
          </w:p>
        </w:tc>
        <w:tc>
          <w:tcPr>
            <w:tcW w:type="dxa" w:w="7424"/>
            <w:tcBorders>
              <w:top w:val="single" w:color="CCCCCC" w:sz="1"/>
              <w:left w:val="single" w:color="CCCCCC" w:sz="1"/>
              <w:bottom w:val="single" w:color="CCCCCC" w:sz="1"/>
              <w:right w:val="single" w:color="CCCCCC" w:sz="1"/>
            </w:tcBorders>
          </w:tcPr>
          <w:p>
            <w:r>
              <w:rPr>
                <w:sz w:val="20"/>
                <w:szCs w:val="20"/>
              </w:rPr>
              <w:t xml:space="preserve">Ready for Implementation</w:t>
            </w:r>
          </w:p>
        </w:tc>
      </w:tr>
      <w:tr>
        <w:tc>
          <w:tcPr>
            <w:tcW w:type="dxa" w:w="2800"/>
            <w:tcBorders>
              <w:top w:val="single" w:color="CCCCCC" w:sz="1"/>
              <w:left w:val="single" w:color="CCCCCC" w:sz="1"/>
              <w:bottom w:val="single" w:color="CCCCCC" w:sz="1"/>
              <w:right w:val="single" w:color="CCCCCC" w:sz="1"/>
            </w:tcBorders>
            <w:shd w:fill="F2F2F2" w:val="clear"/>
          </w:tcPr>
          <w:p>
            <w:r>
              <w:rPr>
                <w:b/>
                <w:bCs/>
                <w:sz w:val="20"/>
                <w:szCs w:val="20"/>
              </w:rPr>
              <w:t xml:space="preserve">Owner</w:t>
            </w:r>
          </w:p>
        </w:tc>
        <w:tc>
          <w:tcPr>
            <w:tcW w:type="dxa" w:w="7424"/>
            <w:tcBorders>
              <w:top w:val="single" w:color="CCCCCC" w:sz="1"/>
              <w:left w:val="single" w:color="CCCCCC" w:sz="1"/>
              <w:bottom w:val="single" w:color="CCCCCC" w:sz="1"/>
              <w:right w:val="single" w:color="CCCCCC" w:sz="1"/>
            </w:tcBorders>
          </w:tcPr>
          <w:p>
            <w:r>
              <w:rPr>
                <w:sz w:val="20"/>
                <w:szCs w:val="20"/>
              </w:rPr>
              <w:t xml:space="preserve">Platform Services / Data Quality</w:t>
            </w:r>
          </w:p>
        </w:tc>
      </w:tr>
      <w:tr>
        <w:tc>
          <w:tcPr>
            <w:tcW w:type="dxa" w:w="2800"/>
            <w:tcBorders>
              <w:top w:val="single" w:color="CCCCCC" w:sz="1"/>
              <w:left w:val="single" w:color="CCCCCC" w:sz="1"/>
              <w:bottom w:val="single" w:color="CCCCCC" w:sz="1"/>
              <w:right w:val="single" w:color="CCCCCC" w:sz="1"/>
            </w:tcBorders>
            <w:shd w:fill="F2F2F2" w:val="clear"/>
          </w:tcPr>
          <w:p>
            <w:r>
              <w:rPr>
                <w:b/>
                <w:bCs/>
                <w:sz w:val="20"/>
                <w:szCs w:val="20"/>
              </w:rPr>
              <w:t xml:space="preserve">Related code</w:t>
            </w:r>
          </w:p>
        </w:tc>
        <w:tc>
          <w:tcPr>
            <w:tcW w:type="dxa" w:w="7424"/>
            <w:tcBorders>
              <w:top w:val="single" w:color="CCCCCC" w:sz="1"/>
              <w:left w:val="single" w:color="CCCCCC" w:sz="1"/>
              <w:bottom w:val="single" w:color="CCCCCC" w:sz="1"/>
              <w:right w:val="single" w:color="CCCCCC" w:sz="1"/>
            </w:tcBorders>
          </w:tcPr>
          <w:p>
            <w:r>
              <w:rPr>
                <w:sz w:val="20"/>
                <w:szCs w:val="20"/>
              </w:rPr>
              <w:t xml:space="preserve">artifacts/data_quality.py</w:t>
            </w:r>
          </w:p>
        </w:tc>
      </w:tr>
      <w:tr>
        <w:tc>
          <w:tcPr>
            <w:tcW w:type="dxa" w:w="2800"/>
            <w:tcBorders>
              <w:top w:val="single" w:color="CCCCCC" w:sz="1"/>
              <w:left w:val="single" w:color="CCCCCC" w:sz="1"/>
              <w:bottom w:val="single" w:color="CCCCCC" w:sz="1"/>
              <w:right w:val="single" w:color="CCCCCC" w:sz="1"/>
            </w:tcBorders>
            <w:shd w:fill="F2F2F2" w:val="clear"/>
          </w:tcPr>
          <w:p>
            <w:r>
              <w:rPr>
                <w:b/>
                <w:bCs/>
                <w:sz w:val="20"/>
                <w:szCs w:val="20"/>
              </w:rPr>
              <w:t xml:space="preserve">Audience</w:t>
            </w:r>
          </w:p>
        </w:tc>
        <w:tc>
          <w:tcPr>
            <w:tcW w:type="dxa" w:w="7424"/>
            <w:tcBorders>
              <w:top w:val="single" w:color="CCCCCC" w:sz="1"/>
              <w:left w:val="single" w:color="CCCCCC" w:sz="1"/>
              <w:bottom w:val="single" w:color="CCCCCC" w:sz="1"/>
              <w:right w:val="single" w:color="CCCCCC" w:sz="1"/>
            </w:tcBorders>
          </w:tcPr>
          <w:p>
            <w:r>
              <w:rPr>
                <w:sz w:val="20"/>
                <w:szCs w:val="20"/>
              </w:rPr>
              <w:t xml:space="preserve">Platform Engineers, Domain Engineers</w:t>
            </w:r>
          </w:p>
        </w:tc>
      </w:tr>
      <w:tr>
        <w:tc>
          <w:tcPr>
            <w:tcW w:type="dxa" w:w="2800"/>
            <w:tcBorders>
              <w:top w:val="single" w:color="CCCCCC" w:sz="1"/>
              <w:left w:val="single" w:color="CCCCCC" w:sz="1"/>
              <w:bottom w:val="single" w:color="CCCCCC" w:sz="1"/>
              <w:right w:val="single" w:color="CCCCCC" w:sz="1"/>
            </w:tcBorders>
            <w:shd w:fill="F2F2F2" w:val="clear"/>
          </w:tcPr>
          <w:p>
            <w:r>
              <w:rPr>
                <w:b/>
                <w:bCs/>
                <w:sz w:val="20"/>
                <w:szCs w:val="20"/>
              </w:rPr>
              <w:t xml:space="preserve">Date</w:t>
            </w:r>
          </w:p>
        </w:tc>
        <w:tc>
          <w:tcPr>
            <w:tcW w:type="dxa" w:w="7424"/>
            <w:tcBorders>
              <w:top w:val="single" w:color="CCCCCC" w:sz="1"/>
              <w:left w:val="single" w:color="CCCCCC" w:sz="1"/>
              <w:bottom w:val="single" w:color="CCCCCC" w:sz="1"/>
              <w:right w:val="single" w:color="CCCCCC" w:sz="1"/>
            </w:tcBorders>
          </w:tcPr>
          <w:p>
            <w:r>
              <w:rPr>
                <w:sz w:val="20"/>
                <w:szCs w:val="20"/>
              </w:rPr>
              <w:t xml:space="preserve">2026-10-29</w:t>
            </w:r>
          </w:p>
        </w:tc>
      </w:tr>
      <w:tr>
        <w:tc>
          <w:tcPr>
            <w:tcW w:type="dxa" w:w="2800"/>
            <w:tcBorders>
              <w:top w:val="single" w:color="CCCCCC" w:sz="1"/>
              <w:left w:val="single" w:color="CCCCCC" w:sz="1"/>
              <w:bottom w:val="single" w:color="CCCCCC" w:sz="1"/>
              <w:right w:val="single" w:color="CCCCCC" w:sz="1"/>
            </w:tcBorders>
            <w:shd w:fill="F2F2F2" w:val="clear"/>
          </w:tcPr>
          <w:p>
            <w:r>
              <w:rPr>
                <w:b/>
                <w:bCs/>
                <w:sz w:val="20"/>
                <w:szCs w:val="20"/>
              </w:rPr>
              <w:t xml:space="preserve">Estimation Basis</w:t>
            </w:r>
          </w:p>
        </w:tc>
        <w:tc>
          <w:tcPr>
            <w:tcW w:type="dxa" w:w="7424"/>
            <w:tcBorders>
              <w:top w:val="single" w:color="CCCCCC" w:sz="1"/>
              <w:left w:val="single" w:color="CCCCCC" w:sz="1"/>
              <w:bottom w:val="single" w:color="CCCCCC" w:sz="1"/>
              <w:right w:val="single" w:color="CCCCCC" w:sz="1"/>
            </w:tcBorders>
          </w:tcPr>
          <w:p>
            <w:r>
              <w:rPr>
                <w:sz w:val="20"/>
                <w:szCs w:val="20"/>
              </w:rPr>
              <w:t xml:space="preserve">ADO-style task breakdown (hours)</w:t>
            </w:r>
          </w:p>
        </w:tc>
      </w:tr>
    </w:tbl>
    <w:p>
      <w:pPr>
        <w:pStyle w:val="Heading2"/>
      </w:pPr>
      <w:r>
        <w:t xml:space="preserve">2. Purpose</w:t>
      </w:r>
    </w:p>
    <w:p>
      <w:pPr>
        <w:spacing w:after="120"/>
      </w:pPr>
      <w:r>
        <w:t xml:space="preserve">Upgrade the Data Quality framework so it remains compatible with Great Expectations 1.24.0 and later. The change restores correct identification and quarantine of failing rows after GE altered how Spark filter conditions are returned in unexpected_index_query.</w:t>
      </w:r>
    </w:p>
    <w:p>
      <w:pPr>
        <w:pStyle w:val="Heading2"/>
      </w:pPr>
      <w:r>
        <w:t xml:space="preserve">3. Problem Statement</w:t>
      </w:r>
    </w:p>
    <w:p>
      <w:pPr>
        <w:spacing w:after="80"/>
      </w:pPr>
      <w:r>
        <w:t xml:space="preserve">Great Expectations 1.24.0 introduced a compatibility regression in Spark condition processing:</w:t>
      </w:r>
    </w:p>
    <w:p>
      <w:pPr>
        <w:pStyle w:val="ListParagraph"/>
        <w:numPr>
          <w:ilvl w:val="0"/>
          <w:numId w:val="2"/>
        </w:numPr>
      </w:pPr>
      <w:r>
        <w:t xml:space="preserve">Prior versions (≤ 1.23.1) returned unexpected_index_query as a raw SQL fragment that the framework sliced and passed to expr().</w:t>
      </w:r>
    </w:p>
    <w:p>
      <w:pPr>
        <w:pStyle w:val="ListParagraph"/>
        <w:numPr>
          <w:ilvl w:val="0"/>
          <w:numId w:val="2"/>
        </w:numPr>
      </w:pPr>
      <w:r>
        <w:t xml:space="preserve">1.24.0+ returns a valid Python expression whose condition is a quoted SQL string (e.g. df.filter(F.expr("NOT (`col` IS NOT NULL)"))).</w:t>
      </w:r>
    </w:p>
    <w:p>
      <w:pPr>
        <w:pStyle w:val="ListParagraph"/>
        <w:numPr>
          <w:ilvl w:val="0"/>
          <w:numId w:val="2"/>
        </w:numPr>
      </w:pPr>
      <w:r>
        <w:t xml:space="preserve">The existing string-based extraction left the surrounding quotes, causing Spark to treat the predicate as a STRING and raise DATATYPE_MISMATCH.UNEXPECTED_INPUT_TYPE on the generated CASE WHEN.</w:t>
      </w:r>
    </w:p>
    <w:p>
      <w:pPr>
        <w:pStyle w:val="ListParagraph"/>
        <w:numPr>
          <w:ilvl w:val="0"/>
          <w:numId w:val="2"/>
        </w:numPr>
      </w:pPr>
      <w:r>
        <w:t xml:space="preserve">Result: DQ rules fail to flag or quarantine bad rows; pipelines either abort or silently pass invalid data.</w:t>
      </w:r>
    </w:p>
    <w:p>
      <w:pPr>
        <w:pStyle w:val="Heading2"/>
      </w:pPr>
      <w:r>
        <w:t xml:space="preserve">4. Solution Overview</w:t>
      </w:r>
    </w:p>
    <w:p>
      <w:pPr>
        <w:spacing w:after="80"/>
      </w:pPr>
      <w:r>
        <w:t xml:space="preserve">Replace the fragile string slicing with a robust parser that:</w:t>
      </w:r>
    </w:p>
    <w:p>
      <w:pPr>
        <w:pStyle w:val="ListParagraph"/>
        <w:numPr>
          <w:ilvl w:val="0"/>
          <w:numId w:val="3"/>
        </w:numPr>
      </w:pPr>
      <w:r>
        <w:t xml:space="preserve">Extracts the SQL boolean condition from both legacy and 1.24.0+ unexpected_index_query formats.</w:t>
      </w:r>
    </w:p>
    <w:p>
      <w:pPr>
        <w:pStyle w:val="ListParagraph"/>
        <w:numPr>
          <w:ilvl w:val="0"/>
          <w:numId w:val="3"/>
        </w:numPr>
      </w:pPr>
      <w:r>
        <w:t xml:space="preserve">Unwraps quoted strings and normalizes IN lists / RLIKE patterns.</w:t>
      </w:r>
    </w:p>
    <w:p>
      <w:pPr>
        <w:pStyle w:val="ListParagraph"/>
        <w:numPr>
          <w:ilvl w:val="0"/>
          <w:numId w:val="3"/>
        </w:numPr>
      </w:pPr>
      <w:r>
        <w:t xml:space="preserve">Guarantees that expr() receives a boolean expression so when() does not fail with a type mismatch.</w:t>
      </w:r>
    </w:p>
    <w:p>
      <w:pPr>
        <w:pStyle w:val="ListParagraph"/>
        <w:numPr>
          <w:ilvl w:val="0"/>
          <w:numId w:val="3"/>
        </w:numPr>
      </w:pPr>
      <w:r>
        <w:t xml:space="preserve">Adds diagnostic logging for extracted filters without changing quarantine, lookup, or event-logging behavior.</w:t>
      </w:r>
    </w:p>
    <w:p>
      <w:pPr>
        <w:spacing w:after="120" w:before="120"/>
      </w:pPr>
      <w:r>
        <w:rPr>
          <w:i/>
          <w:iCs/>
        </w:rPr>
        <w:t xml:space="preserve">The change is isolated to data_quality.py (Expectations class). No schema, rulebook, or consumer contract changes are required.</w:t>
      </w:r>
    </w:p>
    <w:p>
      <w:pPr>
        <w:pStyle w:val="Heading2"/>
      </w:pPr>
      <w:r>
        <w:t xml:space="preserve">5. Implementation Estimation (ADO-style)</w:t>
      </w:r>
    </w:p>
    <w:p>
      <w:pPr>
        <w:spacing w:after="120"/>
      </w:pPr>
      <w:r>
        <w:t xml:space="preserve">Hours are calendar-engineering hours for a single Platform engineer familiar with the DQ framework and Spark. Includes coding, unit-level verification, and documentation. Does not include environment spin-up or full regression of every domain pipeline.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4624"/>
      </w:tblGrid>
      <w:tr>
        <w:tc>
          <w:tcPr>
            <w:tcW w:type="dxa" w:w="4200"/>
            <w:tcBorders>
              <w:top w:val="single" w:color="2E75B6" w:sz="1"/>
              <w:left w:val="single" w:color="2E75B6" w:sz="1"/>
              <w:bottom w:val="single" w:color="2E75B6" w:sz="1"/>
              <w:right w:val="single" w:color="2E75B6" w:sz="1"/>
            </w:tcBorders>
            <w:shd w:fill="1F4E79" w:val="clear"/>
          </w:tcPr>
          <w:p>
            <w:r>
              <w:rPr>
                <w:b/>
                <w:bCs/>
                <w:color w:val="FFFFFF"/>
                <w:sz w:val="20"/>
                <w:szCs w:val="20"/>
              </w:rPr>
              <w:t xml:space="preserve">Task</w:t>
            </w:r>
          </w:p>
        </w:tc>
        <w:tc>
          <w:tcPr>
            <w:tcW w:type="dxa" w:w="1400"/>
            <w:tcBorders>
              <w:top w:val="single" w:color="2E75B6" w:sz="1"/>
              <w:left w:val="single" w:color="2E75B6" w:sz="1"/>
              <w:bottom w:val="single" w:color="2E75B6" w:sz="1"/>
              <w:right w:val="single" w:color="2E75B6" w:sz="1"/>
            </w:tcBorders>
            <w:shd w:fill="1F4E79" w:val="clear"/>
          </w:tcPr>
          <w:p>
            <w:r>
              <w:rPr>
                <w:b/>
                <w:bCs/>
                <w:color w:val="FFFFFF"/>
                <w:sz w:val="20"/>
                <w:szCs w:val="20"/>
              </w:rPr>
              <w:t xml:space="preserve">Hours</w:t>
            </w:r>
          </w:p>
        </w:tc>
        <w:tc>
          <w:tcPr>
            <w:tcW w:type="dxa" w:w="4624"/>
            <w:tcBorders>
              <w:top w:val="single" w:color="2E75B6" w:sz="1"/>
              <w:left w:val="single" w:color="2E75B6" w:sz="1"/>
              <w:bottom w:val="single" w:color="2E75B6" w:sz="1"/>
              <w:right w:val="single" w:color="2E75B6" w:sz="1"/>
            </w:tcBorders>
            <w:shd w:fill="1F4E79" w:val="clear"/>
          </w:tcPr>
          <w:p>
            <w:r>
              <w:rPr>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tcPr>
          <w:p>
            <w:r>
              <w:rPr>
                <w:sz w:val="20"/>
                <w:szCs w:val="20"/>
              </w:rPr>
              <w:t xml:space="preserve">Root-cause confirmation &amp; GE 1.24.0 delta review</w:t>
            </w:r>
          </w:p>
        </w:tc>
        <w:tc>
          <w:tcPr>
            <w:tcW w:type="dxa" w:w="1400"/>
            <w:tcBorders>
              <w:top w:val="single" w:color="CCCCCC" w:sz="1"/>
              <w:left w:val="single" w:color="CCCCCC" w:sz="1"/>
              <w:bottom w:val="single" w:color="CCCCCC" w:sz="1"/>
              <w:right w:val="single" w:color="CCCCCC" w:sz="1"/>
            </w:tcBorders>
          </w:tcPr>
          <w:p>
            <w:pPr>
              <w:jc w:val="center"/>
            </w:pPr>
            <w:r>
              <w:rPr>
                <w:b/>
                <w:bCs/>
                <w:sz w:val="20"/>
                <w:szCs w:val="20"/>
              </w:rPr>
              <w:t xml:space="preserve">4</w:t>
            </w:r>
          </w:p>
        </w:tc>
        <w:tc>
          <w:tcPr>
            <w:tcW w:type="dxa" w:w="4624"/>
            <w:tcBorders>
              <w:top w:val="single" w:color="CCCCCC" w:sz="1"/>
              <w:left w:val="single" w:color="CCCCCC" w:sz="1"/>
              <w:bottom w:val="single" w:color="CCCCCC" w:sz="1"/>
              <w:right w:val="single" w:color="CCCCCC" w:sz="1"/>
            </w:tcBorders>
          </w:tcPr>
          <w:p>
            <w:r>
              <w:rPr>
                <w:sz w:val="18"/>
                <w:szCs w:val="18"/>
              </w:rPr>
              <w:t xml:space="preserve">Reproduce DATATYPE_MISMATCH; confirm unexpected_index_query format change</w:t>
            </w:r>
          </w:p>
        </w:tc>
      </w:tr>
      <w:tr>
        <w:tc>
          <w:tcPr>
            <w:tcW w:type="dxa" w:w="4200"/>
            <w:tcBorders>
              <w:top w:val="single" w:color="CCCCCC" w:sz="1"/>
              <w:left w:val="single" w:color="CCCCCC" w:sz="1"/>
              <w:bottom w:val="single" w:color="CCCCCC" w:sz="1"/>
              <w:right w:val="single" w:color="CCCCCC" w:sz="1"/>
            </w:tcBorders>
          </w:tcPr>
          <w:p>
            <w:r>
              <w:rPr>
                <w:sz w:val="20"/>
                <w:szCs w:val="20"/>
              </w:rPr>
              <w:t xml:space="preserve">Implement _extract_sql_condition + hardened _fix_gx_filter</w:t>
            </w:r>
          </w:p>
        </w:tc>
        <w:tc>
          <w:tcPr>
            <w:tcW w:type="dxa" w:w="1400"/>
            <w:tcBorders>
              <w:top w:val="single" w:color="CCCCCC" w:sz="1"/>
              <w:left w:val="single" w:color="CCCCCC" w:sz="1"/>
              <w:bottom w:val="single" w:color="CCCCCC" w:sz="1"/>
              <w:right w:val="single" w:color="CCCCCC" w:sz="1"/>
            </w:tcBorders>
          </w:tcPr>
          <w:p>
            <w:pPr>
              <w:jc w:val="center"/>
            </w:pPr>
            <w:r>
              <w:rPr>
                <w:b/>
                <w:bCs/>
                <w:sz w:val="20"/>
                <w:szCs w:val="20"/>
              </w:rPr>
              <w:t xml:space="preserve">6</w:t>
            </w:r>
          </w:p>
        </w:tc>
        <w:tc>
          <w:tcPr>
            <w:tcW w:type="dxa" w:w="4624"/>
            <w:tcBorders>
              <w:top w:val="single" w:color="CCCCCC" w:sz="1"/>
              <w:left w:val="single" w:color="CCCCCC" w:sz="1"/>
              <w:bottom w:val="single" w:color="CCCCCC" w:sz="1"/>
              <w:right w:val="single" w:color="CCCCCC" w:sz="1"/>
            </w:tcBorders>
          </w:tcPr>
          <w:p>
            <w:r>
              <w:rPr>
                <w:sz w:val="18"/>
                <w:szCs w:val="18"/>
              </w:rPr>
              <w:t xml:space="preserve">Handle quoted/unquoted, IN, RLIKE, residual GE artifacts</w:t>
            </w:r>
          </w:p>
        </w:tc>
      </w:tr>
      <w:tr>
        <w:tc>
          <w:tcPr>
            <w:tcW w:type="dxa" w:w="4200"/>
            <w:tcBorders>
              <w:top w:val="single" w:color="CCCCCC" w:sz="1"/>
              <w:left w:val="single" w:color="CCCCCC" w:sz="1"/>
              <w:bottom w:val="single" w:color="CCCCCC" w:sz="1"/>
              <w:right w:val="single" w:color="CCCCCC" w:sz="1"/>
            </w:tcBorders>
          </w:tcPr>
          <w:p>
            <w:r>
              <w:rPr>
                <w:sz w:val="20"/>
                <w:szCs w:val="20"/>
              </w:rPr>
              <w:t xml:space="preserve">Integrate into perform_expectations path + logging</w:t>
            </w:r>
          </w:p>
        </w:tc>
        <w:tc>
          <w:tcPr>
            <w:tcW w:type="dxa" w:w="1400"/>
            <w:tcBorders>
              <w:top w:val="single" w:color="CCCCCC" w:sz="1"/>
              <w:left w:val="single" w:color="CCCCCC" w:sz="1"/>
              <w:bottom w:val="single" w:color="CCCCCC" w:sz="1"/>
              <w:right w:val="single" w:color="CCCCCC" w:sz="1"/>
            </w:tcBorders>
          </w:tcPr>
          <w:p>
            <w:pPr>
              <w:jc w:val="center"/>
            </w:pPr>
            <w:r>
              <w:rPr>
                <w:b/>
                <w:bCs/>
                <w:sz w:val="20"/>
                <w:szCs w:val="20"/>
              </w:rPr>
              <w:t xml:space="preserve">3</w:t>
            </w:r>
          </w:p>
        </w:tc>
        <w:tc>
          <w:tcPr>
            <w:tcW w:type="dxa" w:w="4624"/>
            <w:tcBorders>
              <w:top w:val="single" w:color="CCCCCC" w:sz="1"/>
              <w:left w:val="single" w:color="CCCCCC" w:sz="1"/>
              <w:bottom w:val="single" w:color="CCCCCC" w:sz="1"/>
              <w:right w:val="single" w:color="CCCCCC" w:sz="1"/>
            </w:tcBorders>
          </w:tcPr>
          <w:p>
            <w:r>
              <w:rPr>
                <w:sz w:val="18"/>
                <w:szCs w:val="18"/>
              </w:rPr>
              <w:t xml:space="preserve">Replace [17:-2] slice; preserve quarantine flag logic</w:t>
            </w:r>
          </w:p>
        </w:tc>
      </w:tr>
      <w:tr>
        <w:tc>
          <w:tcPr>
            <w:tcW w:type="dxa" w:w="4200"/>
            <w:tcBorders>
              <w:top w:val="single" w:color="CCCCCC" w:sz="1"/>
              <w:left w:val="single" w:color="CCCCCC" w:sz="1"/>
              <w:bottom w:val="single" w:color="CCCCCC" w:sz="1"/>
              <w:right w:val="single" w:color="CCCCCC" w:sz="1"/>
            </w:tcBorders>
          </w:tcPr>
          <w:p>
            <w:r>
              <w:rPr>
                <w:sz w:val="20"/>
                <w:szCs w:val="20"/>
              </w:rPr>
              <w:t xml:space="preserve">Unit-level verification (sample expectations)</w:t>
            </w:r>
          </w:p>
        </w:tc>
        <w:tc>
          <w:tcPr>
            <w:tcW w:type="dxa" w:w="1400"/>
            <w:tcBorders>
              <w:top w:val="single" w:color="CCCCCC" w:sz="1"/>
              <w:left w:val="single" w:color="CCCCCC" w:sz="1"/>
              <w:bottom w:val="single" w:color="CCCCCC" w:sz="1"/>
              <w:right w:val="single" w:color="CCCCCC" w:sz="1"/>
            </w:tcBorders>
          </w:tcPr>
          <w:p>
            <w:pPr>
              <w:jc w:val="center"/>
            </w:pPr>
            <w:r>
              <w:rPr>
                <w:b/>
                <w:bCs/>
                <w:sz w:val="20"/>
                <w:szCs w:val="20"/>
              </w:rPr>
              <w:t xml:space="preserve">4</w:t>
            </w:r>
          </w:p>
        </w:tc>
        <w:tc>
          <w:tcPr>
            <w:tcW w:type="dxa" w:w="4624"/>
            <w:tcBorders>
              <w:top w:val="single" w:color="CCCCCC" w:sz="1"/>
              <w:left w:val="single" w:color="CCCCCC" w:sz="1"/>
              <w:bottom w:val="single" w:color="CCCCCC" w:sz="1"/>
              <w:right w:val="single" w:color="CCCCCC" w:sz="1"/>
            </w:tcBorders>
          </w:tcPr>
          <w:p>
            <w:r>
              <w:rPr>
                <w:sz w:val="18"/>
                <w:szCs w:val="18"/>
              </w:rPr>
              <w:t xml:space="preserve">Null, IN-set, regex, uniqueness, lookup expectations on Spark DF</w:t>
            </w:r>
          </w:p>
        </w:tc>
      </w:tr>
      <w:tr>
        <w:tc>
          <w:tcPr>
            <w:tcW w:type="dxa" w:w="4200"/>
            <w:tcBorders>
              <w:top w:val="single" w:color="CCCCCC" w:sz="1"/>
              <w:left w:val="single" w:color="CCCCCC" w:sz="1"/>
              <w:bottom w:val="single" w:color="CCCCCC" w:sz="1"/>
              <w:right w:val="single" w:color="CCCCCC" w:sz="1"/>
            </w:tcBorders>
          </w:tcPr>
          <w:p>
            <w:r>
              <w:rPr>
                <w:sz w:val="20"/>
                <w:szCs w:val="20"/>
              </w:rPr>
              <w:t xml:space="preserve">Regression on existing DQ rulebook (subset)</w:t>
            </w:r>
          </w:p>
        </w:tc>
        <w:tc>
          <w:tcPr>
            <w:tcW w:type="dxa" w:w="1400"/>
            <w:tcBorders>
              <w:top w:val="single" w:color="CCCCCC" w:sz="1"/>
              <w:left w:val="single" w:color="CCCCCC" w:sz="1"/>
              <w:bottom w:val="single" w:color="CCCCCC" w:sz="1"/>
              <w:right w:val="single" w:color="CCCCCC" w:sz="1"/>
            </w:tcBorders>
          </w:tcPr>
          <w:p>
            <w:pPr>
              <w:jc w:val="center"/>
            </w:pPr>
            <w:r>
              <w:rPr>
                <w:b/>
                <w:bCs/>
                <w:sz w:val="20"/>
                <w:szCs w:val="20"/>
              </w:rPr>
              <w:t xml:space="preserve">6</w:t>
            </w:r>
          </w:p>
        </w:tc>
        <w:tc>
          <w:tcPr>
            <w:tcW w:type="dxa" w:w="4624"/>
            <w:tcBorders>
              <w:top w:val="single" w:color="CCCCCC" w:sz="1"/>
              <w:left w:val="single" w:color="CCCCCC" w:sz="1"/>
              <w:bottom w:val="single" w:color="CCCCCC" w:sz="1"/>
              <w:right w:val="single" w:color="CCCCCC" w:sz="1"/>
            </w:tcBorders>
          </w:tcPr>
          <w:p>
            <w:r>
              <w:rPr>
                <w:sz w:val="18"/>
                <w:szCs w:val="18"/>
              </w:rPr>
              <w:t xml:space="preserve">Re-run representative rules from dim_dq_rule_master</w:t>
            </w:r>
          </w:p>
        </w:tc>
      </w:tr>
      <w:tr>
        <w:tc>
          <w:tcPr>
            <w:tcW w:type="dxa" w:w="4200"/>
            <w:tcBorders>
              <w:top w:val="single" w:color="CCCCCC" w:sz="1"/>
              <w:left w:val="single" w:color="CCCCCC" w:sz="1"/>
              <w:bottom w:val="single" w:color="CCCCCC" w:sz="1"/>
              <w:right w:val="single" w:color="CCCCCC" w:sz="1"/>
            </w:tcBorders>
          </w:tcPr>
          <w:p>
            <w:r>
              <w:rPr>
                <w:sz w:val="20"/>
                <w:szCs w:val="20"/>
              </w:rPr>
              <w:t xml:space="preserve">Documentation &amp; release notes</w:t>
            </w:r>
          </w:p>
        </w:tc>
        <w:tc>
          <w:tcPr>
            <w:tcW w:type="dxa" w:w="1400"/>
            <w:tcBorders>
              <w:top w:val="single" w:color="CCCCCC" w:sz="1"/>
              <w:left w:val="single" w:color="CCCCCC" w:sz="1"/>
              <w:bottom w:val="single" w:color="CCCCCC" w:sz="1"/>
              <w:right w:val="single" w:color="CCCCCC" w:sz="1"/>
            </w:tcBorders>
          </w:tcPr>
          <w:p>
            <w:pPr>
              <w:jc w:val="center"/>
            </w:pPr>
            <w:r>
              <w:rPr>
                <w:b/>
                <w:bCs/>
                <w:sz w:val="20"/>
                <w:szCs w:val="20"/>
              </w:rPr>
              <w:t xml:space="preserve">2</w:t>
            </w:r>
          </w:p>
        </w:tc>
        <w:tc>
          <w:tcPr>
            <w:tcW w:type="dxa" w:w="4624"/>
            <w:tcBorders>
              <w:top w:val="single" w:color="CCCCCC" w:sz="1"/>
              <w:left w:val="single" w:color="CCCCCC" w:sz="1"/>
              <w:bottom w:val="single" w:color="CCCCCC" w:sz="1"/>
              <w:right w:val="single" w:color="CCCCCC" w:sz="1"/>
            </w:tcBorders>
          </w:tcPr>
          <w:p>
            <w:r>
              <w:rPr>
                <w:sz w:val="18"/>
                <w:szCs w:val="18"/>
              </w:rPr>
              <w:t xml:space="preserve">Update internal README / changelog entry</w:t>
            </w:r>
          </w:p>
        </w:tc>
      </w:tr>
      <w:tr>
        <w:tc>
          <w:tcPr>
            <w:tcW w:type="dxa" w:w="4200"/>
            <w:tcBorders>
              <w:top w:val="single" w:color="CCCCCC" w:sz="1"/>
              <w:left w:val="single" w:color="CCCCCC" w:sz="1"/>
              <w:bottom w:val="single" w:color="CCCCCC" w:sz="1"/>
              <w:right w:val="single" w:color="CCCCCC" w:sz="1"/>
            </w:tcBorders>
          </w:tcPr>
          <w:p>
            <w:r>
              <w:rPr>
                <w:sz w:val="20"/>
                <w:szCs w:val="20"/>
              </w:rPr>
              <w:t xml:space="preserve">Code review, packaging &amp; promotion prep</w:t>
            </w:r>
          </w:p>
        </w:tc>
        <w:tc>
          <w:tcPr>
            <w:tcW w:type="dxa" w:w="1400"/>
            <w:tcBorders>
              <w:top w:val="single" w:color="CCCCCC" w:sz="1"/>
              <w:left w:val="single" w:color="CCCCCC" w:sz="1"/>
              <w:bottom w:val="single" w:color="CCCCCC" w:sz="1"/>
              <w:right w:val="single" w:color="CCCCCC" w:sz="1"/>
            </w:tcBorders>
          </w:tcPr>
          <w:p>
            <w:pPr>
              <w:jc w:val="center"/>
            </w:pPr>
            <w:r>
              <w:rPr>
                <w:b/>
                <w:bCs/>
                <w:sz w:val="20"/>
                <w:szCs w:val="20"/>
              </w:rPr>
              <w:t xml:space="preserve">3</w:t>
            </w:r>
          </w:p>
        </w:tc>
        <w:tc>
          <w:tcPr>
            <w:tcW w:type="dxa" w:w="4624"/>
            <w:tcBorders>
              <w:top w:val="single" w:color="CCCCCC" w:sz="1"/>
              <w:left w:val="single" w:color="CCCCCC" w:sz="1"/>
              <w:bottom w:val="single" w:color="CCCCCC" w:sz="1"/>
              <w:right w:val="single" w:color="CCCCCC" w:sz="1"/>
            </w:tcBorders>
          </w:tcPr>
          <w:p>
            <w:r>
              <w:rPr>
                <w:sz w:val="18"/>
                <w:szCs w:val="18"/>
              </w:rPr>
              <w:t xml:space="preserve">PR, peer review, version bump of spark_engine wheel</w:t>
            </w:r>
          </w:p>
        </w:tc>
      </w:tr>
      <w:tr>
        <w:tc>
          <w:tcPr>
            <w:tcW w:type="dxa" w:w="4200"/>
            <w:tcBorders>
              <w:top w:val="single" w:color="CCCCCC" w:sz="1"/>
              <w:left w:val="single" w:color="CCCCCC" w:sz="1"/>
              <w:bottom w:val="single" w:color="CCCCCC" w:sz="1"/>
              <w:right w:val="single" w:color="CCCCCC" w:sz="1"/>
            </w:tcBorders>
          </w:tcPr>
          <w:p>
            <w:r>
              <w:rPr>
                <w:sz w:val="20"/>
                <w:szCs w:val="20"/>
              </w:rPr>
              <w:t xml:space="preserve">Buffer (edge cases, environment variance)</w:t>
            </w:r>
          </w:p>
        </w:tc>
        <w:tc>
          <w:tcPr>
            <w:tcW w:type="dxa" w:w="1400"/>
            <w:tcBorders>
              <w:top w:val="single" w:color="CCCCCC" w:sz="1"/>
              <w:left w:val="single" w:color="CCCCCC" w:sz="1"/>
              <w:bottom w:val="single" w:color="CCCCCC" w:sz="1"/>
              <w:right w:val="single" w:color="CCCCCC" w:sz="1"/>
            </w:tcBorders>
          </w:tcPr>
          <w:p>
            <w:pPr>
              <w:jc w:val="center"/>
            </w:pPr>
            <w:r>
              <w:rPr>
                <w:b/>
                <w:bCs/>
                <w:sz w:val="20"/>
                <w:szCs w:val="20"/>
              </w:rPr>
              <w:t xml:space="preserve">4</w:t>
            </w:r>
          </w:p>
        </w:tc>
        <w:tc>
          <w:tcPr>
            <w:tcW w:type="dxa" w:w="4624"/>
            <w:tcBorders>
              <w:top w:val="single" w:color="CCCCCC" w:sz="1"/>
              <w:left w:val="single" w:color="CCCCCC" w:sz="1"/>
              <w:bottom w:val="single" w:color="CCCCCC" w:sz="1"/>
              <w:right w:val="single" w:color="CCCCCC" w:sz="1"/>
            </w:tcBorders>
          </w:tcPr>
          <w:p>
            <w:r>
              <w:rPr>
                <w:sz w:val="18"/>
                <w:szCs w:val="18"/>
              </w:rPr>
              <w:t xml:space="preserve">Quoted column names, multi-condition filters, empty results</w:t>
            </w:r>
          </w:p>
        </w:tc>
      </w:tr>
      <w:tr>
        <w:tc>
          <w:tcPr>
            <w:tcW w:type="dxa" w:w="4200"/>
            <w:tcBorders>
              <w:top w:val="single" w:color="CCCCCC" w:sz="1"/>
              <w:left w:val="single" w:color="CCCCCC" w:sz="1"/>
              <w:bottom w:val="single" w:color="CCCCCC" w:sz="1"/>
              <w:right w:val="single" w:color="CCCCCC" w:sz="1"/>
            </w:tcBorders>
            <w:shd w:fill="E7F3FF" w:val="clear"/>
          </w:tcPr>
          <w:p>
            <w:r>
              <w:rPr>
                <w:b/>
                <w:bCs/>
                <w:sz w:val="22"/>
                <w:szCs w:val="22"/>
              </w:rPr>
              <w:t xml:space="preserve">TOTAL</w:t>
            </w:r>
          </w:p>
        </w:tc>
        <w:tc>
          <w:tcPr>
            <w:tcW w:type="dxa" w:w="1400"/>
            <w:tcBorders>
              <w:top w:val="single" w:color="CCCCCC" w:sz="1"/>
              <w:left w:val="single" w:color="CCCCCC" w:sz="1"/>
              <w:bottom w:val="single" w:color="CCCCCC" w:sz="1"/>
              <w:right w:val="single" w:color="CCCCCC" w:sz="1"/>
            </w:tcBorders>
            <w:shd w:fill="E7F3FF" w:val="clear"/>
          </w:tcPr>
          <w:p>
            <w:pPr>
              <w:jc w:val="center"/>
            </w:pPr>
            <w:r>
              <w:rPr>
                <w:b/>
                <w:bCs/>
                <w:color w:val="1F4E79"/>
                <w:sz w:val="22"/>
                <w:szCs w:val="22"/>
              </w:rPr>
              <w:t xml:space="preserve">32</w:t>
            </w:r>
          </w:p>
        </w:tc>
        <w:tc>
          <w:tcPr>
            <w:tcW w:type="dxa" w:w="4624"/>
            <w:tcBorders>
              <w:top w:val="single" w:color="CCCCCC" w:sz="1"/>
              <w:left w:val="single" w:color="CCCCCC" w:sz="1"/>
              <w:bottom w:val="single" w:color="CCCCCC" w:sz="1"/>
              <w:right w:val="single" w:color="CCCCCC" w:sz="1"/>
            </w:tcBorders>
            <w:shd w:fill="E7F3FF" w:val="clear"/>
          </w:tcPr>
          <w:p>
            <w:r>
              <w:rPr>
                <w:i/>
                <w:iCs/>
                <w:sz w:val="20"/>
                <w:szCs w:val="20"/>
              </w:rPr>
              <w:t xml:space="preserve">~4 engineer-days</w:t>
            </w:r>
          </w:p>
        </w:tc>
      </w:tr>
    </w:tbl>
    <w:p>
      <w:pPr>
        <w:spacing w:after="80" w:before="160"/>
      </w:pPr>
      <w:r>
        <w:rPr>
          <w:b/>
          <w:bCs/>
        </w:rPr>
        <w:t xml:space="preserve">Recommended calendar: 1 week (including review and limited domain validation).</w:t>
      </w:r>
    </w:p>
    <w:p>
      <w:pPr>
        <w:pStyle w:val="Heading2"/>
      </w:pPr>
      <w:r>
        <w:t xml:space="preserve">6. Risks &amp; Mitigations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400"/>
        <w:gridCol w:w="6824"/>
      </w:tblGrid>
      <w:tr>
        <w:tc>
          <w:tcPr>
            <w:tcW w:type="dxa" w:w="3400"/>
            <w:tcBorders>
              <w:top w:val="single" w:color="2E75B6" w:sz="1"/>
              <w:left w:val="single" w:color="2E75B6" w:sz="1"/>
              <w:bottom w:val="single" w:color="2E75B6" w:sz="1"/>
              <w:right w:val="single" w:color="2E75B6" w:sz="1"/>
            </w:tcBorders>
            <w:shd w:fill="1F4E79" w:val="clear"/>
          </w:tcPr>
          <w:p>
            <w:r>
              <w:rPr>
                <w:b/>
                <w:bCs/>
                <w:color w:val="FFFFFF"/>
                <w:sz w:val="20"/>
                <w:szCs w:val="20"/>
              </w:rPr>
              <w:t xml:space="preserve">Risk</w:t>
            </w:r>
          </w:p>
        </w:tc>
        <w:tc>
          <w:tcPr>
            <w:tcW w:type="dxa" w:w="6824"/>
            <w:tcBorders>
              <w:top w:val="single" w:color="2E75B6" w:sz="1"/>
              <w:left w:val="single" w:color="2E75B6" w:sz="1"/>
              <w:bottom w:val="single" w:color="2E75B6" w:sz="1"/>
              <w:right w:val="single" w:color="2E75B6" w:sz="1"/>
            </w:tcBorders>
            <w:shd w:fill="1F4E79" w:val="clear"/>
          </w:tcPr>
          <w:p>
            <w:r>
              <w:rPr>
                <w:b/>
                <w:bCs/>
                <w:color w:val="FFFFFF"/>
                <w:sz w:val="20"/>
                <w:szCs w:val="20"/>
              </w:rPr>
              <w:t xml:space="preserve">Mitigation</w:t>
            </w:r>
          </w:p>
        </w:tc>
      </w:tr>
      <w:tr>
        <w:tc>
          <w:tcPr>
            <w:tcW w:type="dxa" w:w="3400"/>
            <w:tcBorders>
              <w:top w:val="single" w:color="CCCCCC" w:sz="1"/>
              <w:left w:val="single" w:color="CCCCCC" w:sz="1"/>
              <w:bottom w:val="single" w:color="CCCCCC" w:sz="1"/>
              <w:right w:val="single" w:color="CCCCCC" w:sz="1"/>
            </w:tcBorders>
          </w:tcPr>
          <w:p>
            <w:r>
              <w:rPr>
                <w:sz w:val="20"/>
                <w:szCs w:val="20"/>
              </w:rPr>
              <w:t xml:space="preserve">Complex multi-condition filters not fully covered by parser</w:t>
            </w:r>
          </w:p>
        </w:tc>
        <w:tc>
          <w:tcPr>
            <w:tcW w:type="dxa" w:w="6824"/>
            <w:tcBorders>
              <w:top w:val="single" w:color="CCCCCC" w:sz="1"/>
              <w:left w:val="single" w:color="CCCCCC" w:sz="1"/>
              <w:bottom w:val="single" w:color="CCCCCC" w:sz="1"/>
              <w:right w:val="single" w:color="CCCCCC" w:sz="1"/>
            </w:tcBorders>
          </w:tcPr>
          <w:p>
            <w:r>
              <w:rPr>
                <w:sz w:val="20"/>
                <w:szCs w:val="20"/>
              </w:rPr>
              <w:t xml:space="preserve">Keep fallback logging; add unit tests for compound AND/OR and nested parentheses</w:t>
            </w:r>
          </w:p>
        </w:tc>
      </w:tr>
      <w:tr>
        <w:tc>
          <w:tcPr>
            <w:tcW w:type="dxa" w:w="3400"/>
            <w:tcBorders>
              <w:top w:val="single" w:color="CCCCCC" w:sz="1"/>
              <w:left w:val="single" w:color="CCCCCC" w:sz="1"/>
              <w:bottom w:val="single" w:color="CCCCCC" w:sz="1"/>
              <w:right w:val="single" w:color="CCCCCC" w:sz="1"/>
            </w:tcBorders>
          </w:tcPr>
          <w:p>
            <w:r>
              <w:rPr>
                <w:sz w:val="20"/>
                <w:szCs w:val="20"/>
              </w:rPr>
              <w:t xml:space="preserve">Custom expectations that bypass unexpected_index_query</w:t>
            </w:r>
          </w:p>
        </w:tc>
        <w:tc>
          <w:tcPr>
            <w:tcW w:type="dxa" w:w="6824"/>
            <w:tcBorders>
              <w:top w:val="single" w:color="CCCCCC" w:sz="1"/>
              <w:left w:val="single" w:color="CCCCCC" w:sz="1"/>
              <w:bottom w:val="single" w:color="CCCCCC" w:sz="1"/>
              <w:right w:val="single" w:color="CCCCCC" w:sz="1"/>
            </w:tcBorders>
          </w:tcPr>
          <w:p>
            <w:r>
              <w:rPr>
                <w:sz w:val="20"/>
                <w:szCs w:val="20"/>
              </w:rPr>
              <w:t xml:space="preserve">Confirm all production rules use standard map expectations; document any exceptions</w:t>
            </w:r>
          </w:p>
        </w:tc>
      </w:tr>
      <w:tr>
        <w:tc>
          <w:tcPr>
            <w:tcW w:type="dxa" w:w="3400"/>
            <w:tcBorders>
              <w:top w:val="single" w:color="CCCCCC" w:sz="1"/>
              <w:left w:val="single" w:color="CCCCCC" w:sz="1"/>
              <w:bottom w:val="single" w:color="CCCCCC" w:sz="1"/>
              <w:right w:val="single" w:color="CCCCCC" w:sz="1"/>
            </w:tcBorders>
          </w:tcPr>
          <w:p>
            <w:r>
              <w:rPr>
                <w:sz w:val="20"/>
                <w:szCs w:val="20"/>
              </w:rPr>
              <w:t xml:space="preserve">GE patch releases further change the format</w:t>
            </w:r>
          </w:p>
        </w:tc>
        <w:tc>
          <w:tcPr>
            <w:tcW w:type="dxa" w:w="6824"/>
            <w:tcBorders>
              <w:top w:val="single" w:color="CCCCCC" w:sz="1"/>
              <w:left w:val="single" w:color="CCCCCC" w:sz="1"/>
              <w:bottom w:val="single" w:color="CCCCCC" w:sz="1"/>
              <w:right w:val="single" w:color="CCCCCC" w:sz="1"/>
            </w:tcBorders>
          </w:tcPr>
          <w:p>
            <w:r>
              <w:rPr>
                <w:sz w:val="20"/>
                <w:szCs w:val="20"/>
              </w:rPr>
              <w:t xml:space="preserve">Parser is defensive; pin GE ≥ 1.24.0 and monitor changelog</w:t>
            </w:r>
          </w:p>
        </w:tc>
      </w:tr>
      <w:tr>
        <w:tc>
          <w:tcPr>
            <w:tcW w:type="dxa" w:w="3400"/>
            <w:tcBorders>
              <w:top w:val="single" w:color="CCCCCC" w:sz="1"/>
              <w:left w:val="single" w:color="CCCCCC" w:sz="1"/>
              <w:bottom w:val="single" w:color="CCCCCC" w:sz="1"/>
              <w:right w:val="single" w:color="CCCCCC" w:sz="1"/>
            </w:tcBorders>
          </w:tcPr>
          <w:p>
            <w:r>
              <w:rPr>
                <w:sz w:val="20"/>
                <w:szCs w:val="20"/>
              </w:rPr>
              <w:t xml:space="preserve">Quarantine side-effects on large batches</w:t>
            </w:r>
          </w:p>
        </w:tc>
        <w:tc>
          <w:tcPr>
            <w:tcW w:type="dxa" w:w="6824"/>
            <w:tcBorders>
              <w:top w:val="single" w:color="CCCCCC" w:sz="1"/>
              <w:left w:val="single" w:color="CCCCCC" w:sz="1"/>
              <w:bottom w:val="single" w:color="CCCCCC" w:sz="1"/>
              <w:right w:val="single" w:color="CCCCCC" w:sz="1"/>
            </w:tcBorders>
          </w:tcPr>
          <w:p>
            <w:r>
              <w:rPr>
                <w:sz w:val="20"/>
                <w:szCs w:val="20"/>
              </w:rPr>
              <w:t xml:space="preserve">Validate row counts and quarantine metrics on a representative dataset before promotion</w:t>
            </w:r>
          </w:p>
        </w:tc>
      </w:tr>
    </w:tbl>
    <w:p>
      <w:pPr>
        <w:pStyle w:val="Heading2"/>
      </w:pPr>
      <w:r>
        <w:t xml:space="preserve">7. Acceptance Criteria</w:t>
      </w:r>
    </w:p>
    <w:p>
      <w:pPr>
        <w:pStyle w:val="ListParagraph"/>
        <w:numPr>
          <w:ilvl w:val="0"/>
          <w:numId w:val="2"/>
        </w:numPr>
      </w:pPr>
      <w:r>
        <w:t xml:space="preserve">DQ runs complete without DATATYPE_MISMATCH on Spark after GE 1.24.0.</w:t>
      </w:r>
    </w:p>
    <w:p>
      <w:pPr>
        <w:pStyle w:val="ListParagraph"/>
        <w:numPr>
          <w:ilvl w:val="0"/>
          <w:numId w:val="2"/>
        </w:numPr>
      </w:pPr>
      <w:r>
        <w:t xml:space="preserve">Failing rows are correctly flagged (dq_success = false) and quarantined when the rule requests it.</w:t>
      </w:r>
    </w:p>
    <w:p>
      <w:pPr>
        <w:pStyle w:val="ListParagraph"/>
        <w:numPr>
          <w:ilvl w:val="0"/>
          <w:numId w:val="2"/>
        </w:numPr>
      </w:pPr>
      <w:r>
        <w:t xml:space="preserve">Existing rulebook (null, IN-set, regex, uniqueness, lookup) continues to produce the same pass/fail outcomes on known data.</w:t>
      </w:r>
    </w:p>
    <w:p>
      <w:pPr>
        <w:pStyle w:val="ListParagraph"/>
        <w:numPr>
          <w:ilvl w:val="0"/>
          <w:numId w:val="2"/>
        </w:numPr>
      </w:pPr>
      <w:r>
        <w:t xml:space="preserve">fact_dq_error_event and fact_dq_error_event_detail receive expected rows.</w:t>
      </w:r>
    </w:p>
    <w:p>
      <w:pPr>
        <w:pStyle w:val="ListParagraph"/>
        <w:numPr>
          <w:ilvl w:val="0"/>
          <w:numId w:val="2"/>
        </w:numPr>
      </w:pPr>
      <w:r>
        <w:t xml:space="preserve">No change to published table schemas or consumer contracts.</w:t>
      </w:r>
    </w:p>
    <w:p>
      <w:pPr>
        <w:pStyle w:val="Heading2"/>
      </w:pPr>
      <w:r>
        <w:t xml:space="preserve">8. Deliverables</w:t>
      </w:r>
    </w:p>
    <w:p>
      <w:pPr>
        <w:pStyle w:val="ListParagraph"/>
        <w:numPr>
          <w:ilvl w:val="0"/>
          <w:numId w:val="2"/>
        </w:numPr>
      </w:pPr>
      <w:r>
        <w:t xml:space="preserve">Updated spark_engine data_quality.py (or equivalent wheel).</w:t>
      </w:r>
    </w:p>
    <w:p>
      <w:pPr>
        <w:pStyle w:val="ListParagraph"/>
        <w:numPr>
          <w:ilvl w:val="0"/>
          <w:numId w:val="2"/>
        </w:numPr>
      </w:pPr>
      <w:r>
        <w:t xml:space="preserve">Unit / sample validation results.</w:t>
      </w:r>
    </w:p>
    <w:p>
      <w:pPr>
        <w:pStyle w:val="ListParagraph"/>
        <w:numPr>
          <w:ilvl w:val="0"/>
          <w:numId w:val="2"/>
        </w:numPr>
      </w:pPr>
      <w:r>
        <w:t xml:space="preserve">Short release note for Domain Engineers.</w:t>
      </w:r>
    </w:p>
    <w:p>
      <w:pPr>
        <w:pStyle w:val="ListParagraph"/>
        <w:numPr>
          <w:ilvl w:val="0"/>
          <w:numId w:val="2"/>
        </w:numPr>
      </w:pPr>
      <w:r>
        <w:t xml:space="preserve">ADO work item updated with actual hours.</w:t>
      </w:r>
    </w:p>
    <w:p>
      <w:pPr>
        <w:spacing w:before="240"/>
      </w:pPr>
      <w:r>
        <w:rPr>
          <w:i/>
          <w:iCs/>
          <w:color w:val="666666"/>
          <w:sz w:val="20"/>
          <w:szCs w:val="20"/>
        </w:rPr>
        <w:t xml:space="preserve">End of estimation. Implementation can begin immediately using the patched data_quality.py already prepared.</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GE 1.24.0 Upgrade Estimation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Platform Services  |  Data Quality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2026-10-29T14:25:14.969Z</dcterms:created>
  <dcterms:modified xsi:type="dcterms:W3CDTF">2026-10-29T14:25:14.973Z</dcterms:modified>
</cp:coreProperties>
</file>

<file path=docProps/custom.xml><?xml version="1.0" encoding="utf-8"?>
<Properties xmlns="http://schemas.openxmlformats.org/officeDocument/2006/custom-properties" xmlns:vt="http://schemas.openxmlformats.org/officeDocument/2006/docPropsVTypes"/>
</file>