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IronFlow Sample Document</w:t>
      </w:r>
    </w:p>
    <w:p>
      <w:r>
        <w:t>This synthetic document verifies that Word extraction works from a clean checkout. It contains original test text and no third-party material.</w:t>
      </w:r>
    </w:p>
    <w:p>
      <w:r>
        <w:t>A workflow can extract this paragraph as plain text or preserve its structure as Markdown.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Engine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IronFlow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Fixture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Deterministic sample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IronFlow synthetic extraction fixture</dc:title>
  <dc:subject>Clean-checkout example input</dc:subject>
  <dc:creator>IronFlow</dc:creator>
  <cp:keywords/>
  <dc:description>generated by python-docx</dc:description>
  <cp:lastModifiedBy>IronFlow</cp:lastModifiedBy>
  <cp:revision>1</cp:revision>
  <dcterms:created xsi:type="dcterms:W3CDTF">2024-01-01T00:00:00Z</dcterms:created>
  <dcterms:modified xsi:type="dcterms:W3CDTF">2024-01-01T00:00:00Z</dcterms:modified>
  <cp:category/>
</cp:coreProperties>
</file>