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拼装盖章 · 曹操穿越武大郎（三章初稿合体）</w:t>
      </w:r>
    </w:p>
    <w:p>
      <w:r>
        <w:rPr>
          <w:b w:val="0"/>
          <w:sz w:val="20"/>
        </w:rPr>
        <w:t>小纲（分镜脚本）· 批注版 —— 请在 Word 中使用「审阅 → 新建批注」逐分镜提意见，也可直接修改正文；改完将文件回传，成品剧本将基于批注后版本产出。</w:t>
      </w:r>
    </w:p>
    <w:p>
      <w:r>
        <w:rPr>
          <w:b w:val="0"/>
          <w:sz w:val="12"/>
        </w:rPr>
      </w:r>
    </w:p>
    <w:p>
      <w:r>
        <w:br w:type="page"/>
      </w:r>
    </w:p>
    <w:p>
      <w:pPr>
        <w:pStyle w:val="Heading1"/>
      </w:pPr>
      <w:r>
        <w:t>批注与回传说明</w:t>
      </w:r>
    </w:p>
    <w:p>
      <w:r>
        <w:rPr>
          <w:b w:val="0"/>
        </w:rPr>
        <w:t>1. 逐分镜批注：光标选中分镜内的任意文字 → 审阅 → 新建批注。批注请落在具体分镜上。</w:t>
      </w:r>
    </w:p>
    <w:p>
      <w:r>
        <w:rPr>
          <w:b w:val="0"/>
        </w:rPr>
        <w:t>2. 直接修改：正文字可直接改（建议开启审阅 → 修订，改动可追溯）。</w:t>
      </w:r>
    </w:p>
    <w:p>
      <w:r>
        <w:rPr>
          <w:b w:val="0"/>
        </w:rPr>
        <w:t>3. 回传：改完的文件回传给工作流，即视为 S4 验收输入；成品剧本将基于批注后版本产出。</w:t>
      </w:r>
    </w:p>
    <w:p>
      <w:r>
        <w:rPr>
          <w:b w:val="0"/>
        </w:rPr>
        <w:t>4. 分镜时长（6-15 秒）与集末钩位为内部纪律，已内控，无需批注。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