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Stable Isotope Exploration Report: δ</w:t>
      </w:r>
      <w:r>
        <w:rPr>
          <w:vertAlign w:val="superscript"/>
        </w:rPr>
        <w:t>13</w:t>
      </w:r>
      <w:r>
        <w:rPr/>
        <w:t>C and δ</w:t>
      </w:r>
      <w:r>
        <w:rPr>
          <w:vertAlign w:val="superscript"/>
        </w:rPr>
        <w:t>34</w:t>
      </w:r>
      <w:r>
        <w:rPr/>
        <w:t xml:space="preserve">S </w:t>
      </w:r>
      <w:bookmarkStart w:id="0" w:name="X25b066bf75442460438dae56a1c9a66405f5d28"/>
    </w:p>
    <w:p>
      <w:pPr>
        <w:pStyle w:val="Normal"/>
        <w:rPr/>
      </w:pPr>
      <w:r>
        <w:rPr/>
        <w:t>Author: Sean Kinard</w:t>
      </w:r>
    </w:p>
    <w:p>
      <w:pPr>
        <w:pStyle w:val="Normal"/>
        <w:rPr/>
      </w:pPr>
      <w:r>
        <w:rPr/>
        <w:t>2024-06-04</w:t>
      </w:r>
    </w:p>
    <w:p>
      <w:pPr>
        <w:pStyle w:val="Heading2"/>
        <w:numPr>
          <w:ilvl w:val="1"/>
          <w:numId w:val="2"/>
        </w:numPr>
        <w:rPr/>
      </w:pPr>
      <w:bookmarkStart w:id="1" w:name="background"/>
      <w:r>
        <w:rPr/>
        <w:t>Background</w:t>
      </w:r>
    </w:p>
    <w:p>
      <w:pPr>
        <w:pStyle w:val="Normal"/>
        <w:rPr/>
      </w:pPr>
      <w:bookmarkStart w:id="2" w:name="background"/>
      <w:r>
        <w:rPr/>
        <w:t>Our investigation encompassed ten coastal rivers and five estuaries, with a focus on elucidating the connectivity between streams and estuaries, particularly in the face of aridity and artificial barriers. The presence of transient taxa (6 amphidromous species, 4 catadromous species, and 10 euryhaline species) underscored the interconnectedness of food webs across the coastal prairie landscape.</w:t>
      </w:r>
      <w:bookmarkEnd w:id="2"/>
    </w:p>
    <w:p>
      <w:pPr>
        <w:pStyle w:val="Heading2"/>
        <w:numPr>
          <w:ilvl w:val="1"/>
          <w:numId w:val="2"/>
        </w:numPr>
        <w:rPr/>
      </w:pPr>
      <w:bookmarkStart w:id="3" w:name="approach"/>
      <w:r>
        <w:rPr/>
        <w:t>Approach</w:t>
      </w:r>
    </w:p>
    <w:p>
      <w:pPr>
        <w:pStyle w:val="Normal"/>
        <w:rPr/>
      </w:pPr>
      <w:r>
        <w:rPr/>
        <w:t>Through stable isotope analysis of 407 samples, we aimed to decipher estuarine assimilation in freshwater and transient species, shedding light on diet composition and source contributions. Relationships between estuarine assimilation, transient prevalence, annual rainfall, elevation, dam presence, and distance to the estuary were rigorously examined. Additionally, the impact of the Calallen Dam on marine nutrient transport in the Nueces River was assessed.</w:t>
      </w:r>
    </w:p>
    <w:p>
      <w:pPr>
        <w:pStyle w:val="TextBody"/>
        <w:rPr/>
      </w:pPr>
      <w:r>
        <w:rPr/>
      </w:r>
    </w:p>
    <w:p>
      <w:pPr>
        <w:pStyle w:val="TextBody"/>
        <w:rPr/>
      </w:pPr>
      <w:r>
        <w:rPr/>
        <w:t xml:space="preserve">Analytical scripts are available at: </w:t>
      </w:r>
      <w:hyperlink r:id="rId2">
        <w:r>
          <w:rPr/>
          <w:t>https://github.com/skkinard/Estimating_Upstream_Nutrient_Subsidies</w:t>
        </w:r>
      </w:hyperlink>
      <w:bookmarkEnd w:id="3"/>
    </w:p>
    <w:p>
      <w:pPr>
        <w:pStyle w:val="Heading2"/>
        <w:numPr>
          <w:ilvl w:val="1"/>
          <w:numId w:val="2"/>
        </w:numPr>
        <w:rPr/>
      </w:pPr>
      <w:bookmarkStart w:id="4" w:name="key-features"/>
      <w:r>
        <w:rPr/>
        <w:t>Key Features</w:t>
      </w:r>
    </w:p>
    <w:p>
      <w:pPr>
        <w:pStyle w:val="Normal"/>
        <w:rPr/>
      </w:pPr>
      <w:r>
        <w:rPr/>
        <w:t xml:space="preserve">This report conducts exploratory data analysis on </w:t>
      </w:r>
      <w:r>
        <w:rPr/>
      </w:r>
      <m:oMath xmlns:m="http://schemas.openxmlformats.org/officeDocument/2006/math">
        <m:r>
          <w:rPr>
            <w:rFonts w:ascii="Cambria Math" w:hAnsi="Cambria Math"/>
          </w:rPr>
          <m:t xml:space="preserve">δ</m:t>
        </m:r>
      </m:oMath>
      <w:r>
        <w:rPr>
          <w:vertAlign w:val="superscript"/>
        </w:rPr>
        <w:t>13</w:t>
      </w:r>
      <w:r>
        <w:rPr/>
        <w:t xml:space="preserve">C and </w:t>
      </w:r>
      <w:r>
        <w:rPr/>
      </w:r>
      <m:oMath xmlns:m="http://schemas.openxmlformats.org/officeDocument/2006/math">
        <m:r>
          <w:rPr>
            <w:rFonts w:ascii="Cambria Math" w:hAnsi="Cambria Math"/>
          </w:rPr>
          <m:t xml:space="preserve">δ</m:t>
        </m:r>
      </m:oMath>
      <w:r>
        <w:rPr>
          <w:vertAlign w:val="superscript"/>
        </w:rPr>
        <w:t>34</w:t>
      </w:r>
      <w:r>
        <w:rPr/>
        <w:t>S for monitored streams and the dam study. Notably, the analysis treats monitored streams separately from the dam study due to variations in sampling methods—fish and invertebrate sampling at the Nueces River employed different techniques (seining and kicknets), and there is a lack of long-term monitoring survey data available for the Nueces River.</w:t>
      </w:r>
    </w:p>
    <w:p>
      <w:pPr>
        <w:pStyle w:val="TextBody"/>
        <w:rPr/>
      </w:pPr>
      <w:bookmarkStart w:id="5" w:name="key-features"/>
      <w:r>
        <w:rPr/>
        <w:t>The report features scaperplots, illustrating animal mixtures and sources in a 2-dimensional isotopic space. Additionally, it presents summary statistics for stable isotope values, offering valuable insights for fellow researchers.</w:t>
      </w:r>
      <w:bookmarkEnd w:id="5"/>
    </w:p>
    <w:p>
      <w:pPr>
        <w:pStyle w:val="Heading2"/>
        <w:numPr>
          <w:ilvl w:val="1"/>
          <w:numId w:val="2"/>
        </w:numPr>
        <w:rPr/>
      </w:pPr>
      <w:bookmarkStart w:id="6" w:name="relevance"/>
      <w:bookmarkEnd w:id="6"/>
      <w:r>
        <w:rPr/>
        <w:t>Relevance</w:t>
      </w:r>
    </w:p>
    <w:p>
      <w:pPr>
        <w:pStyle w:val="Normal"/>
        <w:rPr/>
      </w:pPr>
      <w:r>
        <w:rPr/>
        <w:t>In ecological stable isotope studies, it is imperative to include scatterplots in 2-dimensional isotopic space and report summary statistics for all analyzed values. These visual representations offer insights into the distribution and relationships between isotopic values, aiding in the identification of patterns, trends, and potential outliers within the data. By examining scatterplots, researchers can discern clusters or patterns indicative of different ecological groups or sources of isotopic variation, facilitating the interpretation of trophic relationships, habitat use, and migration patterns within ecosystems. Additionally, summary statistics provide a quantitative summary of the central tendency and variability of isotopic values, allowing researchers to assess data quality, compare between sites or species, and communicate findings effectively to the scientific community and stakeholders. Overall, these analytical tools are essential for understanding ecological processes, ensuring data reliability, and facilitating knowledge dissemination in ecological stable isotope research.</w:t>
      </w:r>
    </w:p>
    <w:p>
      <w:pPr>
        <w:pStyle w:val="Normal"/>
        <w:rPr/>
      </w:pPr>
      <w:r>
        <w:rPr/>
      </w:r>
      <w:r>
        <w:br w:type="page"/>
      </w:r>
    </w:p>
    <w:p>
      <w:pPr>
        <w:pStyle w:val="Heading3"/>
        <w:numPr>
          <w:ilvl w:val="2"/>
          <w:numId w:val="2"/>
        </w:numPr>
        <w:rPr/>
      </w:pPr>
      <w:bookmarkStart w:id="7" w:name="X79a88354e626f5984fdbbbda21f6a433670ca6b"/>
      <w:bookmarkEnd w:id="7"/>
      <w:r>
        <w:rPr/>
        <w:t xml:space="preserve">Satterplot </w:t>
      </w:r>
      <w:r>
        <w:rPr/>
      </w:r>
      <m:oMath xmlns:m="http://schemas.openxmlformats.org/officeDocument/2006/math">
        <m:r>
          <w:rPr>
            <w:rFonts w:ascii="Cambria Math" w:hAnsi="Cambria Math"/>
          </w:rPr>
          <m:t xml:space="preserve">δ</m:t>
        </m:r>
      </m:oMath>
      <w:r>
        <w:rPr>
          <w:vertAlign w:val="superscript"/>
        </w:rPr>
        <w:t>34</w:t>
      </w:r>
      <w:r>
        <w:rPr/>
        <w:t xml:space="preserve">S versus </w:t>
      </w:r>
      <w:r>
        <w:rPr/>
      </w:r>
      <m:oMath xmlns:m="http://schemas.openxmlformats.org/officeDocument/2006/math">
        <m:r>
          <w:rPr>
            <w:rFonts w:ascii="Cambria Math" w:hAnsi="Cambria Math"/>
          </w:rPr>
          <m:t xml:space="preserve">δ</m:t>
        </m:r>
      </m:oMath>
      <w:r>
        <w:rPr>
          <w:vertAlign w:val="superscript"/>
        </w:rPr>
        <w:t>13</w:t>
      </w:r>
      <w:r>
        <w:rPr/>
        <w:t>C: Streams</w:t>
      </w:r>
    </w:p>
    <w:p>
      <w:pPr>
        <w:pStyle w:val="Normal"/>
        <w:rPr/>
      </w:pPr>
      <w:r>
        <w:rPr/>
      </w:r>
      <m:oMath xmlns:m="http://schemas.openxmlformats.org/officeDocument/2006/math">
        <m:r>
          <w:rPr>
            <w:rFonts w:ascii="Cambria Math" w:hAnsi="Cambria Math"/>
          </w:rPr>
          <m:t xml:space="preserve">δ</m:t>
        </m:r>
      </m:oMath>
      <w:r>
        <w:rPr>
          <w:vertAlign w:val="superscript"/>
        </w:rPr>
        <w:t>34</w:t>
      </w:r>
      <w:r>
        <w:rPr/>
        <w:t xml:space="preserve">S versus </w:t>
      </w:r>
      <w:r>
        <w:rPr/>
      </w:r>
      <m:oMath xmlns:m="http://schemas.openxmlformats.org/officeDocument/2006/math">
        <m:r>
          <w:rPr>
            <w:rFonts w:ascii="Cambria Math" w:hAnsi="Cambria Math"/>
          </w:rPr>
          <m:t xml:space="preserve">δ</m:t>
        </m:r>
      </m:oMath>
      <w:r>
        <w:rPr>
          <w:vertAlign w:val="superscript"/>
        </w:rPr>
        <w:t>13</w:t>
      </w:r>
      <w:r>
        <w:rPr/>
        <w:t>C values for fish and invertebrates, shaped and colored according to their transient type. Labels mark mean source signatures from streams and estuaries with cross-hairs extending to the 95% confidence interval.</w:t>
      </w:r>
    </w:p>
    <w:p>
      <w:pPr>
        <w:pStyle w:val="Normal"/>
        <w:rPr/>
      </w:pPr>
      <w:r>
        <w:rPr/>
      </w:r>
    </w:p>
    <w:p>
      <w:pPr>
        <w:pStyle w:val="TextBody"/>
        <w:rPr/>
      </w:pPr>
      <w:r>
        <w:rPr/>
        <w:drawing>
          <wp:inline distT="0" distB="0" distL="0" distR="0">
            <wp:extent cx="6324600" cy="63246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24600" cy="6324600"/>
                    </a:xfrm>
                    <a:prstGeom prst="rect">
                      <a:avLst/>
                    </a:prstGeom>
                  </pic:spPr>
                </pic:pic>
              </a:graphicData>
            </a:graphic>
          </wp:inline>
        </w:drawing>
      </w:r>
    </w:p>
    <w:p>
      <w:pPr>
        <w:pStyle w:val="Normal"/>
        <w:rPr/>
      </w:pPr>
      <w:r>
        <w:rPr/>
      </w:r>
      <w:bookmarkStart w:id="8" w:name="X79a88354e626f5984fdbbbda21f6a433670ca6b"/>
      <w:bookmarkStart w:id="9" w:name="X79a88354e626f5984fdbbbda21f6a433670ca6b"/>
      <w:bookmarkEnd w:id="9"/>
      <w:r>
        <w:br w:type="page"/>
      </w:r>
    </w:p>
    <w:p>
      <w:pPr>
        <w:pStyle w:val="Heading3"/>
        <w:numPr>
          <w:ilvl w:val="2"/>
          <w:numId w:val="2"/>
        </w:numPr>
        <w:rPr/>
      </w:pPr>
      <w:bookmarkStart w:id="10" w:name="Xc77b6328fbf9cb6232730311476d6902b0d7164"/>
      <w:bookmarkEnd w:id="10"/>
      <w:r>
        <w:rPr/>
        <w:t xml:space="preserve">Satterplot </w:t>
      </w:r>
      <w:r>
        <w:rPr/>
      </w:r>
      <m:oMath xmlns:m="http://schemas.openxmlformats.org/officeDocument/2006/math">
        <m:r>
          <w:rPr>
            <w:rFonts w:ascii="Cambria Math" w:hAnsi="Cambria Math"/>
          </w:rPr>
          <m:t xml:space="preserve">δ</m:t>
        </m:r>
      </m:oMath>
      <w:r>
        <w:rPr>
          <w:vertAlign w:val="superscript"/>
        </w:rPr>
        <w:t>34</w:t>
      </w:r>
      <w:r>
        <w:rPr/>
        <w:t xml:space="preserve">S versus </w:t>
      </w:r>
      <w:r>
        <w:rPr/>
      </w:r>
      <m:oMath xmlns:m="http://schemas.openxmlformats.org/officeDocument/2006/math">
        <m:r>
          <w:rPr>
            <w:rFonts w:ascii="Cambria Math" w:hAnsi="Cambria Math"/>
          </w:rPr>
          <m:t xml:space="preserve">δ</m:t>
        </m:r>
      </m:oMath>
      <w:r>
        <w:rPr>
          <w:vertAlign w:val="superscript"/>
        </w:rPr>
        <w:t>13</w:t>
      </w:r>
      <w:r>
        <w:rPr/>
        <w:t>C: Calallen Dam</w:t>
      </w:r>
    </w:p>
    <w:p>
      <w:pPr>
        <w:pStyle w:val="Normal"/>
        <w:rPr/>
      </w:pPr>
      <w:r>
        <w:rPr/>
        <w:t xml:space="preserve">Fish and invertebrate </w:t>
      </w:r>
      <w:r>
        <w:rPr/>
      </w:r>
      <m:oMath xmlns:m="http://schemas.openxmlformats.org/officeDocument/2006/math">
        <m:r>
          <w:rPr>
            <w:rFonts w:ascii="Cambria Math" w:hAnsi="Cambria Math"/>
          </w:rPr>
          <m:t xml:space="preserve">δ</m:t>
        </m:r>
      </m:oMath>
      <w:r>
        <w:rPr>
          <w:vertAlign w:val="superscript"/>
        </w:rPr>
        <w:t>34</w:t>
      </w:r>
      <w:r>
        <w:rPr/>
        <w:t xml:space="preserve">S and </w:t>
      </w:r>
      <w:r>
        <w:rPr/>
      </w:r>
      <m:oMath xmlns:m="http://schemas.openxmlformats.org/officeDocument/2006/math">
        <m:r>
          <w:rPr>
            <w:rFonts w:ascii="Cambria Math" w:hAnsi="Cambria Math"/>
          </w:rPr>
          <m:t xml:space="preserve">δ</m:t>
        </m:r>
      </m:oMath>
      <w:r>
        <w:rPr>
          <w:vertAlign w:val="superscript"/>
        </w:rPr>
        <w:t>13</w:t>
      </w:r>
      <w:r>
        <w:rPr/>
        <w:t>C signatures above (red) and below (blue) Calallen Dam on the Nueces River (0-1 m elevation and 20 km from the nearest Estuary). Labelled cross-hairs mark source signatures and 95% confidence intervals from streams and estuaries.</w:t>
      </w:r>
    </w:p>
    <w:p>
      <w:pPr>
        <w:pStyle w:val="Normal"/>
        <w:rPr/>
      </w:pPr>
      <w:r>
        <w:rPr/>
      </w:r>
    </w:p>
    <w:p>
      <w:pPr>
        <w:pStyle w:val="TextBody"/>
        <w:rPr/>
      </w:pPr>
      <w:r>
        <w:rPr/>
        <w:drawing>
          <wp:inline distT="0" distB="0" distL="0" distR="0">
            <wp:extent cx="6324600" cy="6324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24600" cy="6324600"/>
                    </a:xfrm>
                    <a:prstGeom prst="rect">
                      <a:avLst/>
                    </a:prstGeom>
                  </pic:spPr>
                </pic:pic>
              </a:graphicData>
            </a:graphic>
          </wp:inline>
        </w:drawing>
      </w:r>
    </w:p>
    <w:p>
      <w:pPr>
        <w:pStyle w:val="Normal"/>
        <w:rPr/>
      </w:pPr>
      <w:r>
        <w:rPr/>
      </w:r>
      <w:bookmarkStart w:id="11" w:name="Xc77b6328fbf9cb6232730311476d6902b0d7164"/>
      <w:bookmarkStart w:id="12" w:name="Xc77b6328fbf9cb6232730311476d6902b0d7164"/>
      <w:bookmarkEnd w:id="12"/>
      <w:r>
        <w:br w:type="page"/>
      </w:r>
    </w:p>
    <w:p>
      <w:pPr>
        <w:pStyle w:val="Heading3"/>
        <w:numPr>
          <w:ilvl w:val="2"/>
          <w:numId w:val="2"/>
        </w:numPr>
        <w:rPr/>
      </w:pPr>
      <w:bookmarkStart w:id="13" w:name="X0c385b61cd5863bed38fffe4127beb79917a490"/>
      <w:bookmarkEnd w:id="13"/>
      <w:r>
        <w:rPr/>
        <w:t>Table: δ</w:t>
      </w:r>
      <w:r>
        <w:rPr>
          <w:vertAlign w:val="superscript"/>
        </w:rPr>
        <w:t>13</w:t>
      </w:r>
      <w:r>
        <w:rPr/>
        <w:t>C and δ</w:t>
      </w:r>
      <w:r>
        <w:rPr>
          <w:vertAlign w:val="superscript"/>
        </w:rPr>
        <w:t>34</w:t>
      </w:r>
      <w:r>
        <w:rPr/>
        <w:t xml:space="preserve">S Source </w:t>
      </w:r>
      <w:r>
        <w:rPr/>
        <w:t xml:space="preserve">Summary </w:t>
      </w:r>
      <w:r>
        <w:rPr/>
        <w:t>Statistics (Regional summary)</w:t>
      </w:r>
    </w:p>
    <w:p>
      <w:pPr>
        <w:pStyle w:val="Normal"/>
        <w:rPr/>
      </w:pPr>
      <w:r>
        <w:rPr/>
        <w:t>Bootstrapped mean and 95% confidence intervals for primary producer δ</w:t>
      </w:r>
      <w:r>
        <w:rPr>
          <w:vertAlign w:val="superscript"/>
        </w:rPr>
        <w:t>13</w:t>
      </w:r>
      <w:r>
        <w:rPr/>
        <w:t>C and δ</w:t>
      </w:r>
      <w:r>
        <w:rPr>
          <w:vertAlign w:val="superscript"/>
        </w:rPr>
        <w:t>34</w:t>
      </w:r>
      <w:r>
        <w:rPr/>
        <w:t>S signatures from streams and estuaries.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2492"/>
        <w:gridCol w:w="2493"/>
        <w:gridCol w:w="2493"/>
        <w:gridCol w:w="2493"/>
      </w:tblGrid>
      <w:tr>
        <w:trPr>
          <w:tblHeader w:val="true"/>
          <w:cantSplit w:val="true"/>
        </w:trPr>
        <w:tc>
          <w:tcPr>
            <w:tcW w:w="2492"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Isotope</w:t>
            </w:r>
          </w:p>
        </w:tc>
        <w:tc>
          <w:tcPr>
            <w:tcW w:w="249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Mean (δ)</w:t>
            </w:r>
          </w:p>
        </w:tc>
        <w:tc>
          <w:tcPr>
            <w:tcW w:w="249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2.5% (δ)</w:t>
            </w:r>
          </w:p>
        </w:tc>
        <w:tc>
          <w:tcPr>
            <w:tcW w:w="249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97.5% (δ)</w:t>
            </w:r>
          </w:p>
        </w:tc>
      </w:tr>
      <w:tr>
        <w:trPr>
          <w:cantSplit w:val="true"/>
        </w:trPr>
        <w:tc>
          <w:tcPr>
            <w:tcW w:w="9971"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Estuary</w:t>
            </w:r>
          </w:p>
        </w:tc>
      </w:tr>
      <w:tr>
        <w:trPr>
          <w:cantSplit w:val="true"/>
        </w:trPr>
        <w:tc>
          <w:tcPr>
            <w:tcW w:w="249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Carbon-13</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-18.1</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-19.8</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-16.4</w:t>
            </w:r>
          </w:p>
        </w:tc>
      </w:tr>
      <w:tr>
        <w:trPr>
          <w:cantSplit w:val="true"/>
        </w:trPr>
        <w:tc>
          <w:tcPr>
            <w:tcW w:w="249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Sulfur-34</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13.8</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12.4</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15.2</w:t>
            </w:r>
          </w:p>
        </w:tc>
      </w:tr>
      <w:tr>
        <w:trPr>
          <w:cantSplit w:val="true"/>
        </w:trPr>
        <w:tc>
          <w:tcPr>
            <w:tcW w:w="9971" w:type="dxa"/>
            <w:gridSpan w:val="4"/>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Stream</w:t>
            </w:r>
          </w:p>
        </w:tc>
      </w:tr>
      <w:tr>
        <w:trPr>
          <w:cantSplit w:val="true"/>
        </w:trPr>
        <w:tc>
          <w:tcPr>
            <w:tcW w:w="249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Carbon-13</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-28.5</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-29.2</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-27.7</w:t>
            </w:r>
          </w:p>
        </w:tc>
      </w:tr>
      <w:tr>
        <w:trPr>
          <w:cantSplit w:val="true"/>
        </w:trPr>
        <w:tc>
          <w:tcPr>
            <w:tcW w:w="249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Sulfur-34</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5.5</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4.5</w:t>
            </w:r>
          </w:p>
        </w:tc>
        <w:tc>
          <w:tcPr>
            <w:tcW w:w="249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6.5</w:t>
            </w:r>
          </w:p>
        </w:tc>
      </w:tr>
    </w:tbl>
    <w:p>
      <w:pPr>
        <w:pStyle w:val="Normal"/>
        <w:rPr/>
      </w:pPr>
      <w:r>
        <w:rPr/>
      </w:r>
      <w:bookmarkStart w:id="14" w:name="X0c385b61cd5863bed38fffe4127beb79917a490"/>
      <w:bookmarkStart w:id="15" w:name="X0c385b61cd5863bed38fffe4127beb79917a490"/>
      <w:bookmarkEnd w:id="15"/>
      <w:r>
        <w:br w:type="page"/>
      </w:r>
    </w:p>
    <w:p>
      <w:pPr>
        <w:pStyle w:val="Heading3"/>
        <w:numPr>
          <w:ilvl w:val="2"/>
          <w:numId w:val="2"/>
        </w:numPr>
        <w:rPr/>
      </w:pPr>
      <w:bookmarkStart w:id="16" w:name="X79e4205fac32b3edf9054125b4fcc230bc4eb2c"/>
      <w:bookmarkEnd w:id="16"/>
      <w:r>
        <w:rPr/>
        <w:t>Table: Source δ</w:t>
      </w:r>
      <w:r>
        <w:rPr>
          <w:vertAlign w:val="superscript"/>
        </w:rPr>
        <w:t>13</w:t>
      </w:r>
      <w:r>
        <w:rPr/>
        <w:t xml:space="preserve">C </w:t>
      </w:r>
      <w:r>
        <w:rPr/>
        <w:t xml:space="preserve">Summary </w:t>
      </w:r>
      <w:r>
        <w:rPr/>
        <w:t>Statistics (by site and type)</w:t>
      </w:r>
    </w:p>
    <w:p>
      <w:pPr>
        <w:pStyle w:val="Normal"/>
        <w:rPr/>
      </w:pPr>
      <w:r>
        <w:rPr/>
        <w:t xml:space="preserve">Primary producer </w:t>
      </w:r>
      <w:r>
        <w:rPr/>
      </w:r>
      <m:oMath xmlns:m="http://schemas.openxmlformats.org/officeDocument/2006/math">
        <m:r>
          <w:rPr>
            <w:rFonts w:ascii="Cambria Math" w:hAnsi="Cambria Math"/>
          </w:rPr>
          <m:t xml:space="preserve">δ</m:t>
        </m:r>
      </m:oMath>
      <w:r>
        <w:rPr>
          <w:b/>
          <w:bCs/>
          <w:vertAlign w:val="superscript"/>
        </w:rPr>
        <w:t>13</w:t>
      </w:r>
      <w:r>
        <w:rPr>
          <w:b/>
          <w:bCs/>
        </w:rPr>
        <w:t>C</w:t>
      </w:r>
      <w:r>
        <w:rPr/>
        <w:t xml:space="preserve"> summary statistics grouped according to site and sample type. Sites are arranged by type (bays followed by streams) in ascending order of annual rainfall. Cell contents contain “mean, standard deviation (n)”. Cell contents contain “mean, standard deviation (#-of-samples)”.</w:t>
      </w:r>
    </w:p>
    <w:p>
      <w:pPr>
        <w:pStyle w:val="Normal"/>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661"/>
        <w:gridCol w:w="1662"/>
        <w:gridCol w:w="1662"/>
        <w:gridCol w:w="1662"/>
        <w:gridCol w:w="1662"/>
        <w:gridCol w:w="1662"/>
      </w:tblGrid>
      <w:tr>
        <w:trPr>
          <w:tblHeader w:val="true"/>
          <w:cantSplit w:val="true"/>
        </w:trPr>
        <w:tc>
          <w:tcPr>
            <w:tcW w:w="166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Site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Algae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Detritus</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Macrophyte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Periphyton</w:t>
            </w:r>
          </w:p>
        </w:tc>
        <w:tc>
          <w:tcPr>
            <w:tcW w:w="166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Riparian Leaves</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-17.5, 3.1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-14.5, 0.9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-16.1, 5.1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-23.2,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-13.1, 0.2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-19.5, 6.4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-16.7, 4.3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-17.0, 2.6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-13.4,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-17.5,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-20.5, 7.1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-20.2, 10.1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-23.6, 0.2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-15.4, 0.8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-21.9, 6.4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-18.7,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-29.9, 1.7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-23.4, 7.3 (4)</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SF</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-26.8, 3.0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-30.1,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-29.0, 0.7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-27.8, 3.3 (6)</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-30.3, 1.3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-23.0,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-29.7, 2.7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-27.4, 1.9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-30.2, 1.6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-23.8,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PD</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-23.4,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-28.7, 1.2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-27.3,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-29.2, (1)</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PL</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0.2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-28.4, 1.4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-20.5,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GC</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-31.2, 0.3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-29.2, 1.4 (7)</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-30.4, 1.9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-23.4,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-30.4, 1.7 (5)</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WM</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-27.9, 0.4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-29.2, 2.6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EM</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-29.1, 1.0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-27.9, 0.07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-21.2, 0.5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bl>
    <w:p>
      <w:pPr>
        <w:pStyle w:val="Normal"/>
        <w:rPr/>
      </w:pPr>
      <w:r>
        <w:rPr/>
      </w:r>
    </w:p>
    <w:p>
      <w:pPr>
        <w:pStyle w:val="Normal"/>
        <w:rPr/>
      </w:pPr>
      <w:r>
        <w:rPr/>
      </w:r>
      <w:bookmarkStart w:id="17" w:name="X79e4205fac32b3edf9054125b4fcc230bc4eb2c"/>
      <w:bookmarkStart w:id="18" w:name="X79e4205fac32b3edf9054125b4fcc230bc4eb2c"/>
      <w:bookmarkEnd w:id="18"/>
      <w:r>
        <w:br w:type="page"/>
      </w:r>
    </w:p>
    <w:p>
      <w:pPr>
        <w:pStyle w:val="Heading3"/>
        <w:numPr>
          <w:ilvl w:val="2"/>
          <w:numId w:val="2"/>
        </w:numPr>
        <w:rPr/>
      </w:pPr>
      <w:bookmarkStart w:id="19" w:name="X718a6db633bef50fa50c7b917257421d535f433"/>
      <w:bookmarkEnd w:id="19"/>
      <w:r>
        <w:rPr/>
        <w:t>Table: Source δ</w:t>
      </w:r>
      <w:r>
        <w:rPr>
          <w:vertAlign w:val="superscript"/>
        </w:rPr>
        <w:t>34</w:t>
      </w:r>
      <w:r>
        <w:rPr/>
        <w:t xml:space="preserve">S </w:t>
      </w:r>
      <w:r>
        <w:rPr/>
        <w:t xml:space="preserve">Summary </w:t>
      </w:r>
      <w:r>
        <w:rPr/>
        <w:t>Statistics (by site and type)</w:t>
      </w:r>
    </w:p>
    <w:p>
      <w:pPr>
        <w:pStyle w:val="Normal"/>
        <w:rPr/>
      </w:pPr>
      <w:r>
        <w:rPr/>
        <w:t xml:space="preserve">Primary producer </w:t>
      </w:r>
      <w:r>
        <w:rPr/>
      </w:r>
      <m:oMath xmlns:m="http://schemas.openxmlformats.org/officeDocument/2006/math">
        <m:r>
          <w:rPr>
            <w:rFonts w:ascii="Cambria Math" w:hAnsi="Cambria Math"/>
          </w:rPr>
          <m:t xml:space="preserve">δ</m:t>
        </m:r>
      </m:oMath>
      <w:r>
        <w:rPr>
          <w:b/>
          <w:bCs/>
          <w:vertAlign w:val="superscript"/>
        </w:rPr>
        <w:t>34</w:t>
      </w:r>
      <w:r>
        <w:rPr>
          <w:b/>
          <w:bCs/>
        </w:rPr>
        <w:t>S</w:t>
      </w:r>
      <w:r>
        <w:rPr/>
        <w:t xml:space="preserve"> summary statistics grouped according to site and sample type. Sites are arranged by type (bays followed by streams) in ascending order of annual rainfall. Cell contents contain “mean, standard deviation (n)”. Cell contents contain “mean, standard deviation (#-of-samples)”.</w:t>
      </w:r>
    </w:p>
    <w:p>
      <w:pPr>
        <w:pStyle w:val="Normal"/>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1661"/>
        <w:gridCol w:w="1662"/>
        <w:gridCol w:w="1662"/>
        <w:gridCol w:w="1662"/>
        <w:gridCol w:w="1662"/>
        <w:gridCol w:w="1662"/>
      </w:tblGrid>
      <w:tr>
        <w:trPr>
          <w:tblHeader w:val="true"/>
          <w:cantSplit w:val="true"/>
        </w:trPr>
        <w:tc>
          <w:tcPr>
            <w:tcW w:w="1661"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Site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Algae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Detritus</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Macrophyte</w:t>
            </w:r>
          </w:p>
        </w:tc>
        <w:tc>
          <w:tcPr>
            <w:tcW w:w="1662"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Periphyton</w:t>
            </w:r>
          </w:p>
        </w:tc>
        <w:tc>
          <w:tcPr>
            <w:tcW w:w="1662"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Riparian Leaves</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17.1, 0.8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7.52, 4.0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16.5, 2.9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19.9,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11.0, 2.6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15.2, 2.6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18.7, 1.8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14.6, 0.6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13.6,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17.2,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9.81, 0.3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13.9, 5.7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NB</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19.0, 0.6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9.68, 4.5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7.78, 1.9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TR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9.06,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9.01, 1.1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11.9,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11.8, 1.8 (4)</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SF</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1.62, 0.007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-1.54,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12.9,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2.33, 0.09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4.04, 0.7 (6)</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3.81, 0.7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4.25,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MR</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11.2, 1.6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4.26, 2.9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9.12, 0.5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14.5,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PD</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10.1,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9.64, 1.7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9.1,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16.9, (1)</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PL</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12.5, 0.04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5.46, 0.5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4.11,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GC</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4.66, 0.3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0.697, 4.0 (7)</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4.63, 1.2 (4)</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11.3, (1)</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1.03, 2.0 (5)</w:t>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WM</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2.61, 2.3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7.23, 1.8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1661"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EM</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5.5, 0.9 (3)</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8.2, 0.0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9.13, 0.3 (2)</w:t>
            </w:r>
          </w:p>
        </w:tc>
        <w:tc>
          <w:tcPr>
            <w:tcW w:w="166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bl>
    <w:p>
      <w:pPr>
        <w:pStyle w:val="Normal"/>
        <w:rPr/>
      </w:pPr>
      <w:r>
        <w:rPr/>
      </w:r>
    </w:p>
    <w:p>
      <w:pPr>
        <w:pStyle w:val="Normal"/>
        <w:rPr/>
      </w:pPr>
      <w:r>
        <w:rPr/>
      </w:r>
      <w:bookmarkStart w:id="20" w:name="X718a6db633bef50fa50c7b917257421d535f433"/>
      <w:bookmarkStart w:id="21" w:name="X718a6db633bef50fa50c7b917257421d535f433"/>
      <w:bookmarkEnd w:id="21"/>
      <w:r>
        <w:br w:type="page"/>
      </w:r>
    </w:p>
    <w:p>
      <w:pPr>
        <w:pStyle w:val="Heading3"/>
        <w:numPr>
          <w:ilvl w:val="2"/>
          <w:numId w:val="2"/>
        </w:numPr>
        <w:rPr/>
      </w:pPr>
      <w:bookmarkStart w:id="22" w:name="X9cc9ba7fc95cacaea44378bc3bb637e25f78812"/>
      <w:bookmarkEnd w:id="22"/>
      <w:r>
        <w:rPr/>
        <w:t>Table: Fish δ</w:t>
      </w:r>
      <w:r>
        <w:rPr>
          <w:vertAlign w:val="superscript"/>
        </w:rPr>
        <w:t>13</w:t>
      </w:r>
      <w:r>
        <w:rPr/>
        <w:t>C Summary Statistics (by site and family)</w:t>
      </w:r>
    </w:p>
    <w:p>
      <w:pPr>
        <w:pStyle w:val="Normal"/>
        <w:rPr/>
      </w:pPr>
      <w:r>
        <w:rPr/>
        <w:t xml:space="preserve">Stream fish ** </w:t>
      </w:r>
      <w:r>
        <w:rPr/>
      </w:r>
      <m:oMath xmlns:m="http://schemas.openxmlformats.org/officeDocument/2006/math">
        <m:r>
          <w:rPr>
            <w:rFonts w:ascii="Cambria Math" w:hAnsi="Cambria Math"/>
          </w:rPr>
          <m:t xml:space="preserve">δ</m:t>
        </m:r>
      </m:oMath>
      <w:r>
        <w:rPr>
          <w:vertAlign w:val="superscript"/>
        </w:rPr>
        <w:t>13</w:t>
      </w:r>
      <w:r>
        <w:rPr/>
        <w:t>C** summary statistics grouped by taxonomic family. Columns are labeld with the 2-letter site code with corresponding annual rainfall (rounded to the nearest centimeter). Cell contents contain “mean, standard deviation (#-of-samples)”.</w:t>
      </w:r>
    </w:p>
    <w:p>
      <w:pPr>
        <w:pStyle w:val="Normal"/>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997"/>
        <w:gridCol w:w="997"/>
        <w:gridCol w:w="997"/>
        <w:gridCol w:w="997"/>
        <w:gridCol w:w="997"/>
        <w:gridCol w:w="997"/>
        <w:gridCol w:w="997"/>
        <w:gridCol w:w="997"/>
        <w:gridCol w:w="998"/>
        <w:gridCol w:w="997"/>
      </w:tblGrid>
      <w:tr>
        <w:trPr>
          <w:tblHeader w:val="true"/>
          <w:cantSplit w:val="true"/>
        </w:trPr>
        <w:tc>
          <w:tcPr>
            <w:tcW w:w="997"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Family</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TR-54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SF-57</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AR-69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MR-73</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PD-79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PL-82</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GC-84</w:t>
            </w:r>
          </w:p>
        </w:tc>
        <w:tc>
          <w:tcPr>
            <w:tcW w:w="99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WM-94</w:t>
            </w:r>
          </w:p>
        </w:tc>
        <w:tc>
          <w:tcPr>
            <w:tcW w:w="997"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EM-95</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Centrarchidae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-18.4, 0.5 (4)</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-21.6, 1.8 (8)</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 1.3 (21)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-30.1, 4.4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 1.0 (7)</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0.6 (8)</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-30.3, 1.4 (16)</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-27.9, 1.0 (23)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-26.3, 1.4 (10)</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Cichlidae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 1.5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 0.8 (4)</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-26.4, 1.3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-31.4,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 1.0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Cyprinodontidae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1.3 (5)</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Eleotridae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-26.6,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Fundulidae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-17.2, 0.9 (6)</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Ictaluridae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2.8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-30.4, 0.2 (2)</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0.5 (3)</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Pecidae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-29.6, 0.3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Poeciliidae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 2.0 (7)</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0.2 (6)</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1.0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-30.5, 0.2 (4)</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 1.4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bl>
    <w:p>
      <w:pPr>
        <w:pStyle w:val="Normal"/>
        <w:rPr/>
      </w:pPr>
      <w:r>
        <w:rPr/>
      </w:r>
    </w:p>
    <w:p>
      <w:pPr>
        <w:pStyle w:val="Normal"/>
        <w:rPr/>
      </w:pPr>
      <w:r>
        <w:rPr/>
      </w:r>
      <w:bookmarkStart w:id="23" w:name="X9cc9ba7fc95cacaea44378bc3bb637e25f78812"/>
      <w:bookmarkStart w:id="24" w:name="X9cc9ba7fc95cacaea44378bc3bb637e25f78812"/>
      <w:bookmarkEnd w:id="24"/>
      <w:r>
        <w:br w:type="page"/>
      </w:r>
    </w:p>
    <w:p>
      <w:pPr>
        <w:pStyle w:val="Heading3"/>
        <w:numPr>
          <w:ilvl w:val="2"/>
          <w:numId w:val="2"/>
        </w:numPr>
        <w:rPr/>
      </w:pPr>
      <w:bookmarkStart w:id="25" w:name="Xf00ae60ae68ea54ff4fa9bcd69928edb84caa53"/>
      <w:bookmarkEnd w:id="25"/>
      <w:r>
        <w:rPr/>
        <w:t>Table: Fish δ</w:t>
      </w:r>
      <w:r>
        <w:rPr>
          <w:vertAlign w:val="superscript"/>
        </w:rPr>
        <w:t>34</w:t>
      </w:r>
      <w:r>
        <w:rPr/>
        <w:t xml:space="preserve">S </w:t>
      </w:r>
      <w:r>
        <w:rPr/>
        <w:t>Summary</w:t>
      </w:r>
      <w:r>
        <w:rPr/>
        <w:t xml:space="preserve"> Statistics (by site and family)</w:t>
      </w:r>
    </w:p>
    <w:p>
      <w:pPr>
        <w:pStyle w:val="Normal"/>
        <w:rPr/>
      </w:pPr>
      <w:r>
        <w:rPr/>
        <w:t xml:space="preserve">Stream fish </w:t>
      </w:r>
      <w:r>
        <w:rPr/>
      </w:r>
      <m:oMath xmlns:m="http://schemas.openxmlformats.org/officeDocument/2006/math">
        <m:r>
          <w:rPr>
            <w:rFonts w:ascii="Cambria Math" w:hAnsi="Cambria Math"/>
          </w:rPr>
          <m:t xml:space="preserve">δ</m:t>
        </m:r>
      </m:oMath>
      <w:r>
        <w:rPr>
          <w:b/>
          <w:bCs/>
          <w:vertAlign w:val="superscript"/>
        </w:rPr>
        <w:t>34</w:t>
      </w:r>
      <w:r>
        <w:rPr>
          <w:b/>
          <w:bCs/>
        </w:rPr>
        <w:t>S</w:t>
      </w:r>
      <w:r>
        <w:rPr/>
        <w:t xml:space="preserve"> summary statistics grouped by taxonomic family. Columns are labeld with the 2-letter site code with corresponding annual rainfall (rounded to the nearest centimeter). Cell contents contain “mean, standard deviation (#-of-samples)”.</w:t>
      </w:r>
    </w:p>
    <w:p>
      <w:pPr>
        <w:pStyle w:val="Normal"/>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997"/>
        <w:gridCol w:w="997"/>
        <w:gridCol w:w="997"/>
        <w:gridCol w:w="997"/>
        <w:gridCol w:w="997"/>
        <w:gridCol w:w="997"/>
        <w:gridCol w:w="997"/>
        <w:gridCol w:w="997"/>
        <w:gridCol w:w="998"/>
        <w:gridCol w:w="997"/>
      </w:tblGrid>
      <w:tr>
        <w:trPr>
          <w:tblHeader w:val="true"/>
          <w:cantSplit w:val="true"/>
        </w:trPr>
        <w:tc>
          <w:tcPr>
            <w:tcW w:w="997"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Family</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TR-54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SF-57</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AR-69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MR-73</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PD-79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PL-82</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GC-84</w:t>
            </w:r>
          </w:p>
        </w:tc>
        <w:tc>
          <w:tcPr>
            <w:tcW w:w="998"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WM-94</w:t>
            </w:r>
          </w:p>
        </w:tc>
        <w:tc>
          <w:tcPr>
            <w:tcW w:w="997"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EM-95</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Centrarchidae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-18.4, 0.5 (4)</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-21.6, 1.8 (8)</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-25.6, 1.3 (21)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-30.1, 4.4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-25.3, 1.0 (7)</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0.6 (8)</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-30.3, 1.4 (16)</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-27.9, 1.0 (23)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-26.3, 1.4 (10)</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Cichlidae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-18.2, 1.5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 0.8 (4)</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-26.4, 1.3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-31.4,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-27.2, 1.0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Cyprinodontidae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-14.1, 1.3 (5)</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Eleotridae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-26.6,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Fundulidae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-17.2, 0.9 (6)</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-25.8,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Ictaluridae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-27.0, 2.8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-30.4, 0.2 (2)</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-25.7, 0.5 (3)</w:t>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Pecidae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-29.6, 0.3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Poeciliidae</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-16.9, 2.0 (7)</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0.2 (6)</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-23.7, 1.0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-30.5, 0.2 (4)</w:t>
            </w:r>
          </w:p>
        </w:tc>
        <w:tc>
          <w:tcPr>
            <w:tcW w:w="99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-28.7, 1.4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bl>
    <w:p>
      <w:pPr>
        <w:pStyle w:val="Normal"/>
        <w:rPr/>
      </w:pPr>
      <w:r>
        <w:rPr/>
      </w:r>
    </w:p>
    <w:p>
      <w:pPr>
        <w:pStyle w:val="Normal"/>
        <w:rPr/>
      </w:pPr>
      <w:r>
        <w:rPr/>
      </w:r>
      <w:bookmarkStart w:id="26" w:name="Xf00ae60ae68ea54ff4fa9bcd69928edb84caa53"/>
      <w:bookmarkStart w:id="27" w:name="Xf00ae60ae68ea54ff4fa9bcd69928edb84caa53"/>
      <w:bookmarkEnd w:id="27"/>
      <w:r>
        <w:br w:type="page"/>
      </w:r>
    </w:p>
    <w:p>
      <w:pPr>
        <w:pStyle w:val="Heading3"/>
        <w:numPr>
          <w:ilvl w:val="2"/>
          <w:numId w:val="2"/>
        </w:numPr>
        <w:rPr/>
      </w:pPr>
      <w:bookmarkStart w:id="28" w:name="X1855a2b66fdf0c870f7821cde04406aab7f3da7"/>
      <w:bookmarkEnd w:id="28"/>
      <w:r>
        <w:rPr/>
        <w:t>Table: Invertebrate δ</w:t>
      </w:r>
      <w:r>
        <w:rPr>
          <w:vertAlign w:val="superscript"/>
        </w:rPr>
        <w:t>13</w:t>
      </w:r>
      <w:r>
        <w:rPr/>
        <w:t xml:space="preserve">C </w:t>
      </w:r>
      <w:r>
        <w:rPr/>
        <w:t xml:space="preserve">Summary </w:t>
      </w:r>
      <w:r>
        <w:rPr/>
        <w:t>Statistics (by site and family)</w:t>
      </w:r>
    </w:p>
    <w:p>
      <w:pPr>
        <w:pStyle w:val="Normal"/>
        <w:rPr/>
      </w:pPr>
      <w:r>
        <w:rPr/>
        <w:t xml:space="preserve">Stream invertebrate </w:t>
      </w:r>
      <w:r>
        <w:rPr/>
      </w:r>
      <m:oMath xmlns:m="http://schemas.openxmlformats.org/officeDocument/2006/math">
        <m:r>
          <w:rPr>
            <w:rFonts w:ascii="Cambria Math" w:hAnsi="Cambria Math"/>
          </w:rPr>
          <m:t xml:space="preserve">δ</m:t>
        </m:r>
      </m:oMath>
      <w:r>
        <w:rPr>
          <w:b/>
          <w:bCs/>
          <w:vertAlign w:val="superscript"/>
        </w:rPr>
        <w:t>13</w:t>
      </w:r>
      <w:r>
        <w:rPr/>
        <w:t xml:space="preserve"> summary statistics grouped by taxonomic family. Columns are labeld with the 2-letter site code with corresponding annual rainfall (rounded to the nearest centimeter). Cell contents contain “mean, standard deviation (#-of-samples)”.</w:t>
      </w:r>
    </w:p>
    <w:p>
      <w:pPr>
        <w:pStyle w:val="Normal"/>
        <w:rPr/>
      </w:pPr>
      <w:r>
        <w:rPr/>
      </w:r>
    </w:p>
    <w:tbl>
      <w:tblPr>
        <w:tblW w:w="9974" w:type="dxa"/>
        <w:jc w:val="center"/>
        <w:tblInd w:w="0" w:type="dxa"/>
        <w:tblLayout w:type="fixed"/>
        <w:tblCellMar>
          <w:top w:w="0" w:type="dxa"/>
          <w:left w:w="60" w:type="dxa"/>
          <w:bottom w:w="0" w:type="dxa"/>
          <w:right w:w="60" w:type="dxa"/>
        </w:tblCellMar>
        <w:tblLook w:noHBand="0" w:noVBand="0" w:firstColumn="0" w:lastRow="0" w:lastColumn="0" w:firstRow="0"/>
      </w:tblPr>
      <w:tblGrid>
        <w:gridCol w:w="1525"/>
        <w:gridCol w:w="842"/>
        <w:gridCol w:w="874"/>
        <w:gridCol w:w="874"/>
        <w:gridCol w:w="997"/>
        <w:gridCol w:w="997"/>
        <w:gridCol w:w="997"/>
        <w:gridCol w:w="997"/>
        <w:gridCol w:w="997"/>
        <w:gridCol w:w="874"/>
      </w:tblGrid>
      <w:tr>
        <w:trPr>
          <w:tblHeader w:val="true"/>
          <w:cantSplit w:val="true"/>
        </w:trPr>
        <w:tc>
          <w:tcPr>
            <w:tcW w:w="1525"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Family</w:t>
            </w:r>
          </w:p>
        </w:tc>
        <w:tc>
          <w:tcPr>
            <w:tcW w:w="84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SF-57</w:t>
            </w:r>
          </w:p>
        </w:tc>
        <w:tc>
          <w:tcPr>
            <w:tcW w:w="874"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AR-69</w:t>
            </w:r>
          </w:p>
        </w:tc>
        <w:tc>
          <w:tcPr>
            <w:tcW w:w="874"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MR-73</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PD-79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PL-82</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GC-84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WM-94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EM-95</w:t>
            </w:r>
          </w:p>
        </w:tc>
        <w:tc>
          <w:tcPr>
            <w:tcW w:w="874"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CB-NA</w:t>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Aeshnidae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-28.6,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Baetidae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-35.4,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Belastomatidae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Cambaridae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-24.8, 0.3 (5)</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-26.0,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-26.4, 0.5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-26.3, 0.6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-31.8, 0.4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-29.6, 0.1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-26.4, 0.8 (3)</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Coenagrionidae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-26.1,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-31.2,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-31.8,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Corduliidae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-31.3,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Gomphidae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-29.6,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-29.0,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Gyrinidae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-32.1,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Hyalellidae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-33.9,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-30.9,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Naucoridae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-21.8,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Nepidae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-21.0,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Palaemonidae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-35.6,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-29.7, 0.09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-23.2, 0.2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-30.9, 0.06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-27.6, 0.5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-29.4, 0.02 (2)</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Panopeidae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-18.8, (1)</w:t>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Physidae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-28.9,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Planorbidae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-33.5, (1)</w:t>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Portunidae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-25.4,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525"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Thiaridae</w:t>
            </w:r>
          </w:p>
        </w:tc>
        <w:tc>
          <w:tcPr>
            <w:tcW w:w="84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-16.2,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7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bl>
    <w:p>
      <w:pPr>
        <w:pStyle w:val="Normal"/>
        <w:rPr/>
      </w:pPr>
      <w:r>
        <w:rPr/>
      </w:r>
    </w:p>
    <w:p>
      <w:pPr>
        <w:pStyle w:val="Normal"/>
        <w:rPr/>
      </w:pPr>
      <w:r>
        <w:rPr/>
      </w:r>
      <w:bookmarkStart w:id="29" w:name="X1855a2b66fdf0c870f7821cde04406aab7f3da7"/>
      <w:bookmarkStart w:id="30" w:name="X1855a2b66fdf0c870f7821cde04406aab7f3da7"/>
      <w:bookmarkEnd w:id="30"/>
      <w:r>
        <w:br w:type="page"/>
      </w:r>
    </w:p>
    <w:p>
      <w:pPr>
        <w:pStyle w:val="Heading3"/>
        <w:numPr>
          <w:ilvl w:val="2"/>
          <w:numId w:val="2"/>
        </w:numPr>
        <w:rPr/>
      </w:pPr>
      <w:bookmarkStart w:id="31" w:name="X86116a9818736429c4c64df3d09b2b712579e7a"/>
      <w:bookmarkEnd w:id="31"/>
      <w:r>
        <w:rPr/>
        <w:t>Table: Invertebrate δ</w:t>
      </w:r>
      <w:r>
        <w:rPr>
          <w:vertAlign w:val="superscript"/>
        </w:rPr>
        <w:t>34</w:t>
      </w:r>
      <w:r>
        <w:rPr/>
        <w:t xml:space="preserve">S </w:t>
      </w:r>
      <w:r>
        <w:rPr/>
        <w:t xml:space="preserve">Summary </w:t>
      </w:r>
      <w:r>
        <w:rPr/>
        <w:t>Statistics (by site and family)</w:t>
      </w:r>
    </w:p>
    <w:p>
      <w:pPr>
        <w:pStyle w:val="Normal"/>
        <w:rPr/>
      </w:pPr>
      <w:r>
        <w:rPr/>
        <w:t xml:space="preserve">Stream invertebrate </w:t>
      </w:r>
      <w:r>
        <w:rPr>
          <w:b/>
          <w:bCs/>
        </w:rPr>
        <w:t>δ</w:t>
      </w:r>
      <w:r>
        <w:rPr>
          <w:b/>
          <w:bCs/>
          <w:vertAlign w:val="superscript"/>
        </w:rPr>
        <w:t>34</w:t>
      </w:r>
      <w:r>
        <w:rPr>
          <w:b/>
          <w:bCs/>
        </w:rPr>
        <w:t>S</w:t>
      </w:r>
      <w:r>
        <w:rPr/>
        <w:t xml:space="preserve"> summary statistics grouped by taxonomic family. Columns are labeld with the 2-letter site code with corresponding annual rainfall (rounded to the nearest centimeter). Cell contents contain “mean, standard deviation (#-of-samples)”.</w:t>
      </w:r>
    </w:p>
    <w:p>
      <w:pPr>
        <w:pStyle w:val="Normal"/>
        <w:rPr/>
      </w:pPr>
      <w:r>
        <w:rPr/>
      </w:r>
    </w:p>
    <w:tbl>
      <w:tblPr>
        <w:tblW w:w="9974" w:type="dxa"/>
        <w:jc w:val="center"/>
        <w:tblInd w:w="0" w:type="dxa"/>
        <w:tblLayout w:type="fixed"/>
        <w:tblCellMar>
          <w:top w:w="0" w:type="dxa"/>
          <w:left w:w="60" w:type="dxa"/>
          <w:bottom w:w="0" w:type="dxa"/>
          <w:right w:w="60" w:type="dxa"/>
        </w:tblCellMar>
        <w:tblLook w:noHBand="0" w:noVBand="0" w:firstColumn="0" w:lastRow="0" w:lastColumn="0" w:firstRow="0"/>
      </w:tblPr>
      <w:tblGrid>
        <w:gridCol w:w="1438"/>
        <w:gridCol w:w="1112"/>
        <w:gridCol w:w="813"/>
        <w:gridCol w:w="813"/>
        <w:gridCol w:w="997"/>
        <w:gridCol w:w="997"/>
        <w:gridCol w:w="997"/>
        <w:gridCol w:w="997"/>
        <w:gridCol w:w="997"/>
        <w:gridCol w:w="813"/>
      </w:tblGrid>
      <w:tr>
        <w:trPr>
          <w:tblHeader w:val="true"/>
          <w:cantSplit w:val="true"/>
        </w:trPr>
        <w:tc>
          <w:tcPr>
            <w:tcW w:w="1438" w:type="dxa"/>
            <w:tcBorders>
              <w:top w:val="single" w:sz="16" w:space="0" w:color="D3D3D3"/>
              <w:left w:val="single" w:sz="6" w:space="0" w:color="D3D3D3"/>
              <w:bottom w:val="single" w:sz="16" w:space="0" w:color="D3D3D3"/>
            </w:tcBorders>
          </w:tcPr>
          <w:p>
            <w:pPr>
              <w:pStyle w:val="Normal"/>
              <w:keepNext w:val="true"/>
              <w:widowControl w:val="false"/>
              <w:spacing w:before="0" w:after="60"/>
              <w:jc w:val="center"/>
              <w:rPr/>
            </w:pPr>
            <w:r>
              <w:rPr>
                <w:rFonts w:ascii="Calibri" w:hAnsi="Calibri"/>
                <w:sz w:val="20"/>
              </w:rPr>
              <w:t>Family</w:t>
            </w:r>
          </w:p>
        </w:tc>
        <w:tc>
          <w:tcPr>
            <w:tcW w:w="1112"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SF-57</w:t>
            </w:r>
          </w:p>
        </w:tc>
        <w:tc>
          <w:tcPr>
            <w:tcW w:w="81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AR-69</w:t>
            </w:r>
          </w:p>
        </w:tc>
        <w:tc>
          <w:tcPr>
            <w:tcW w:w="813"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MR-73</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PD-79</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PL-82</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GC-84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WM-94</w:t>
            </w:r>
          </w:p>
        </w:tc>
        <w:tc>
          <w:tcPr>
            <w:tcW w:w="997" w:type="dxa"/>
            <w:tcBorders>
              <w:top w:val="single" w:sz="16" w:space="0" w:color="D3D3D3"/>
              <w:bottom w:val="single" w:sz="16" w:space="0" w:color="D3D3D3"/>
            </w:tcBorders>
          </w:tcPr>
          <w:p>
            <w:pPr>
              <w:pStyle w:val="Normal"/>
              <w:keepNext w:val="true"/>
              <w:widowControl w:val="false"/>
              <w:spacing w:before="0" w:after="60"/>
              <w:jc w:val="center"/>
              <w:rPr/>
            </w:pPr>
            <w:r>
              <w:rPr>
                <w:rFonts w:ascii="Calibri" w:hAnsi="Calibri"/>
                <w:sz w:val="20"/>
              </w:rPr>
              <w:t>EM-95</w:t>
            </w:r>
          </w:p>
        </w:tc>
        <w:tc>
          <w:tcPr>
            <w:tcW w:w="813" w:type="dxa"/>
            <w:tcBorders>
              <w:top w:val="single" w:sz="16" w:space="0" w:color="D3D3D3"/>
              <w:bottom w:val="single" w:sz="16" w:space="0" w:color="D3D3D3"/>
              <w:right w:val="single" w:sz="6" w:space="0" w:color="D3D3D3"/>
            </w:tcBorders>
          </w:tcPr>
          <w:p>
            <w:pPr>
              <w:pStyle w:val="Normal"/>
              <w:keepNext w:val="true"/>
              <w:widowControl w:val="false"/>
              <w:spacing w:before="0" w:after="60"/>
              <w:jc w:val="center"/>
              <w:rPr/>
            </w:pPr>
            <w:r>
              <w:rPr>
                <w:rFonts w:ascii="Calibri" w:hAnsi="Calibri"/>
                <w:sz w:val="20"/>
              </w:rPr>
              <w:t>CB-NA</w:t>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Aeshnidae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4.02,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Baetidae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3.71,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Belastomatidae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11.0,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Cambaridae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0.61, 0.3 (5)</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5.33,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8.38, 0.7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9.44, 0.2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 1.1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6.38, 0.07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8.35, 0.05 (3)</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Coenagrionidae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4.41,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8.66,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1.4,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8.59,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Corduliidae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-0.57,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Gomphidae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0.11,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7.13,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Gyrinidae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8.99,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Hyalellidae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2.13,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8.05,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Naucoridae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10.7,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Nepidae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8.8,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Palaemonidae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9.63,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9.9, 0.0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10.4, 0.06 (2)</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1.99, 1.1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6.17, 0.08 (3)</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8.1, 0.0 (2)</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Panopeidae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15.7, (1)</w:t>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Physidae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9.82,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Planorbidae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9.11, (1)</w:t>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Portunidae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9.95,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r>
        <w:trPr>
          <w:cantSplit w:val="true"/>
        </w:trPr>
        <w:tc>
          <w:tcPr>
            <w:tcW w:w="1438"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Thiaridae</w:t>
            </w:r>
          </w:p>
        </w:tc>
        <w:tc>
          <w:tcPr>
            <w:tcW w:w="1112"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Fonts w:ascii="Calibri" w:hAnsi="Calibri"/>
                <w:sz w:val="20"/>
              </w:rPr>
              <w:t>12.0, (1)</w:t>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997"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c>
          <w:tcPr>
            <w:tcW w:w="813"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center"/>
              <w:rPr/>
            </w:pPr>
            <w:r>
              <w:rPr/>
            </w:r>
          </w:p>
        </w:tc>
      </w:tr>
    </w:tbl>
    <w:p>
      <w:pPr>
        <w:pStyle w:val="Normal"/>
        <w:rPr/>
      </w:pPr>
      <w:r>
        <w:rPr/>
      </w:r>
    </w:p>
    <w:p>
      <w:pPr>
        <w:pStyle w:val="Normal"/>
        <w:rPr/>
      </w:pPr>
      <w:r>
        <w:rPr/>
      </w:r>
      <w:bookmarkStart w:id="32" w:name="X86116a9818736429c4c64df3d09b2b712579e7a"/>
      <w:bookmarkStart w:id="33" w:name="X86116a9818736429c4c64df3d09b2b712579e7a"/>
      <w:bookmarkEnd w:id="33"/>
      <w:r>
        <w:br w:type="page"/>
      </w:r>
    </w:p>
    <w:p>
      <w:pPr>
        <w:pStyle w:val="Heading3"/>
        <w:numPr>
          <w:ilvl w:val="2"/>
          <w:numId w:val="2"/>
        </w:numPr>
        <w:rPr/>
      </w:pPr>
      <w:bookmarkStart w:id="34" w:name="X0b2e9f336c29ba6a9e80bd8b5be5f417547d9e4"/>
      <w:bookmarkEnd w:id="34"/>
      <w:r>
        <w:rPr/>
        <w:t>Table: Fish and Invertebrate δ</w:t>
      </w:r>
      <w:r>
        <w:rPr>
          <w:vertAlign w:val="superscript"/>
        </w:rPr>
        <w:t>13</w:t>
      </w:r>
      <w:r>
        <w:rPr/>
        <w:t xml:space="preserve">C </w:t>
      </w:r>
      <w:r>
        <w:rPr/>
        <w:t xml:space="preserve">Summary </w:t>
      </w:r>
      <w:r>
        <w:rPr/>
        <w:t>Statistics (Above and Below Calallen Dam)</w:t>
      </w:r>
    </w:p>
    <w:p>
      <w:pPr>
        <w:pStyle w:val="Normal"/>
        <w:rPr/>
      </w:pPr>
      <w:r>
        <w:rPr/>
        <w:t xml:space="preserve">Fish and invertebrates caught above and below Calallen Dam </w:t>
      </w:r>
      <w:r>
        <w:rPr/>
      </w:r>
      <m:oMath xmlns:m="http://schemas.openxmlformats.org/officeDocument/2006/math">
        <m:r>
          <w:rPr>
            <w:rFonts w:ascii="Cambria Math" w:hAnsi="Cambria Math"/>
          </w:rPr>
          <m:t xml:space="preserve">δ</m:t>
        </m:r>
      </m:oMath>
      <w:r>
        <w:rPr>
          <w:b/>
          <w:bCs/>
          <w:vertAlign w:val="superscript"/>
        </w:rPr>
        <w:t>13</w:t>
      </w:r>
      <w:r>
        <w:rPr>
          <w:b/>
          <w:bCs/>
        </w:rPr>
        <w:t>C</w:t>
      </w:r>
      <w:r>
        <w:rPr/>
        <w:t xml:space="preserve"> summary statistics. Cell contents contain “mean, standard deviation (#-of-samples)”.</w:t>
      </w:r>
    </w:p>
    <w:p>
      <w:pPr>
        <w:pStyle w:val="Normal"/>
        <w:rPr/>
      </w:pPr>
      <w:r>
        <w:rPr/>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324"/>
        <w:gridCol w:w="3324"/>
        <w:gridCol w:w="3324"/>
      </w:tblGrid>
      <w:tr>
        <w:trPr>
          <w:tblHeader w:val="true"/>
          <w:cantSplit w:val="true"/>
        </w:trPr>
        <w:tc>
          <w:tcPr>
            <w:tcW w:w="3324"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Family</w:t>
            </w:r>
          </w:p>
        </w:tc>
        <w:tc>
          <w:tcPr>
            <w:tcW w:w="3324"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Below Dam</w:t>
            </w:r>
          </w:p>
        </w:tc>
        <w:tc>
          <w:tcPr>
            <w:tcW w:w="3324"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Above Dam</w:t>
            </w:r>
          </w:p>
        </w:tc>
      </w:tr>
      <w:tr>
        <w:trPr>
          <w:cantSplit w:val="true"/>
        </w:trPr>
        <w:tc>
          <w:tcPr>
            <w:tcW w:w="9972"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Fish</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Atherinopsidae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-24.6,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Centrarchidae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-23.2,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-22.4,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Cyprinodontidae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-19.3,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Eleotridae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-21.7,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Engraulidae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-21.2, 1.7 (2)</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Fundulidae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-19.2,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Lepisosteidae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-20.1,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Poeciliidae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-25.8, 0.6 (3)</w:t>
            </w:r>
          </w:p>
        </w:tc>
      </w:tr>
      <w:tr>
        <w:trPr>
          <w:cantSplit w:val="true"/>
        </w:trPr>
        <w:tc>
          <w:tcPr>
            <w:tcW w:w="9972"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Invertebrate</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Belastomatidae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-27.5,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Cambaridae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-27.8, 1.1 (4)</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Chironomidae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Coenagrionidae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-29.1, 0.2 (2)</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Gomphidae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-26.5,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Hyalellidae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-26.2,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Naucoridae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-26.2,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Palaemonidae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-22.3,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-27.6, 0.2 (3)</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Panopeidae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-20.5, 0.4 (3)</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Physidae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-26.3, (1)</w:t>
            </w:r>
          </w:p>
        </w:tc>
      </w:tr>
    </w:tbl>
    <w:p>
      <w:pPr>
        <w:pStyle w:val="Normal"/>
        <w:rPr/>
      </w:pPr>
      <w:r>
        <w:rPr/>
      </w:r>
      <w:r>
        <w:br w:type="page"/>
      </w:r>
    </w:p>
    <w:p>
      <w:pPr>
        <w:pStyle w:val="Normal"/>
        <w:rPr/>
      </w:pPr>
      <w:r>
        <w:rPr/>
      </w:r>
    </w:p>
    <w:p>
      <w:pPr>
        <w:pStyle w:val="Heading3"/>
        <w:numPr>
          <w:ilvl w:val="2"/>
          <w:numId w:val="2"/>
        </w:numPr>
        <w:rPr/>
      </w:pPr>
      <w:bookmarkStart w:id="35" w:name="X0b2e9f336c29ba6a9e80bd8b5be5f417547d9e4"/>
      <w:bookmarkStart w:id="36" w:name="Xfeb9941e513bacfa7a6d8a29358bd59f01f16c2"/>
      <w:bookmarkEnd w:id="35"/>
      <w:bookmarkEnd w:id="36"/>
      <w:r>
        <w:rPr/>
        <w:t>Table: Fish and Invertebrate δ</w:t>
      </w:r>
      <w:r>
        <w:rPr>
          <w:vertAlign w:val="superscript"/>
        </w:rPr>
        <w:t>34</w:t>
      </w:r>
      <w:r>
        <w:rPr/>
        <w:t xml:space="preserve">S </w:t>
      </w:r>
      <w:r>
        <w:rPr/>
        <w:t xml:space="preserve">Summary </w:t>
      </w:r>
      <w:r>
        <w:rPr/>
        <w:t>Statistics (Above and Below Calallen Dam)</w:t>
      </w:r>
    </w:p>
    <w:p>
      <w:pPr>
        <w:pStyle w:val="Normal"/>
        <w:rPr/>
      </w:pPr>
      <w:r>
        <w:rPr/>
        <w:t xml:space="preserve">Fish and invertebrates caught above and below Calallen Dam </w:t>
      </w:r>
      <w:r>
        <w:rPr/>
      </w:r>
      <m:oMath xmlns:m="http://schemas.openxmlformats.org/officeDocument/2006/math">
        <m:r>
          <w:rPr>
            <w:rFonts w:ascii="Cambria Math" w:hAnsi="Cambria Math"/>
          </w:rPr>
          <m:t xml:space="preserve">δ</m:t>
        </m:r>
      </m:oMath>
      <w:r>
        <w:rPr>
          <w:b/>
          <w:bCs/>
          <w:vertAlign w:val="superscript"/>
        </w:rPr>
        <w:t>34</w:t>
      </w:r>
      <w:r>
        <w:rPr>
          <w:b/>
          <w:bCs/>
        </w:rPr>
        <w:t>S</w:t>
      </w:r>
      <w:r>
        <w:rPr/>
        <w:t xml:space="preserve"> summary statistics. Cell contents contain “mean, standard deviation (#-of-samples)”.</w:t>
      </w:r>
    </w:p>
    <w:tbl>
      <w:tblPr>
        <w:tblW w:w="5000" w:type="pct"/>
        <w:jc w:val="center"/>
        <w:tblInd w:w="0" w:type="dxa"/>
        <w:tblLayout w:type="fixed"/>
        <w:tblCellMar>
          <w:top w:w="0" w:type="dxa"/>
          <w:left w:w="60" w:type="dxa"/>
          <w:bottom w:w="0" w:type="dxa"/>
          <w:right w:w="60" w:type="dxa"/>
        </w:tblCellMar>
        <w:tblLook w:noHBand="0" w:noVBand="0" w:firstColumn="0" w:lastRow="0" w:lastColumn="0" w:firstRow="0"/>
      </w:tblPr>
      <w:tblGrid>
        <w:gridCol w:w="3324"/>
        <w:gridCol w:w="3324"/>
        <w:gridCol w:w="3324"/>
      </w:tblGrid>
      <w:tr>
        <w:trPr>
          <w:tblHeader w:val="true"/>
          <w:cantSplit w:val="true"/>
        </w:trPr>
        <w:tc>
          <w:tcPr>
            <w:tcW w:w="3324" w:type="dxa"/>
            <w:tcBorders>
              <w:top w:val="single" w:sz="16" w:space="0" w:color="D3D3D3"/>
              <w:left w:val="single" w:sz="6" w:space="0" w:color="D3D3D3"/>
              <w:bottom w:val="single" w:sz="16" w:space="0" w:color="D3D3D3"/>
            </w:tcBorders>
          </w:tcPr>
          <w:p>
            <w:pPr>
              <w:pStyle w:val="Normal"/>
              <w:keepNext w:val="true"/>
              <w:widowControl w:val="false"/>
              <w:spacing w:before="0" w:after="60"/>
              <w:jc w:val="left"/>
              <w:rPr/>
            </w:pPr>
            <w:r>
              <w:rPr>
                <w:rFonts w:ascii="Calibri" w:hAnsi="Calibri"/>
                <w:sz w:val="20"/>
              </w:rPr>
              <w:t>Family</w:t>
            </w:r>
          </w:p>
        </w:tc>
        <w:tc>
          <w:tcPr>
            <w:tcW w:w="3324" w:type="dxa"/>
            <w:tcBorders>
              <w:top w:val="single" w:sz="16" w:space="0" w:color="D3D3D3"/>
              <w:bottom w:val="single" w:sz="16" w:space="0" w:color="D3D3D3"/>
            </w:tcBorders>
          </w:tcPr>
          <w:p>
            <w:pPr>
              <w:pStyle w:val="Normal"/>
              <w:keepNext w:val="true"/>
              <w:widowControl w:val="false"/>
              <w:spacing w:before="0" w:after="60"/>
              <w:jc w:val="left"/>
              <w:rPr/>
            </w:pPr>
            <w:r>
              <w:rPr>
                <w:rFonts w:ascii="Calibri" w:hAnsi="Calibri"/>
                <w:sz w:val="20"/>
              </w:rPr>
              <w:t>Below Dam</w:t>
            </w:r>
          </w:p>
        </w:tc>
        <w:tc>
          <w:tcPr>
            <w:tcW w:w="3324" w:type="dxa"/>
            <w:tcBorders>
              <w:top w:val="single" w:sz="16" w:space="0" w:color="D3D3D3"/>
              <w:bottom w:val="single" w:sz="16" w:space="0" w:color="D3D3D3"/>
              <w:right w:val="single" w:sz="6" w:space="0" w:color="D3D3D3"/>
            </w:tcBorders>
          </w:tcPr>
          <w:p>
            <w:pPr>
              <w:pStyle w:val="Normal"/>
              <w:keepNext w:val="true"/>
              <w:widowControl w:val="false"/>
              <w:spacing w:before="0" w:after="60"/>
              <w:jc w:val="left"/>
              <w:rPr/>
            </w:pPr>
            <w:r>
              <w:rPr>
                <w:rFonts w:ascii="Calibri" w:hAnsi="Calibri"/>
                <w:sz w:val="20"/>
              </w:rPr>
              <w:t>Above Dam</w:t>
            </w:r>
          </w:p>
        </w:tc>
      </w:tr>
      <w:tr>
        <w:trPr>
          <w:cantSplit w:val="true"/>
        </w:trPr>
        <w:tc>
          <w:tcPr>
            <w:tcW w:w="9972"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Fish</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Atherinopsidae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-24.6,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Centrarchidae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-23.2,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-22.4,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Cyprinodontidae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-19.3,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Eleotridae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-21.7,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Engraulidae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-21.2, 1.7 (2)</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Fundulidae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-19.2,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Lepisosteidae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-20.1,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Poeciliidae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-25.8, 0.6 (3)</w:t>
            </w:r>
          </w:p>
        </w:tc>
      </w:tr>
      <w:tr>
        <w:trPr>
          <w:cantSplit w:val="true"/>
        </w:trPr>
        <w:tc>
          <w:tcPr>
            <w:tcW w:w="9972" w:type="dxa"/>
            <w:gridSpan w:val="3"/>
            <w:tcBorders>
              <w:top w:val="single" w:sz="16" w:space="0" w:color="D3D3D3"/>
              <w:left w:val="single" w:sz="6" w:space="0" w:color="D3D3D3"/>
              <w:bottom w:val="single" w:sz="16" w:space="0" w:color="D3D3D3"/>
              <w:right w:val="single" w:sz="6" w:space="0" w:color="D3D3D3"/>
            </w:tcBorders>
            <w:tcMar>
              <w:top w:w="25" w:type="dxa"/>
            </w:tcMar>
          </w:tcPr>
          <w:p>
            <w:pPr>
              <w:pStyle w:val="Normal"/>
              <w:keepNext w:val="true"/>
              <w:widowControl w:val="false"/>
              <w:spacing w:before="0" w:after="60"/>
              <w:rPr/>
            </w:pPr>
            <w:r>
              <w:rPr>
                <w:rFonts w:ascii="Calibri" w:hAnsi="Calibri"/>
                <w:sz w:val="20"/>
              </w:rPr>
              <w:t>Invertebrate</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Belastomatidae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-27.5,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Cambaridae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-27.8, 1.1 (4)</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Chironomidae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-25.6,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Coenagrionidae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-29.1, 0.2 (2)</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Gomphidae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-26.5,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Hyalellidae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-26.2,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Naucoridae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-26.2, (1)</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Palaemonidae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-22.3, (1)</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-27.6, 0.2 (3)</w:t>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Panopeidae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-20.5, 0.4 (3)</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r>
      <w:tr>
        <w:trPr>
          <w:cantSplit w:val="true"/>
        </w:trPr>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Physidae</w:t>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
          </w:p>
        </w:tc>
        <w:tc>
          <w:tcPr>
            <w:tcW w:w="3324" w:type="dxa"/>
            <w:tcBorders>
              <w:top w:val="single" w:sz="6" w:space="0" w:color="D3D3D3"/>
              <w:left w:val="single" w:sz="6" w:space="0" w:color="D3D3D3"/>
              <w:bottom w:val="single" w:sz="6" w:space="0" w:color="D3D3D3"/>
              <w:right w:val="single" w:sz="6" w:space="0" w:color="D3D3D3"/>
            </w:tcBorders>
          </w:tcPr>
          <w:p>
            <w:pPr>
              <w:pStyle w:val="Normal"/>
              <w:keepNext w:val="true"/>
              <w:widowControl w:val="false"/>
              <w:spacing w:before="0" w:after="60"/>
              <w:jc w:val="left"/>
              <w:rPr/>
            </w:pPr>
            <w:r>
              <w:rPr>
                <w:rFonts w:ascii="Calibri" w:hAnsi="Calibri"/>
                <w:sz w:val="20"/>
              </w:rPr>
              <w:t>-26.3, (1)</w:t>
            </w:r>
          </w:p>
        </w:tc>
      </w:tr>
    </w:tbl>
    <w:p>
      <w:pPr>
        <w:pStyle w:val="Normal"/>
        <w:rPr/>
      </w:pPr>
      <w:r>
        <w:rPr/>
      </w:r>
      <w:bookmarkStart w:id="37" w:name="relevance"/>
      <w:bookmarkStart w:id="38" w:name="Xfeb9941e513bacfa7a6d8a29358bd59f01f16c2"/>
      <w:bookmarkStart w:id="39" w:name="relevance"/>
      <w:bookmarkStart w:id="40" w:name="Xfeb9941e513bacfa7a6d8a29358bd59f01f16c2"/>
      <w:bookmarkEnd w:id="0"/>
      <w:bookmarkEnd w:id="39"/>
      <w:bookmarkEnd w:id="40"/>
    </w:p>
    <w:sectPr>
      <w:type w:val="nextPage"/>
      <w:pgSz w:w="12240" w:h="15840"/>
      <w:pgMar w:left="1134" w:right="1134" w:gutter="0" w:header="0" w:top="1134" w:footer="0" w:bottom="1134"/>
      <w:pgNumType w:fmt="upperRoman"/>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0"/>
      <w:jc w:val="left"/>
    </w:pPr>
    <w:rPr>
      <w:rFonts w:ascii="Arial" w:hAnsi="Arial" w:eastAsia="Noto Serif CJK SC" w:cs="Lohit Devanagari"/>
      <w:color w:val="auto"/>
      <w:kern w:val="2"/>
      <w:sz w:val="20"/>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Arial" w:hAnsi="Arial"/>
      <w:b/>
      <w:bCs/>
      <w:color w:val="2A6099"/>
      <w:sz w:val="28"/>
      <w:szCs w:val="36"/>
    </w:rPr>
  </w:style>
  <w:style w:type="paragraph" w:styleId="Heading2">
    <w:name w:val="Heading 2"/>
    <w:basedOn w:val="Heading"/>
    <w:next w:val="TextBody"/>
    <w:qFormat/>
    <w:pPr>
      <w:numPr>
        <w:ilvl w:val="1"/>
        <w:numId w:val="2"/>
      </w:numPr>
      <w:spacing w:before="200" w:after="120"/>
      <w:outlineLvl w:val="1"/>
    </w:pPr>
    <w:rPr>
      <w:rFonts w:ascii="Arial" w:hAnsi="Arial"/>
      <w:b/>
      <w:bCs/>
      <w:color w:val="2A6099"/>
      <w:sz w:val="24"/>
      <w:szCs w:val="32"/>
    </w:rPr>
  </w:style>
  <w:style w:type="paragraph" w:styleId="Heading3">
    <w:name w:val="Heading 3"/>
    <w:basedOn w:val="Heading"/>
    <w:next w:val="TextBody"/>
    <w:qFormat/>
    <w:pPr>
      <w:numPr>
        <w:ilvl w:val="2"/>
        <w:numId w:val="2"/>
      </w:numPr>
      <w:spacing w:before="140" w:after="120"/>
      <w:outlineLvl w:val="2"/>
    </w:pPr>
    <w:rPr>
      <w:rFonts w:ascii="Arial" w:hAnsi="Arial"/>
      <w:b w:val="false"/>
      <w:bCs/>
      <w:color w:val="2A6099"/>
      <w:sz w:val="24"/>
      <w:szCs w:val="28"/>
    </w:rPr>
  </w:style>
  <w:style w:type="character" w:styleId="LineNumbering">
    <w:name w:val="Line Numbering"/>
    <w:rPr/>
  </w:style>
  <w:style w:type="character" w:styleId="KeywordTok" w:customStyle="1">
    <w:name w:val="KeywordTok"/>
    <w:qFormat/>
    <w:rPr>
      <w:b/>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8F5902"/>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b/>
      <w:color w:val="CE5C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b/>
      <w:i/>
      <w:color w:val="8F5902"/>
      <w:shd w:fill="F8F8F8" w:val="clear"/>
    </w:rPr>
  </w:style>
  <w:style w:type="character" w:styleId="AnnotationTok" w:customStyle="1">
    <w:name w:val="AnnotationTok"/>
    <w:qFormat/>
    <w:rPr>
      <w:b/>
      <w:i/>
      <w:color w:val="8F5902"/>
      <w:shd w:fill="F8F8F8" w:val="clear"/>
    </w:rPr>
  </w:style>
  <w:style w:type="character" w:styleId="CommentVarTok" w:customStyle="1">
    <w:name w:val="CommentVarTok"/>
    <w:qFormat/>
    <w:rPr>
      <w:b/>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b/>
      <w:color w:val="204A87"/>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b/>
      <w:color w:val="204A87"/>
      <w:shd w:fill="F8F8F8" w:val="clear"/>
    </w:rPr>
  </w:style>
  <w:style w:type="character" w:styleId="OperatorTok" w:customStyle="1">
    <w:name w:val="OperatorTok"/>
    <w:qFormat/>
    <w:rPr>
      <w:b/>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204A87"/>
      <w:shd w:fill="F8F8F8" w:val="clear"/>
    </w:rPr>
  </w:style>
  <w:style w:type="character" w:styleId="RegionMarkerTok" w:customStyle="1">
    <w:name w:val="RegionMarkerTok"/>
    <w:qFormat/>
    <w:rPr>
      <w:shd w:fill="F8F8F8" w:val="clear"/>
    </w:rPr>
  </w:style>
  <w:style w:type="character" w:styleId="InformationTok" w:customStyle="1">
    <w:name w:val="InformationTok"/>
    <w:qFormat/>
    <w:rPr>
      <w:b/>
      <w:i/>
      <w:color w:val="8F5902"/>
      <w:shd w:fill="F8F8F8" w:val="clear"/>
    </w:rPr>
  </w:style>
  <w:style w:type="character" w:styleId="WarningTok" w:customStyle="1">
    <w:name w:val="WarningTok"/>
    <w:qFormat/>
    <w:rPr>
      <w:b/>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b/>
      <w:color w:val="A40000"/>
      <w:shd w:fill="F8F8F8" w:val="clear"/>
    </w:rPr>
  </w:style>
  <w:style w:type="character" w:styleId="NormalTok" w:customStyle="1">
    <w:name w:val="NormalTok"/>
    <w:qFormat/>
    <w:rPr>
      <w:shd w:fill="F8F8F8" w:val="clear"/>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4"/>
    </w:pPr>
    <w:rPr>
      <w:rFonts w:ascii="Arial" w:hAnsi="Arial"/>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qFormat/>
    <w:pPr>
      <w:shd w:val="clear" w:fill="F8F8F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kkinard/Estimating_Upstream_Nutrient_Subsidi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35</TotalTime>
  <Application>LibreOffice/7.3.7.2$Linux_X86_64 LibreOffice_project/30$Build-2</Application>
  <AppVersion>15.0000</AppVersion>
  <Pages>12</Pages>
  <Words>1684</Words>
  <Characters>9396</Characters>
  <CharactersWithSpaces>10589</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2024-06-05T01:08:05Z</dcterms:created>
  <dc:creator/>
  <dc:description/>
  <dc:language>en-US</dc:language>
  <cp:lastModifiedBy/>
  <dcterms:modified xsi:type="dcterms:W3CDTF">2024-06-04T21:18:09Z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