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FCB77" w14:textId="56917E88" w:rsidR="00B962EF" w:rsidRDefault="00320434" w:rsidP="00885B2F">
      <w:pPr>
        <w:spacing w:line="480" w:lineRule="auto"/>
        <w:rPr>
          <w:rFonts w:ascii="Arial" w:hAnsi="Arial" w:cs="Arial"/>
          <w:b/>
          <w:bCs/>
          <w:sz w:val="24"/>
          <w:szCs w:val="24"/>
        </w:rPr>
      </w:pPr>
      <w:r>
        <w:rPr>
          <w:rFonts w:ascii="Arial" w:hAnsi="Arial" w:cs="Arial"/>
          <w:b/>
          <w:bCs/>
          <w:sz w:val="24"/>
          <w:szCs w:val="24"/>
        </w:rPr>
        <w:t>Results:</w:t>
      </w:r>
      <w:bookmarkStart w:id="0" w:name="_GoBack"/>
      <w:bookmarkEnd w:id="0"/>
    </w:p>
    <w:p w14:paraId="26B0116F" w14:textId="290079A7" w:rsidR="00320434" w:rsidRDefault="00320434" w:rsidP="00885B2F">
      <w:pPr>
        <w:spacing w:line="480" w:lineRule="auto"/>
        <w:rPr>
          <w:rFonts w:ascii="Arial" w:hAnsi="Arial" w:cs="Arial"/>
          <w:sz w:val="24"/>
          <w:szCs w:val="24"/>
        </w:rPr>
      </w:pPr>
      <w:r>
        <w:rPr>
          <w:rFonts w:ascii="Arial" w:hAnsi="Arial" w:cs="Arial"/>
          <w:i/>
          <w:iCs/>
          <w:sz w:val="24"/>
          <w:szCs w:val="24"/>
        </w:rPr>
        <w:t xml:space="preserve">Diversity: </w:t>
      </w:r>
      <w:r>
        <w:rPr>
          <w:rFonts w:ascii="Arial" w:hAnsi="Arial" w:cs="Arial"/>
          <w:sz w:val="24"/>
          <w:szCs w:val="24"/>
        </w:rPr>
        <w:t xml:space="preserve">Univariate linear regressions indicate Fish Shannon index values correlate </w:t>
      </w:r>
      <w:r w:rsidR="002B7AF9">
        <w:rPr>
          <w:rFonts w:ascii="Arial" w:hAnsi="Arial" w:cs="Arial"/>
          <w:sz w:val="24"/>
          <w:szCs w:val="24"/>
        </w:rPr>
        <w:t xml:space="preserve">positively with annual precipitation </w:t>
      </w:r>
      <w:r w:rsidR="002B7AF9">
        <w:rPr>
          <w:rFonts w:ascii="Arial" w:hAnsi="Arial" w:cs="Arial"/>
          <w:sz w:val="24"/>
          <w:szCs w:val="24"/>
        </w:rPr>
        <w:t xml:space="preserve">and </w:t>
      </w:r>
      <w:r>
        <w:rPr>
          <w:rFonts w:ascii="Arial" w:hAnsi="Arial" w:cs="Arial"/>
          <w:sz w:val="24"/>
          <w:szCs w:val="24"/>
        </w:rPr>
        <w:t>negatively with conductivity, canopy coverage, and ammonia concentrations</w:t>
      </w:r>
      <w:r w:rsidR="002B7AF9">
        <w:rPr>
          <w:rFonts w:ascii="Arial" w:hAnsi="Arial" w:cs="Arial"/>
          <w:sz w:val="24"/>
          <w:szCs w:val="24"/>
        </w:rPr>
        <w:t xml:space="preserve"> (Figure 2). This contrasts with macroinvertebrate Shannon index values, which correlate negatively with low flow pulse percent (Figure 3) but lack significant correlations with other environmental predictors including annual precipitation</w:t>
      </w:r>
      <w:r w:rsidR="00E2007C">
        <w:rPr>
          <w:rFonts w:ascii="Arial" w:hAnsi="Arial" w:cs="Arial"/>
          <w:sz w:val="24"/>
          <w:szCs w:val="24"/>
        </w:rPr>
        <w:t xml:space="preserve"> (Figure 6)</w:t>
      </w:r>
      <w:r w:rsidR="002B7AF9">
        <w:rPr>
          <w:rFonts w:ascii="Arial" w:hAnsi="Arial" w:cs="Arial"/>
          <w:sz w:val="24"/>
          <w:szCs w:val="24"/>
        </w:rPr>
        <w:t xml:space="preserve">. Significant values were determined to have a </w:t>
      </w:r>
      <w:r w:rsidR="002B7AF9">
        <w:rPr>
          <w:rFonts w:ascii="Arial" w:hAnsi="Arial" w:cs="Arial"/>
          <w:i/>
          <w:iCs/>
          <w:sz w:val="24"/>
          <w:szCs w:val="24"/>
        </w:rPr>
        <w:t>p</w:t>
      </w:r>
      <w:r w:rsidR="002B7AF9">
        <w:rPr>
          <w:rFonts w:ascii="Arial" w:hAnsi="Arial" w:cs="Arial"/>
          <w:sz w:val="24"/>
          <w:szCs w:val="24"/>
        </w:rPr>
        <w:t>-value less than 0.05.</w:t>
      </w:r>
    </w:p>
    <w:p w14:paraId="6401DA0E" w14:textId="7E89BBAD" w:rsidR="008E5AF3" w:rsidRDefault="00E2007C" w:rsidP="00885B2F">
      <w:pPr>
        <w:spacing w:line="480" w:lineRule="auto"/>
        <w:rPr>
          <w:rFonts w:ascii="Arial" w:hAnsi="Arial" w:cs="Arial"/>
          <w:sz w:val="24"/>
          <w:szCs w:val="24"/>
        </w:rPr>
      </w:pPr>
      <w:r>
        <w:rPr>
          <w:rFonts w:ascii="Arial" w:hAnsi="Arial" w:cs="Arial"/>
          <w:sz w:val="24"/>
          <w:szCs w:val="24"/>
        </w:rPr>
        <w:t xml:space="preserve">Multivariate generalized linear models </w:t>
      </w:r>
      <w:r w:rsidR="00476749">
        <w:rPr>
          <w:rFonts w:ascii="Arial" w:hAnsi="Arial" w:cs="Arial"/>
          <w:sz w:val="24"/>
          <w:szCs w:val="24"/>
        </w:rPr>
        <w:t>(GLMs)</w:t>
      </w:r>
      <w:r w:rsidR="008E5AF3">
        <w:rPr>
          <w:rFonts w:ascii="Arial" w:hAnsi="Arial" w:cs="Arial"/>
          <w:sz w:val="24"/>
          <w:szCs w:val="24"/>
        </w:rPr>
        <w:t xml:space="preserve"> indicate annual precipitation as a positive driver of fish diversity in the top four dredge models. Individual models indicate low flow pulse percent, canopy coverage, and ammonia negatively correlate with fish diversity. Macroinvertebrate diversity negatively correlates with low flow pulse percent and high flow pulse percent in three of the top four </w:t>
      </w:r>
      <w:proofErr w:type="spellStart"/>
      <w:r w:rsidR="008E5AF3">
        <w:rPr>
          <w:rFonts w:ascii="Arial" w:hAnsi="Arial" w:cs="Arial"/>
          <w:sz w:val="24"/>
          <w:szCs w:val="24"/>
        </w:rPr>
        <w:t>AICc</w:t>
      </w:r>
      <w:proofErr w:type="spellEnd"/>
      <w:r w:rsidR="008E5AF3">
        <w:rPr>
          <w:rFonts w:ascii="Arial" w:hAnsi="Arial" w:cs="Arial"/>
          <w:sz w:val="24"/>
          <w:szCs w:val="24"/>
        </w:rPr>
        <w:t xml:space="preserve"> ranked GLMs. Dissolved oxygen negatively correlates with macroinvertebrate diversity in two of the top four </w:t>
      </w:r>
      <w:proofErr w:type="spellStart"/>
      <w:r w:rsidR="008E5AF3">
        <w:rPr>
          <w:rFonts w:ascii="Arial" w:hAnsi="Arial" w:cs="Arial"/>
          <w:sz w:val="24"/>
          <w:szCs w:val="24"/>
        </w:rPr>
        <w:t>AICc</w:t>
      </w:r>
      <w:proofErr w:type="spellEnd"/>
      <w:r w:rsidR="008E5AF3">
        <w:rPr>
          <w:rFonts w:ascii="Arial" w:hAnsi="Arial" w:cs="Arial"/>
          <w:sz w:val="24"/>
          <w:szCs w:val="24"/>
        </w:rPr>
        <w:t xml:space="preserve"> ranked GLMs (Table 4).</w:t>
      </w:r>
    </w:p>
    <w:p w14:paraId="04F1CBCB" w14:textId="65CB102B" w:rsidR="008E5AF3" w:rsidRDefault="008E5AF3" w:rsidP="00885B2F">
      <w:pPr>
        <w:spacing w:line="480" w:lineRule="auto"/>
        <w:rPr>
          <w:rFonts w:ascii="Arial" w:hAnsi="Arial" w:cs="Arial"/>
          <w:sz w:val="24"/>
          <w:szCs w:val="24"/>
        </w:rPr>
      </w:pPr>
      <w:r>
        <w:rPr>
          <w:rFonts w:ascii="Arial" w:hAnsi="Arial" w:cs="Arial"/>
          <w:i/>
          <w:iCs/>
          <w:sz w:val="24"/>
          <w:szCs w:val="24"/>
        </w:rPr>
        <w:t>Composition</w:t>
      </w:r>
      <w:r>
        <w:rPr>
          <w:rFonts w:ascii="Arial" w:hAnsi="Arial" w:cs="Arial"/>
          <w:sz w:val="24"/>
          <w:szCs w:val="24"/>
        </w:rPr>
        <w:t xml:space="preserve">: </w:t>
      </w:r>
      <w:r w:rsidR="00885B2F">
        <w:rPr>
          <w:rFonts w:ascii="Arial" w:hAnsi="Arial" w:cs="Arial"/>
          <w:sz w:val="24"/>
          <w:szCs w:val="24"/>
        </w:rPr>
        <w:t xml:space="preserve">The </w:t>
      </w:r>
      <w:r>
        <w:rPr>
          <w:rFonts w:ascii="Arial" w:hAnsi="Arial" w:cs="Arial"/>
          <w:sz w:val="24"/>
          <w:szCs w:val="24"/>
        </w:rPr>
        <w:t>NMDS ordination of fish assemblages indicate compositional shifts across the precipitation gradient</w:t>
      </w:r>
      <w:r w:rsidR="001037DB">
        <w:rPr>
          <w:rFonts w:ascii="Arial" w:hAnsi="Arial" w:cs="Arial"/>
          <w:sz w:val="24"/>
          <w:szCs w:val="24"/>
        </w:rPr>
        <w:t xml:space="preserve"> (Figure 4)</w:t>
      </w:r>
      <w:r>
        <w:rPr>
          <w:rFonts w:ascii="Arial" w:hAnsi="Arial" w:cs="Arial"/>
          <w:sz w:val="24"/>
          <w:szCs w:val="24"/>
        </w:rPr>
        <w:t>. Hierarchical clustering resulted in 3 site groupings labeled “semi-arid” (yellow), “mesic” (green), and “sub-humid” (blue).</w:t>
      </w:r>
      <w:r w:rsidR="00234949">
        <w:rPr>
          <w:rFonts w:ascii="Arial" w:hAnsi="Arial" w:cs="Arial"/>
          <w:sz w:val="24"/>
          <w:szCs w:val="24"/>
        </w:rPr>
        <w:t xml:space="preserve"> </w:t>
      </w:r>
      <w:r>
        <w:rPr>
          <w:rFonts w:ascii="Arial" w:hAnsi="Arial" w:cs="Arial"/>
          <w:sz w:val="24"/>
          <w:szCs w:val="24"/>
        </w:rPr>
        <w:t xml:space="preserve">Semi-arid communities are dominated by </w:t>
      </w:r>
      <w:proofErr w:type="spellStart"/>
      <w:r>
        <w:rPr>
          <w:rFonts w:ascii="Arial" w:hAnsi="Arial" w:cs="Arial"/>
          <w:i/>
          <w:iCs/>
          <w:sz w:val="24"/>
          <w:szCs w:val="24"/>
        </w:rPr>
        <w:t>Poecilia</w:t>
      </w:r>
      <w:proofErr w:type="spellEnd"/>
      <w:r>
        <w:rPr>
          <w:rFonts w:ascii="Arial" w:hAnsi="Arial" w:cs="Arial"/>
          <w:i/>
          <w:iCs/>
          <w:sz w:val="24"/>
          <w:szCs w:val="24"/>
        </w:rPr>
        <w:t xml:space="preserve"> </w:t>
      </w:r>
      <w:proofErr w:type="spellStart"/>
      <w:r w:rsidR="001037DB">
        <w:rPr>
          <w:rFonts w:ascii="Arial" w:hAnsi="Arial" w:cs="Arial"/>
          <w:i/>
          <w:iCs/>
          <w:sz w:val="24"/>
          <w:szCs w:val="24"/>
        </w:rPr>
        <w:t>f</w:t>
      </w:r>
      <w:r>
        <w:rPr>
          <w:rFonts w:ascii="Arial" w:hAnsi="Arial" w:cs="Arial"/>
          <w:i/>
          <w:iCs/>
          <w:sz w:val="24"/>
          <w:szCs w:val="24"/>
        </w:rPr>
        <w:t>ormosa</w:t>
      </w:r>
      <w:proofErr w:type="spellEnd"/>
      <w:r>
        <w:rPr>
          <w:rFonts w:ascii="Arial" w:hAnsi="Arial" w:cs="Arial"/>
          <w:sz w:val="24"/>
          <w:szCs w:val="24"/>
        </w:rPr>
        <w:t xml:space="preserve">, </w:t>
      </w:r>
      <w:r w:rsidR="001037DB">
        <w:rPr>
          <w:rFonts w:ascii="Arial" w:hAnsi="Arial" w:cs="Arial"/>
          <w:i/>
          <w:iCs/>
          <w:sz w:val="24"/>
          <w:szCs w:val="24"/>
        </w:rPr>
        <w:t xml:space="preserve">Gambusia </w:t>
      </w:r>
      <w:proofErr w:type="spellStart"/>
      <w:r w:rsidR="001037DB">
        <w:rPr>
          <w:rFonts w:ascii="Arial" w:hAnsi="Arial" w:cs="Arial"/>
          <w:i/>
          <w:iCs/>
          <w:sz w:val="24"/>
          <w:szCs w:val="24"/>
        </w:rPr>
        <w:t>affinis</w:t>
      </w:r>
      <w:proofErr w:type="spellEnd"/>
      <w:r w:rsidR="001037DB">
        <w:rPr>
          <w:rFonts w:ascii="Arial" w:hAnsi="Arial" w:cs="Arial"/>
          <w:sz w:val="24"/>
          <w:szCs w:val="24"/>
        </w:rPr>
        <w:t xml:space="preserve">, and </w:t>
      </w:r>
      <w:proofErr w:type="spellStart"/>
      <w:r w:rsidR="001037DB">
        <w:rPr>
          <w:rFonts w:ascii="Arial" w:hAnsi="Arial" w:cs="Arial"/>
          <w:i/>
          <w:iCs/>
          <w:sz w:val="24"/>
          <w:szCs w:val="24"/>
        </w:rPr>
        <w:t>Pimephales</w:t>
      </w:r>
      <w:proofErr w:type="spellEnd"/>
      <w:r w:rsidR="001037DB">
        <w:rPr>
          <w:rFonts w:ascii="Arial" w:hAnsi="Arial" w:cs="Arial"/>
          <w:i/>
          <w:iCs/>
          <w:sz w:val="24"/>
          <w:szCs w:val="24"/>
        </w:rPr>
        <w:t xml:space="preserve"> </w:t>
      </w:r>
      <w:proofErr w:type="spellStart"/>
      <w:r w:rsidR="001037DB">
        <w:rPr>
          <w:rFonts w:ascii="Arial" w:hAnsi="Arial" w:cs="Arial"/>
          <w:i/>
          <w:iCs/>
          <w:sz w:val="24"/>
          <w:szCs w:val="24"/>
        </w:rPr>
        <w:t>vigilax</w:t>
      </w:r>
      <w:proofErr w:type="spellEnd"/>
      <w:r w:rsidR="001037DB">
        <w:rPr>
          <w:rFonts w:ascii="Arial" w:hAnsi="Arial" w:cs="Arial"/>
          <w:sz w:val="24"/>
          <w:szCs w:val="24"/>
        </w:rPr>
        <w:t xml:space="preserve">. Communities in mesic and sub-humid climates contain a variety of </w:t>
      </w:r>
      <w:proofErr w:type="spellStart"/>
      <w:r w:rsidR="001037DB">
        <w:rPr>
          <w:rFonts w:ascii="Arial" w:hAnsi="Arial" w:cs="Arial"/>
          <w:sz w:val="24"/>
          <w:szCs w:val="24"/>
        </w:rPr>
        <w:t>Lepomis</w:t>
      </w:r>
      <w:proofErr w:type="spellEnd"/>
      <w:r w:rsidR="001037DB">
        <w:rPr>
          <w:rFonts w:ascii="Arial" w:hAnsi="Arial" w:cs="Arial"/>
          <w:sz w:val="24"/>
          <w:szCs w:val="24"/>
        </w:rPr>
        <w:t xml:space="preserve"> species, but mesic streams uniquely contain </w:t>
      </w:r>
      <w:proofErr w:type="spellStart"/>
      <w:r w:rsidR="001037DB" w:rsidRPr="001037DB">
        <w:rPr>
          <w:rFonts w:ascii="Arial" w:hAnsi="Arial" w:cs="Arial"/>
          <w:i/>
          <w:iCs/>
          <w:sz w:val="24"/>
          <w:szCs w:val="24"/>
        </w:rPr>
        <w:t>Herichthys</w:t>
      </w:r>
      <w:proofErr w:type="spellEnd"/>
      <w:r w:rsidR="001037DB" w:rsidRPr="001037DB">
        <w:rPr>
          <w:rFonts w:ascii="Arial" w:hAnsi="Arial" w:cs="Arial"/>
          <w:i/>
          <w:iCs/>
          <w:sz w:val="24"/>
          <w:szCs w:val="24"/>
        </w:rPr>
        <w:t xml:space="preserve"> </w:t>
      </w:r>
      <w:proofErr w:type="spellStart"/>
      <w:r w:rsidR="001037DB" w:rsidRPr="001037DB">
        <w:rPr>
          <w:rFonts w:ascii="Arial" w:hAnsi="Arial" w:cs="Arial"/>
          <w:i/>
          <w:iCs/>
          <w:sz w:val="24"/>
          <w:szCs w:val="24"/>
        </w:rPr>
        <w:t>cyanoguttatus</w:t>
      </w:r>
      <w:proofErr w:type="spellEnd"/>
      <w:r w:rsidR="001037DB">
        <w:rPr>
          <w:rFonts w:ascii="Arial" w:hAnsi="Arial" w:cs="Arial"/>
          <w:sz w:val="24"/>
          <w:szCs w:val="24"/>
        </w:rPr>
        <w:t xml:space="preserve">. Sub-humid streams uniquely contain </w:t>
      </w:r>
      <w:proofErr w:type="spellStart"/>
      <w:r w:rsidR="001037DB" w:rsidRPr="001037DB">
        <w:rPr>
          <w:rFonts w:ascii="Arial" w:hAnsi="Arial" w:cs="Arial"/>
          <w:i/>
          <w:iCs/>
          <w:sz w:val="24"/>
          <w:szCs w:val="24"/>
        </w:rPr>
        <w:t>Trinectes</w:t>
      </w:r>
      <w:proofErr w:type="spellEnd"/>
      <w:r w:rsidR="001037DB" w:rsidRPr="001037DB">
        <w:rPr>
          <w:rFonts w:ascii="Arial" w:hAnsi="Arial" w:cs="Arial"/>
          <w:i/>
          <w:iCs/>
          <w:sz w:val="24"/>
          <w:szCs w:val="24"/>
        </w:rPr>
        <w:t xml:space="preserve"> maculatus</w:t>
      </w:r>
      <w:r w:rsidR="001037DB">
        <w:rPr>
          <w:rFonts w:ascii="Arial" w:hAnsi="Arial" w:cs="Arial"/>
          <w:sz w:val="24"/>
          <w:szCs w:val="24"/>
        </w:rPr>
        <w:t xml:space="preserve">, </w:t>
      </w:r>
      <w:proofErr w:type="spellStart"/>
      <w:r w:rsidR="001037DB" w:rsidRPr="001037DB">
        <w:rPr>
          <w:rFonts w:ascii="Arial" w:hAnsi="Arial" w:cs="Arial"/>
          <w:i/>
          <w:iCs/>
          <w:sz w:val="24"/>
          <w:szCs w:val="24"/>
        </w:rPr>
        <w:t>Ameiurus</w:t>
      </w:r>
      <w:proofErr w:type="spellEnd"/>
      <w:r w:rsidR="001037DB" w:rsidRPr="001037DB">
        <w:rPr>
          <w:rFonts w:ascii="Arial" w:hAnsi="Arial" w:cs="Arial"/>
          <w:i/>
          <w:iCs/>
          <w:sz w:val="24"/>
          <w:szCs w:val="24"/>
        </w:rPr>
        <w:t xml:space="preserve"> melas</w:t>
      </w:r>
      <w:r w:rsidR="001037DB">
        <w:rPr>
          <w:rFonts w:ascii="Arial" w:hAnsi="Arial" w:cs="Arial"/>
          <w:sz w:val="24"/>
          <w:szCs w:val="24"/>
        </w:rPr>
        <w:t xml:space="preserve">, and </w:t>
      </w:r>
      <w:proofErr w:type="spellStart"/>
      <w:r w:rsidR="001037DB" w:rsidRPr="001037DB">
        <w:rPr>
          <w:rFonts w:ascii="Arial" w:hAnsi="Arial" w:cs="Arial"/>
          <w:i/>
          <w:iCs/>
          <w:sz w:val="24"/>
          <w:szCs w:val="24"/>
        </w:rPr>
        <w:t>Cyprinella</w:t>
      </w:r>
      <w:proofErr w:type="spellEnd"/>
      <w:r w:rsidR="001037DB" w:rsidRPr="001037DB">
        <w:rPr>
          <w:rFonts w:ascii="Arial" w:hAnsi="Arial" w:cs="Arial"/>
          <w:i/>
          <w:iCs/>
          <w:sz w:val="24"/>
          <w:szCs w:val="24"/>
        </w:rPr>
        <w:t xml:space="preserve"> </w:t>
      </w:r>
      <w:proofErr w:type="spellStart"/>
      <w:r w:rsidR="001037DB" w:rsidRPr="001037DB">
        <w:rPr>
          <w:rFonts w:ascii="Arial" w:hAnsi="Arial" w:cs="Arial"/>
          <w:i/>
          <w:iCs/>
          <w:sz w:val="24"/>
          <w:szCs w:val="24"/>
        </w:rPr>
        <w:t>venusta</w:t>
      </w:r>
      <w:proofErr w:type="spellEnd"/>
      <w:r w:rsidR="001037DB">
        <w:rPr>
          <w:rFonts w:ascii="Arial" w:hAnsi="Arial" w:cs="Arial"/>
          <w:sz w:val="24"/>
          <w:szCs w:val="24"/>
        </w:rPr>
        <w:t xml:space="preserve">. Fitted environmental predictors indicate that variation along the NMDS-1 axis correlates with high flow pulse percent with lesser contributions by ammonia, nitrate, </w:t>
      </w:r>
      <w:r w:rsidR="001037DB">
        <w:rPr>
          <w:rFonts w:ascii="Arial" w:hAnsi="Arial" w:cs="Arial"/>
          <w:sz w:val="24"/>
          <w:szCs w:val="24"/>
        </w:rPr>
        <w:lastRenderedPageBreak/>
        <w:t xml:space="preserve">and dissolved oxygen concentrations, Variation along the NMDS-2 axis correlates with flash index and annual precipitation with lesser contributions by conductivity, ammonia, nitrate, and dissolved oxygen concentrations. </w:t>
      </w:r>
    </w:p>
    <w:p w14:paraId="02BF1EF1" w14:textId="11209F97" w:rsidR="00885B2F" w:rsidRPr="00234949" w:rsidRDefault="00885B2F" w:rsidP="00885B2F">
      <w:pPr>
        <w:spacing w:line="480" w:lineRule="auto"/>
        <w:rPr>
          <w:rFonts w:ascii="Arial" w:hAnsi="Arial" w:cs="Arial"/>
          <w:sz w:val="24"/>
          <w:szCs w:val="24"/>
        </w:rPr>
      </w:pPr>
      <w:r>
        <w:rPr>
          <w:rFonts w:ascii="Arial" w:hAnsi="Arial" w:cs="Arial"/>
          <w:sz w:val="24"/>
          <w:szCs w:val="24"/>
        </w:rPr>
        <w:t xml:space="preserve">The NMDS ordination of macroinvertebrate assemblages </w:t>
      </w:r>
      <w:r w:rsidR="00234949">
        <w:rPr>
          <w:rFonts w:ascii="Arial" w:hAnsi="Arial" w:cs="Arial"/>
          <w:sz w:val="24"/>
          <w:szCs w:val="24"/>
        </w:rPr>
        <w:t xml:space="preserve">also </w:t>
      </w:r>
      <w:r>
        <w:rPr>
          <w:rFonts w:ascii="Arial" w:hAnsi="Arial" w:cs="Arial"/>
          <w:sz w:val="24"/>
          <w:szCs w:val="24"/>
        </w:rPr>
        <w:t xml:space="preserve">display compositional shifts along the precipitation gradient (Figure 5). </w:t>
      </w:r>
      <w:r w:rsidR="00234949">
        <w:rPr>
          <w:rFonts w:ascii="Arial" w:hAnsi="Arial" w:cs="Arial"/>
          <w:sz w:val="24"/>
          <w:szCs w:val="24"/>
        </w:rPr>
        <w:t xml:space="preserve">Macroinvertebrate assemblages in semi-arid climate contain a variety of gastropod taxa including </w:t>
      </w:r>
      <w:r w:rsidR="00234949">
        <w:rPr>
          <w:rFonts w:ascii="Arial" w:hAnsi="Arial" w:cs="Arial"/>
          <w:i/>
          <w:iCs/>
          <w:sz w:val="24"/>
          <w:szCs w:val="24"/>
        </w:rPr>
        <w:t xml:space="preserve">Amnicola sp. </w:t>
      </w:r>
      <w:proofErr w:type="spellStart"/>
      <w:r w:rsidR="00234949">
        <w:rPr>
          <w:rFonts w:ascii="Arial" w:hAnsi="Arial" w:cs="Arial"/>
          <w:i/>
          <w:iCs/>
          <w:sz w:val="24"/>
          <w:szCs w:val="24"/>
        </w:rPr>
        <w:t>Bythinia</w:t>
      </w:r>
      <w:proofErr w:type="spellEnd"/>
      <w:r w:rsidR="00234949">
        <w:rPr>
          <w:rFonts w:ascii="Arial" w:hAnsi="Arial" w:cs="Arial"/>
          <w:i/>
          <w:iCs/>
          <w:sz w:val="24"/>
          <w:szCs w:val="24"/>
        </w:rPr>
        <w:t xml:space="preserve"> sp. And </w:t>
      </w:r>
      <w:proofErr w:type="spellStart"/>
      <w:r w:rsidR="00234949">
        <w:rPr>
          <w:rFonts w:ascii="Arial" w:hAnsi="Arial" w:cs="Arial"/>
          <w:i/>
          <w:iCs/>
          <w:sz w:val="24"/>
          <w:szCs w:val="24"/>
        </w:rPr>
        <w:t>melanoides</w:t>
      </w:r>
      <w:proofErr w:type="spellEnd"/>
      <w:r w:rsidR="00234949">
        <w:rPr>
          <w:rFonts w:ascii="Arial" w:hAnsi="Arial" w:cs="Arial"/>
          <w:i/>
          <w:iCs/>
          <w:sz w:val="24"/>
          <w:szCs w:val="24"/>
        </w:rPr>
        <w:t xml:space="preserve"> sp.</w:t>
      </w:r>
      <w:r w:rsidR="00234949">
        <w:rPr>
          <w:rFonts w:ascii="Arial" w:hAnsi="Arial" w:cs="Arial"/>
          <w:sz w:val="24"/>
          <w:szCs w:val="24"/>
        </w:rPr>
        <w:t xml:space="preserve"> </w:t>
      </w:r>
      <w:r w:rsidR="00BE3AE2">
        <w:rPr>
          <w:rFonts w:ascii="Arial" w:hAnsi="Arial" w:cs="Arial"/>
          <w:sz w:val="24"/>
          <w:szCs w:val="24"/>
        </w:rPr>
        <w:t>Mesic communities</w:t>
      </w:r>
      <w:r w:rsidR="00234949">
        <w:rPr>
          <w:rFonts w:ascii="Arial" w:hAnsi="Arial" w:cs="Arial"/>
          <w:sz w:val="24"/>
          <w:szCs w:val="24"/>
        </w:rPr>
        <w:t xml:space="preserve"> </w:t>
      </w:r>
      <w:r w:rsidR="00BE3AE2">
        <w:rPr>
          <w:rFonts w:ascii="Arial" w:hAnsi="Arial" w:cs="Arial"/>
          <w:sz w:val="24"/>
          <w:szCs w:val="24"/>
        </w:rPr>
        <w:t xml:space="preserve">contain species from a greater number of taxonomic orders including Ephemeroptera, </w:t>
      </w:r>
      <w:proofErr w:type="spellStart"/>
      <w:r w:rsidR="00BE3AE2">
        <w:rPr>
          <w:rFonts w:ascii="Arial" w:hAnsi="Arial" w:cs="Arial"/>
          <w:sz w:val="24"/>
          <w:szCs w:val="24"/>
        </w:rPr>
        <w:t>Trichoptera</w:t>
      </w:r>
      <w:proofErr w:type="spellEnd"/>
      <w:r w:rsidR="00BE3AE2">
        <w:rPr>
          <w:rFonts w:ascii="Arial" w:hAnsi="Arial" w:cs="Arial"/>
          <w:sz w:val="24"/>
          <w:szCs w:val="24"/>
        </w:rPr>
        <w:t xml:space="preserve">, Coleoptera, and Hemiptera. Sub-humid communities contain a greater proportion of Crustaceans including </w:t>
      </w:r>
      <w:proofErr w:type="spellStart"/>
      <w:r w:rsidR="00BE3AE2">
        <w:rPr>
          <w:rFonts w:ascii="Arial" w:hAnsi="Arial" w:cs="Arial"/>
          <w:sz w:val="24"/>
          <w:szCs w:val="24"/>
        </w:rPr>
        <w:t>Palaemonetes</w:t>
      </w:r>
      <w:proofErr w:type="spellEnd"/>
      <w:r w:rsidR="00BE3AE2">
        <w:rPr>
          <w:rFonts w:ascii="Arial" w:hAnsi="Arial" w:cs="Arial"/>
          <w:sz w:val="24"/>
          <w:szCs w:val="24"/>
        </w:rPr>
        <w:t xml:space="preserve"> sp., </w:t>
      </w:r>
      <w:proofErr w:type="spellStart"/>
      <w:r w:rsidR="00BE3AE2">
        <w:rPr>
          <w:rFonts w:ascii="Arial" w:hAnsi="Arial" w:cs="Arial"/>
          <w:sz w:val="24"/>
          <w:szCs w:val="24"/>
        </w:rPr>
        <w:t>Orconectes</w:t>
      </w:r>
      <w:proofErr w:type="spellEnd"/>
      <w:r w:rsidR="00BE3AE2">
        <w:rPr>
          <w:rFonts w:ascii="Arial" w:hAnsi="Arial" w:cs="Arial"/>
          <w:sz w:val="24"/>
          <w:szCs w:val="24"/>
        </w:rPr>
        <w:t xml:space="preserve"> sp., and isopods in the genus </w:t>
      </w:r>
      <w:proofErr w:type="spellStart"/>
      <w:r w:rsidR="00BE3AE2">
        <w:rPr>
          <w:rFonts w:ascii="Arial" w:hAnsi="Arial" w:cs="Arial"/>
          <w:sz w:val="24"/>
          <w:szCs w:val="24"/>
        </w:rPr>
        <w:t>Caecidotea</w:t>
      </w:r>
      <w:proofErr w:type="spellEnd"/>
      <w:r w:rsidR="00BE3AE2">
        <w:rPr>
          <w:rFonts w:ascii="Arial" w:hAnsi="Arial" w:cs="Arial"/>
          <w:sz w:val="24"/>
          <w:szCs w:val="24"/>
        </w:rPr>
        <w:t xml:space="preserve">. Fitted environmental variables indicate that variation along the NMDS-1 axis correlate with High flow pulse percent and to a lesser extent, nitrate, ammonia, and dissolved oxygen concentrations. Variation on the NMDS-2 axis correlate with annual precipitation, flash index and conductivity. </w:t>
      </w:r>
      <w:r w:rsidR="005224FF">
        <w:rPr>
          <w:rFonts w:ascii="Arial" w:hAnsi="Arial" w:cs="Arial"/>
          <w:sz w:val="24"/>
          <w:szCs w:val="24"/>
        </w:rPr>
        <w:t>The separation of site-groupings within the ordination space coincides with projected axes of the fitted ammonia and dissolved oxygen variables.</w:t>
      </w:r>
    </w:p>
    <w:p w14:paraId="4C27C5C3" w14:textId="2CDAA361" w:rsidR="002B7AF9" w:rsidRDefault="002B7AF9">
      <w:pPr>
        <w:rPr>
          <w:rFonts w:ascii="Arial" w:hAnsi="Arial" w:cs="Arial"/>
          <w:sz w:val="24"/>
          <w:szCs w:val="24"/>
        </w:rPr>
      </w:pPr>
    </w:p>
    <w:p w14:paraId="5ABA9C66" w14:textId="129606B7" w:rsidR="002B7AF9" w:rsidRPr="002B7AF9" w:rsidRDefault="002B7AF9">
      <w:pPr>
        <w:rPr>
          <w:rFonts w:ascii="Arial" w:hAnsi="Arial" w:cs="Arial"/>
          <w:sz w:val="24"/>
          <w:szCs w:val="24"/>
        </w:rPr>
      </w:pPr>
    </w:p>
    <w:sectPr w:rsidR="002B7AF9" w:rsidRPr="002B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34"/>
    <w:rsid w:val="001037DB"/>
    <w:rsid w:val="00234949"/>
    <w:rsid w:val="002B7AF9"/>
    <w:rsid w:val="00320434"/>
    <w:rsid w:val="00476749"/>
    <w:rsid w:val="005224FF"/>
    <w:rsid w:val="005B7469"/>
    <w:rsid w:val="00885B2F"/>
    <w:rsid w:val="008E5AF3"/>
    <w:rsid w:val="00A31F47"/>
    <w:rsid w:val="00BE3AE2"/>
    <w:rsid w:val="00E2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A6F"/>
  <w15:chartTrackingRefBased/>
  <w15:docId w15:val="{7D4A5C8F-F302-4FF4-88C9-A7FE7E25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Kinard, Sean</dc:creator>
  <cp:keywords/>
  <dc:description/>
  <cp:lastModifiedBy>Kinard, Sean</cp:lastModifiedBy>
  <cp:revision>1</cp:revision>
  <dcterms:created xsi:type="dcterms:W3CDTF">2020-03-02T13:41:00Z</dcterms:created>
  <dcterms:modified xsi:type="dcterms:W3CDTF">2020-03-02T16:18:00Z</dcterms:modified>
</cp:coreProperties>
</file>