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85" w:rsidRDefault="00AD2885" w:rsidP="00AD2885">
      <w:pPr>
        <w:pStyle w:val="Heading2"/>
        <w:spacing w:before="0" w:line="240" w:lineRule="atLeast"/>
        <w:jc w:val="center"/>
        <w:rPr>
          <w:rFonts w:asciiTheme="minorEastAsia" w:eastAsiaTheme="minorEastAsia" w:hAnsiTheme="minorEastAsia"/>
          <w:color w:val="auto"/>
          <w:sz w:val="20"/>
          <w:szCs w:val="20"/>
        </w:rPr>
      </w:pPr>
    </w:p>
    <w:p w:rsidR="00AD2885" w:rsidRDefault="00AD2885">
      <w:pPr>
        <w:pStyle w:val="Heading2"/>
        <w:spacing w:before="0" w:line="240" w:lineRule="atLeas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:rsidR="007E0278" w:rsidRDefault="00AD2885">
      <w:pPr>
        <w:pStyle w:val="Heading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322C2C">
        <w:rPr>
          <w:rFonts w:asciiTheme="minorEastAsia" w:eastAsiaTheme="minorEastAsia" w:hAnsiTheme="minorEastAsia" w:hint="eastAsia"/>
          <w:color w:val="auto"/>
          <w:sz w:val="20"/>
          <w:szCs w:val="20"/>
        </w:rPr>
        <w:t>coming</w:t>
      </w:r>
      <w:r w:rsidR="00322C2C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322C2C">
        <w:rPr>
          <w:rFonts w:asciiTheme="minorEastAsia" w:eastAsiaTheme="minorEastAsia" w:hAnsiTheme="minorEastAsia" w:hint="eastAsia"/>
          <w:color w:val="auto"/>
          <w:sz w:val="20"/>
          <w:szCs w:val="20"/>
        </w:rPr>
        <w:t>home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  </w:t>
      </w:r>
      <w:hyperlink w:anchor="_节目简表（待改节目名称）" w:history="1">
        <w:r>
          <w:rPr>
            <w:rStyle w:val="Hyperlink"/>
            <w:rFonts w:asciiTheme="minorEastAsia" w:eastAsiaTheme="minorEastAsia" w:hAnsiTheme="minorEastAsia" w:hint="eastAsia"/>
            <w:sz w:val="20"/>
            <w:szCs w:val="20"/>
          </w:rPr>
          <w:t>回到开始</w:t>
        </w:r>
      </w:hyperlink>
    </w:p>
    <w:p w:rsidR="007E0278" w:rsidRDefault="00AD2885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7E0278">
        <w:trPr>
          <w:trHeight w:val="21"/>
        </w:trPr>
        <w:tc>
          <w:tcPr>
            <w:tcW w:w="974" w:type="dxa"/>
            <w:shd w:val="clear" w:color="auto" w:fill="D9D9D9"/>
          </w:tcPr>
          <w:p w:rsidR="007E0278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7E0278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7E0278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7E0278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7E0278" w:rsidRDefault="00AD2885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7E0278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7E0278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7E0278">
        <w:trPr>
          <w:trHeight w:val="1258"/>
        </w:trPr>
        <w:tc>
          <w:tcPr>
            <w:tcW w:w="974" w:type="dxa"/>
          </w:tcPr>
          <w:p w:rsidR="007E0278" w:rsidRDefault="007E0278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D23E4C" w:rsidRDefault="00D23E4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4A60AF" w:rsidRDefault="004A60A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D23E4C" w:rsidRDefault="00D23E4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D23E4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舞台监督</w:t>
            </w:r>
          </w:p>
          <w:p w:rsidR="00322C2C" w:rsidRPr="00322C2C" w:rsidRDefault="00322C2C">
            <w:pPr>
              <w:pStyle w:val="110"/>
              <w:spacing w:after="0" w:line="240" w:lineRule="atLeast"/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eastAsia="MS Mincho" w:hAnsiTheme="minorEastAsia"/>
                <w:sz w:val="15"/>
                <w:szCs w:val="15"/>
                <w:lang w:eastAsia="ja-JP"/>
              </w:rPr>
              <w:t>“I’m co-“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唱完开始放音乐</w:t>
            </w:r>
          </w:p>
        </w:tc>
        <w:tc>
          <w:tcPr>
            <w:tcW w:w="1261" w:type="dxa"/>
          </w:tcPr>
          <w:p w:rsidR="007E0278" w:rsidRDefault="007E0278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0A5FDE" w:rsidRDefault="000A5FD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背景黑</w:t>
            </w: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@舞台监督</w:t>
            </w: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30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秒背景起</w:t>
            </w:r>
          </w:p>
        </w:tc>
        <w:tc>
          <w:tcPr>
            <w:tcW w:w="1417" w:type="dxa"/>
          </w:tcPr>
          <w:p w:rsidR="007E0278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男女都手麦</w:t>
            </w:r>
          </w:p>
        </w:tc>
        <w:tc>
          <w:tcPr>
            <w:tcW w:w="2977" w:type="dxa"/>
          </w:tcPr>
          <w:p w:rsidR="00F74131" w:rsidRDefault="00322C2C" w:rsidP="00F74131">
            <w:r>
              <w:rPr>
                <w:rFonts w:hint="eastAsia"/>
              </w:rPr>
              <w:t>女上台</w:t>
            </w:r>
          </w:p>
          <w:p w:rsidR="00F74131" w:rsidRDefault="00F74131" w:rsidP="00F74131">
            <w:pPr>
              <w:spacing w:line="240" w:lineRule="auto"/>
              <w:rPr>
                <w:rFonts w:ascii="宋体" w:hAnsi="宋体"/>
              </w:rPr>
            </w:pPr>
          </w:p>
          <w:p w:rsidR="00322C2C" w:rsidRDefault="00322C2C" w:rsidP="00F74131">
            <w:pPr>
              <w:spacing w:line="240" w:lineRule="auto"/>
              <w:rPr>
                <w:rFonts w:ascii="宋体" w:eastAsia="MS Mincho" w:hAnsi="宋体"/>
                <w:lang w:eastAsia="ja-JP"/>
              </w:rPr>
            </w:pPr>
            <w:r>
              <w:rPr>
                <w:rFonts w:ascii="宋体" w:eastAsiaTheme="minorEastAsia" w:hAnsi="宋体" w:hint="eastAsia"/>
              </w:rPr>
              <w:t>女开始唱：</w:t>
            </w:r>
            <w:r>
              <w:rPr>
                <w:rFonts w:ascii="宋体" w:eastAsia="MS Mincho" w:hAnsi="宋体"/>
                <w:lang w:eastAsia="ja-JP"/>
              </w:rPr>
              <w:t xml:space="preserve"> “I’m co-</w:t>
            </w:r>
            <w:proofErr w:type="spellStart"/>
            <w:r>
              <w:rPr>
                <w:rFonts w:ascii="宋体" w:eastAsia="MS Mincho" w:hAnsi="宋体"/>
                <w:lang w:eastAsia="ja-JP"/>
              </w:rPr>
              <w:t>ming</w:t>
            </w:r>
            <w:proofErr w:type="spellEnd"/>
            <w:r>
              <w:rPr>
                <w:rFonts w:ascii="宋体" w:eastAsia="MS Mincho" w:hAnsi="宋体"/>
                <w:lang w:eastAsia="ja-JP"/>
              </w:rPr>
              <w:t xml:space="preserve"> home, I’m coming home, tell the world I’m coming home. Let the rain, wash away all the pain of yesterday, I know my kingdom awaits. And they’ve forgiven my mistakes. I’m coming home. I’m coming home. Tell the world I’m coming”</w:t>
            </w:r>
          </w:p>
          <w:p w:rsidR="00322C2C" w:rsidRPr="00322C2C" w:rsidRDefault="00322C2C" w:rsidP="00F74131">
            <w:pPr>
              <w:spacing w:line="240" w:lineRule="auto"/>
              <w:rPr>
                <w:rFonts w:ascii="宋体" w:eastAsiaTheme="minorEastAsia" w:hAnsi="宋体" w:hint="eastAsia"/>
              </w:rPr>
            </w:pPr>
            <w:r>
              <w:rPr>
                <w:rFonts w:ascii="宋体" w:eastAsia="MS Mincho" w:hAnsi="宋体"/>
                <w:lang w:eastAsia="ja-JP"/>
              </w:rPr>
              <w:t>@30</w:t>
            </w:r>
            <w:r>
              <w:rPr>
                <w:rFonts w:ascii="宋体" w:eastAsiaTheme="minorEastAsia" w:hAnsi="宋体" w:hint="eastAsia"/>
              </w:rPr>
              <w:t>秒（弦乐起）</w:t>
            </w:r>
          </w:p>
          <w:p w:rsidR="00322C2C" w:rsidRDefault="00322C2C" w:rsidP="00F74131">
            <w:pPr>
              <w:spacing w:line="240" w:lineRule="auto"/>
              <w:rPr>
                <w:rFonts w:ascii="宋体" w:eastAsia="MS Mincho" w:hAnsi="宋体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</w:rPr>
              <w:t>男上台</w:t>
            </w:r>
          </w:p>
          <w:p w:rsidR="00322C2C" w:rsidRDefault="00322C2C" w:rsidP="00F74131">
            <w:pPr>
              <w:spacing w:line="240" w:lineRule="auto"/>
              <w:rPr>
                <w:rFonts w:ascii="宋体" w:eastAsia="MS Mincho" w:hAnsi="宋体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</w:rPr>
              <w:t>@</w:t>
            </w:r>
            <w:r>
              <w:rPr>
                <w:rFonts w:ascii="宋体" w:eastAsia="MS Mincho" w:hAnsi="宋体"/>
                <w:lang w:eastAsia="ja-JP"/>
              </w:rPr>
              <w:t>41</w:t>
            </w:r>
            <w:r>
              <w:rPr>
                <w:rFonts w:asciiTheme="minorEastAsia" w:eastAsiaTheme="minorEastAsia" w:hAnsiTheme="minorEastAsia" w:hint="eastAsia"/>
              </w:rPr>
              <w:t>秒（钢琴音乐起）</w:t>
            </w:r>
          </w:p>
          <w:p w:rsidR="00322C2C" w:rsidRDefault="00322C2C" w:rsidP="00F74131">
            <w:pPr>
              <w:spacing w:line="240" w:lineRule="auto"/>
              <w:rPr>
                <w:rFonts w:ascii="宋体" w:eastAsia="MS Mincho" w:hAnsi="宋体"/>
                <w:lang w:eastAsia="ja-JP"/>
              </w:rPr>
            </w:pPr>
          </w:p>
          <w:p w:rsidR="00322C2C" w:rsidRDefault="00322C2C" w:rsidP="00F74131">
            <w:pPr>
              <w:spacing w:line="240" w:lineRule="auto"/>
              <w:rPr>
                <w:rFonts w:ascii="宋体" w:eastAsia="MS Mincho" w:hAnsi="宋体"/>
                <w:lang w:eastAsia="ja-JP"/>
              </w:rPr>
            </w:pPr>
          </w:p>
          <w:p w:rsidR="00322C2C" w:rsidRPr="00322C2C" w:rsidRDefault="00322C2C" w:rsidP="00F74131">
            <w:pPr>
              <w:spacing w:line="240" w:lineRule="auto"/>
              <w:rPr>
                <w:rFonts w:ascii="宋体" w:eastAsia="MS Mincho" w:hAnsi="宋体"/>
                <w:lang w:eastAsia="ja-JP"/>
              </w:rPr>
            </w:pPr>
          </w:p>
          <w:p w:rsidR="007E0278" w:rsidRDefault="007E0278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92" w:type="dxa"/>
          </w:tcPr>
          <w:p w:rsidR="00AD2885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黑灯</w:t>
            </w: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bookmarkStart w:id="0" w:name="_GoBack"/>
            <w:bookmarkEnd w:id="0"/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30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秒：灯光慢慢亮起，不要打到完全亮，暗一点</w:t>
            </w: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1秒：打彩灯</w:t>
            </w: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  <w:tc>
          <w:tcPr>
            <w:tcW w:w="1878" w:type="dxa"/>
          </w:tcPr>
          <w:p w:rsidR="007E0278" w:rsidRDefault="007E0278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给女打追光</w:t>
            </w:r>
          </w:p>
          <w:p w:rsidR="00AD2885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AD2885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AD2885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AD2885" w:rsidRDefault="00AD2885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追光打男和女</w:t>
            </w:r>
          </w:p>
          <w:p w:rsidR="00322C2C" w:rsidRDefault="00322C2C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7E0278" w:rsidRDefault="00AD2885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7E0278" w:rsidRDefault="00AD2885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color w:val="FF0000"/>
          <w:sz w:val="15"/>
          <w:szCs w:val="15"/>
        </w:rPr>
        <w:t>//此处可以插入演员站位等图表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7E0278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7E0278" w:rsidRDefault="00AD2885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MK初始情况：上台口 （这里节目负责人不用填写）</w:t>
            </w:r>
          </w:p>
          <w:p w:rsidR="007E0278" w:rsidRDefault="00AD2885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下台口 （这里节目负责人不用填写）</w:t>
            </w:r>
          </w:p>
          <w:p w:rsidR="007E0278" w:rsidRDefault="00AD2885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7E0278" w:rsidRDefault="00AD2885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 下台口：</w:t>
            </w:r>
          </w:p>
        </w:tc>
      </w:tr>
      <w:tr w:rsidR="007E0278">
        <w:trPr>
          <w:trHeight w:val="20"/>
        </w:trPr>
        <w:tc>
          <w:tcPr>
            <w:tcW w:w="1242" w:type="dxa"/>
            <w:shd w:val="clear" w:color="auto" w:fill="D9D9D9"/>
          </w:tcPr>
          <w:p w:rsidR="007E0278" w:rsidRDefault="00AD2885">
            <w:pPr>
              <w:pStyle w:val="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7E0278" w:rsidRDefault="00AD2885">
            <w:pPr>
              <w:pStyle w:val="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7E0278" w:rsidRDefault="00AD2885">
            <w:pPr>
              <w:pStyle w:val="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7E0278" w:rsidRDefault="00AD2885">
            <w:pPr>
              <w:pStyle w:val="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7E0278" w:rsidRDefault="00AD2885">
            <w:pPr>
              <w:pStyle w:val="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7E0278" w:rsidRDefault="00AD2885">
            <w:pPr>
              <w:pStyle w:val="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7E0278" w:rsidRDefault="00AD2885">
            <w:pPr>
              <w:pStyle w:val="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7E0278">
        <w:trPr>
          <w:trHeight w:val="20"/>
        </w:trPr>
        <w:tc>
          <w:tcPr>
            <w:tcW w:w="1242" w:type="dxa"/>
          </w:tcPr>
          <w:p w:rsidR="007E0278" w:rsidRDefault="00AD288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</w:tc>
        <w:tc>
          <w:tcPr>
            <w:tcW w:w="709" w:type="dxa"/>
          </w:tcPr>
          <w:p w:rsidR="007E0278" w:rsidRDefault="00AD2885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sz w:val="15"/>
                <w:lang w:bidi="en-US"/>
              </w:rPr>
              <w:t>（这里节目负责人不用填写）</w:t>
            </w:r>
          </w:p>
        </w:tc>
        <w:tc>
          <w:tcPr>
            <w:tcW w:w="1418" w:type="dxa"/>
          </w:tcPr>
          <w:p w:rsidR="007E0278" w:rsidRDefault="00AD2885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</w:tc>
        <w:tc>
          <w:tcPr>
            <w:tcW w:w="1417" w:type="dxa"/>
          </w:tcPr>
          <w:p w:rsidR="007E0278" w:rsidRDefault="00AD288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</w:tc>
        <w:tc>
          <w:tcPr>
            <w:tcW w:w="3021" w:type="dxa"/>
          </w:tcPr>
          <w:p w:rsidR="007E0278" w:rsidRDefault="00AD288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//必填项</w:t>
            </w:r>
          </w:p>
        </w:tc>
        <w:tc>
          <w:tcPr>
            <w:tcW w:w="1368" w:type="dxa"/>
          </w:tcPr>
          <w:p w:rsidR="007E0278" w:rsidRDefault="00AD288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</w:tc>
        <w:tc>
          <w:tcPr>
            <w:tcW w:w="1369" w:type="dxa"/>
          </w:tcPr>
          <w:p w:rsidR="007E0278" w:rsidRDefault="00AD2885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//如果需要请填写</w:t>
            </w:r>
          </w:p>
          <w:p w:rsidR="007E0278" w:rsidRDefault="007E0278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7E0278">
        <w:trPr>
          <w:trHeight w:val="20"/>
        </w:trPr>
        <w:tc>
          <w:tcPr>
            <w:tcW w:w="10544" w:type="dxa"/>
            <w:gridSpan w:val="7"/>
          </w:tcPr>
          <w:p w:rsidR="007E0278" w:rsidRDefault="00AD2885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结束时MK情况：上台口 （这里节目负责人不用填写）</w:t>
            </w:r>
          </w:p>
          <w:p w:rsidR="007E0278" w:rsidRDefault="00AD2885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  下台口 （这里节目负责人不用填写）</w:t>
            </w:r>
          </w:p>
        </w:tc>
      </w:tr>
    </w:tbl>
    <w:p w:rsidR="007E0278" w:rsidRDefault="00AD2885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hint="eastAsia"/>
        </w:rPr>
        <w:lastRenderedPageBreak/>
        <w:t>备注：</w:t>
      </w:r>
      <w:r>
        <w:rPr>
          <w:rFonts w:asciiTheme="minorEastAsia" w:hAnsiTheme="minorEastAsia" w:hint="eastAsia"/>
          <w:color w:val="FF0000"/>
          <w:sz w:val="15"/>
          <w:szCs w:val="15"/>
        </w:rPr>
        <w:t>//如果需要请填写</w:t>
      </w:r>
    </w:p>
    <w:p w:rsidR="007E0278" w:rsidRDefault="00AD2885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160655</wp:posOffset>
                </wp:positionV>
                <wp:extent cx="7251700" cy="25400"/>
                <wp:effectExtent l="0" t="4445" r="0" b="82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4930" y="4785995"/>
                          <a:ext cx="7251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0.1pt;margin-top:12.65pt;height:2pt;width:571pt;z-index:251658240;mso-width-relative:page;mso-height-relative:page;" filled="f" stroked="t" coordsize="21600,21600" o:gfxdata="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XZXp9cAAAAKAQAA&#10;DwAAAAAAAAABACAAAAAiAAAAZHJzL2Rvd25yZXYueG1sUEsBAhQAFAAAAAgAh07iQA7I9OrhAQAA&#10;ewMAAA4AAAAAAAAAAQAgAAAAJgEAAGRycy9lMm9Eb2MueG1sUEsFBgAAAAAGAAYAWQEAAHkFAAAA&#10;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E0278" w:rsidRDefault="007E0278">
      <w:pPr>
        <w:rPr>
          <w:rFonts w:asciiTheme="minorEastAsia" w:hAnsiTheme="minorEastAsia"/>
          <w:color w:val="FF0000"/>
          <w:sz w:val="15"/>
          <w:szCs w:val="15"/>
        </w:rPr>
      </w:pPr>
    </w:p>
    <w:p w:rsidR="007E0278" w:rsidRDefault="00AD288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说明：根据需要填写</w:t>
      </w:r>
      <w:r>
        <w:rPr>
          <w:rFonts w:asciiTheme="minorEastAsia" w:hAnsiTheme="minorEastAsia" w:hint="eastAsia"/>
          <w:sz w:val="28"/>
          <w:szCs w:val="28"/>
          <w:highlight w:val="red"/>
        </w:rPr>
        <w:t>红字</w:t>
      </w:r>
      <w:r>
        <w:rPr>
          <w:rFonts w:asciiTheme="minorEastAsia" w:hAnsiTheme="minorEastAsia" w:hint="eastAsia"/>
          <w:sz w:val="28"/>
          <w:szCs w:val="28"/>
        </w:rPr>
        <w:t>部分即可，提交时只需提交</w:t>
      </w:r>
      <w:r>
        <w:rPr>
          <w:rFonts w:asciiTheme="minorEastAsia" w:hAnsiTheme="minorEastAsia" w:hint="eastAsia"/>
          <w:sz w:val="28"/>
          <w:szCs w:val="28"/>
          <w:highlight w:val="red"/>
        </w:rPr>
        <w:t>红线</w:t>
      </w:r>
      <w:r>
        <w:rPr>
          <w:rFonts w:asciiTheme="minorEastAsia" w:hAnsiTheme="minorEastAsia" w:hint="eastAsia"/>
          <w:sz w:val="28"/>
          <w:szCs w:val="28"/>
        </w:rPr>
        <w:t>以上部分。</w:t>
      </w:r>
    </w:p>
    <w:p w:rsidR="007E0278" w:rsidRDefault="007E0278">
      <w:pPr>
        <w:rPr>
          <w:rFonts w:asciiTheme="minorEastAsia" w:hAnsiTheme="minorEastAsia"/>
          <w:sz w:val="28"/>
          <w:szCs w:val="28"/>
        </w:rPr>
      </w:pPr>
    </w:p>
    <w:p w:rsidR="007E0278" w:rsidRDefault="007E0278">
      <w:pPr>
        <w:rPr>
          <w:rFonts w:asciiTheme="minorEastAsia" w:hAnsiTheme="minorEastAsia"/>
          <w:sz w:val="28"/>
          <w:szCs w:val="28"/>
        </w:rPr>
      </w:pPr>
    </w:p>
    <w:p w:rsidR="007E0278" w:rsidRDefault="00AD288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附：麦克，灯光参考标准</w:t>
      </w:r>
    </w:p>
    <w:p w:rsidR="007E0278" w:rsidRDefault="00AD2885">
      <w:pPr>
        <w:pStyle w:val="Heading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麦克标准</w:t>
      </w:r>
    </w:p>
    <w:p w:rsidR="007E0278" w:rsidRDefault="00AD2885">
      <w:pPr>
        <w:pStyle w:val="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7E0278" w:rsidRDefault="00AD2885">
      <w:pPr>
        <w:pStyle w:val="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7E0278" w:rsidRDefault="00AD2885">
      <w:pPr>
        <w:pStyle w:val="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7E0278" w:rsidRDefault="00AD2885">
      <w:pPr>
        <w:pStyle w:val="Heading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7E0278" w:rsidRDefault="00AD2885">
      <w:pPr>
        <w:pStyle w:val="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7E0278" w:rsidRDefault="00AD2885">
      <w:pPr>
        <w:pStyle w:val="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7E0278" w:rsidRDefault="00AD2885">
      <w:pPr>
        <w:pStyle w:val="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7E0278" w:rsidRDefault="00AD2885">
      <w:pPr>
        <w:pStyle w:val="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7E0278" w:rsidRDefault="00AD2885">
      <w:pPr>
        <w:pStyle w:val="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7E0278" w:rsidRDefault="00AD2885">
      <w:pPr>
        <w:pStyle w:val="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7E0278" w:rsidRDefault="00AD2885">
      <w:pPr>
        <w:pStyle w:val="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7E0278" w:rsidRDefault="00AD2885">
      <w:pPr>
        <w:pStyle w:val="Heading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7E0278" w:rsidRDefault="00AD2885">
      <w:pPr>
        <w:pStyle w:val="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7E0278" w:rsidRDefault="00AD2885">
      <w:pPr>
        <w:pStyle w:val="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7E0278" w:rsidRDefault="00AD2885">
      <w:pPr>
        <w:pStyle w:val="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7E0278" w:rsidRDefault="00AD2885">
      <w:pPr>
        <w:pStyle w:val="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7E0278" w:rsidRDefault="00AD2885">
      <w:pPr>
        <w:pStyle w:val="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</w:t>
      </w:r>
    </w:p>
    <w:p w:rsidR="007E0278" w:rsidRDefault="00AD2885">
      <w:pPr>
        <w:pStyle w:val="1"/>
        <w:spacing w:after="0" w:line="240" w:lineRule="atLeast"/>
        <w:ind w:left="0"/>
        <w:rPr>
          <w:rFonts w:asciiTheme="minorEastAsia" w:hAnsiTheme="minorEastAsia"/>
          <w:sz w:val="28"/>
          <w:szCs w:val="2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sectPr w:rsidR="007E02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D3"/>
    <w:rsid w:val="000A5FDE"/>
    <w:rsid w:val="00285C82"/>
    <w:rsid w:val="002F742B"/>
    <w:rsid w:val="00322C2C"/>
    <w:rsid w:val="00350C37"/>
    <w:rsid w:val="004572AF"/>
    <w:rsid w:val="004A60AF"/>
    <w:rsid w:val="006412D3"/>
    <w:rsid w:val="006F789A"/>
    <w:rsid w:val="007E0278"/>
    <w:rsid w:val="00892A0E"/>
    <w:rsid w:val="008C7B78"/>
    <w:rsid w:val="0094360F"/>
    <w:rsid w:val="009D61DC"/>
    <w:rsid w:val="00A42544"/>
    <w:rsid w:val="00AC6FB3"/>
    <w:rsid w:val="00AD2885"/>
    <w:rsid w:val="00B97477"/>
    <w:rsid w:val="00D23E4C"/>
    <w:rsid w:val="00EB23E8"/>
    <w:rsid w:val="00F74131"/>
    <w:rsid w:val="00F848B9"/>
    <w:rsid w:val="00FB222F"/>
    <w:rsid w:val="00FB47FA"/>
    <w:rsid w:val="057F772D"/>
    <w:rsid w:val="731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909B84"/>
  <w15:docId w15:val="{198A19E5-0B29-45F1-BD11-724C53D9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Normal Indent" w:semiHidden="1" w:unhideWhenUsed="1"/>
    <w:lsdException w:name="footnote text" w:qFormat="1"/>
    <w:lsdException w:name="annotation text" w:semiHidden="1"/>
    <w:lsdException w:name="header" w:unhideWhenUsed="1"/>
    <w:lsdException w:name="footer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pPr>
      <w:widowControl/>
      <w:spacing w:after="200" w:line="276" w:lineRule="auto"/>
    </w:pPr>
    <w:rPr>
      <w:rFonts w:ascii="Cambria" w:hAnsi="Cambria"/>
      <w:b/>
      <w:bCs/>
      <w:kern w:val="0"/>
      <w:sz w:val="22"/>
    </w:rPr>
  </w:style>
  <w:style w:type="paragraph" w:styleId="CommentText">
    <w:name w:val="annotation text"/>
    <w:basedOn w:val="Normal"/>
    <w:link w:val="CommentTextChar"/>
    <w:uiPriority w:val="99"/>
    <w:semiHidden/>
    <w:pPr>
      <w:jc w:val="left"/>
    </w:pPr>
    <w:rPr>
      <w:rFonts w:ascii="Calibri" w:hAnsi="Calibri"/>
      <w:szCs w:val="28"/>
    </w:rPr>
  </w:style>
  <w:style w:type="paragraph" w:styleId="TOC7">
    <w:name w:val="toc 7"/>
    <w:basedOn w:val="Normal"/>
    <w:next w:val="Normal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Caption">
    <w:name w:val="caption"/>
    <w:basedOn w:val="Normal"/>
    <w:next w:val="Normal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TOC5">
    <w:name w:val="toc 5"/>
    <w:basedOn w:val="Normal"/>
    <w:next w:val="Normal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Normal"/>
    <w:next w:val="Normal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Normal"/>
    <w:next w:val="Normal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BalloonText">
    <w:name w:val="Balloon Text"/>
    <w:basedOn w:val="Normal"/>
    <w:link w:val="BalloonTextChar"/>
    <w:uiPriority w:val="99"/>
    <w:semiHidden/>
    <w:pPr>
      <w:widowControl/>
      <w:spacing w:after="200"/>
      <w:jc w:val="left"/>
    </w:pPr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Normal"/>
    <w:next w:val="Normal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FootnoteText">
    <w:name w:val="footnote text"/>
    <w:basedOn w:val="Normal"/>
    <w:link w:val="FootnoteTextChar"/>
    <w:uiPriority w:val="99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Normal"/>
    <w:next w:val="Normal"/>
    <w:uiPriority w:val="99"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Normal"/>
    <w:next w:val="Normal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Normal"/>
    <w:next w:val="Normal"/>
    <w:uiPriority w:val="99"/>
    <w:pPr>
      <w:ind w:leftChars="1600" w:left="3360"/>
    </w:pPr>
    <w:rPr>
      <w:rFonts w:ascii="Cambria" w:hAnsi="Cambria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jc w:val="left"/>
    </w:pPr>
    <w:rPr>
      <w:rFonts w:ascii="宋体" w:hAnsi="宋体"/>
      <w:kern w:val="0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pPr>
      <w:widowControl/>
      <w:pBdr>
        <w:bottom w:val="single" w:sz="8" w:space="4" w:color="5B9BD5"/>
      </w:pBdr>
      <w:spacing w:after="300"/>
      <w:contextualSpacing/>
      <w:jc w:val="left"/>
    </w:pPr>
    <w:rPr>
      <w:rFonts w:ascii="Calibri Light" w:hAnsi="Calibri Light"/>
      <w:color w:val="323E4F"/>
      <w:spacing w:val="5"/>
      <w:kern w:val="0"/>
      <w:sz w:val="52"/>
      <w:szCs w:val="52"/>
    </w:rPr>
  </w:style>
  <w:style w:type="character" w:styleId="Strong">
    <w:name w:val="Strong"/>
    <w:basedOn w:val="DefaultParagraphFont"/>
    <w:uiPriority w:val="99"/>
    <w:qFormat/>
    <w:rPr>
      <w:rFonts w:cs="Times New Roman"/>
      <w:b/>
    </w:rPr>
  </w:style>
  <w:style w:type="character" w:styleId="FollowedHyperlink">
    <w:name w:val="FollowedHyperlink"/>
    <w:basedOn w:val="DefaultParagraphFont"/>
    <w:uiPriority w:val="99"/>
    <w:semiHidden/>
    <w:qFormat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qFormat/>
    <w:rPr>
      <w:rFonts w:cs="Times New Roman"/>
      <w:sz w:val="21"/>
      <w:szCs w:val="21"/>
    </w:rPr>
  </w:style>
  <w:style w:type="character" w:styleId="FootnoteReference">
    <w:name w:val="footnote reference"/>
    <w:basedOn w:val="DefaultParagraphFont"/>
    <w:uiPriority w:val="99"/>
    <w:qFormat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99"/>
    <w:qFormat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Calibri Light" w:eastAsia="宋体" w:hAnsi="Calibri Light" w:cs="Times New Roman"/>
      <w:color w:val="5B9BD5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paragraph" w:customStyle="1" w:styleId="Authors">
    <w:name w:val="Authors"/>
    <w:basedOn w:val="Normal"/>
    <w:next w:val="Normal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paragraph" w:customStyle="1" w:styleId="1">
    <w:name w:val="列出段落1"/>
    <w:basedOn w:val="Normal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 w:cs="Times New Roman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="宋体" w:cs="Times New Roman"/>
      <w:kern w:val="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libri Light" w:eastAsia="宋体" w:hAnsi="Calibri Light" w:cs="Times New Roman"/>
      <w:i/>
      <w:iCs/>
      <w:color w:val="5B9BD5"/>
      <w:spacing w:val="15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Times New Roman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Pr>
      <w:rFonts w:ascii="Calibri Light" w:eastAsia="宋体" w:hAnsi="Calibri Light" w:cs="Times New Roman"/>
      <w:color w:val="323E4F"/>
      <w:spacing w:val="5"/>
      <w:kern w:val="0"/>
      <w:sz w:val="52"/>
      <w:szCs w:val="52"/>
    </w:rPr>
  </w:style>
  <w:style w:type="paragraph" w:customStyle="1" w:styleId="10">
    <w:name w:val="无间隔1"/>
    <w:basedOn w:val="Normal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0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11">
    <w:name w:val="引用1"/>
    <w:basedOn w:val="Normal"/>
    <w:next w:val="Normal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2">
    <w:name w:val="明显引用1"/>
    <w:basedOn w:val="Normal"/>
    <w:next w:val="Normal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Heading1"/>
    <w:next w:val="Normal"/>
    <w:uiPriority w:val="99"/>
    <w:semiHidden/>
    <w:qFormat/>
    <w:pPr>
      <w:outlineLvl w:val="9"/>
    </w:pPr>
  </w:style>
  <w:style w:type="paragraph" w:customStyle="1" w:styleId="Section">
    <w:name w:val="Section"/>
    <w:basedOn w:val="Normal"/>
    <w:next w:val="Normal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paragraph" w:customStyle="1" w:styleId="110">
    <w:name w:val="无间隔11"/>
    <w:basedOn w:val="Normal"/>
    <w:uiPriority w:val="1"/>
    <w:qFormat/>
    <w:pPr>
      <w:spacing w:after="200"/>
      <w:jc w:val="left"/>
    </w:pPr>
    <w:rPr>
      <w:szCs w:val="22"/>
    </w:rPr>
  </w:style>
  <w:style w:type="character" w:customStyle="1" w:styleId="QuoteChar">
    <w:name w:val="Quote Char"/>
    <w:link w:val="Quote"/>
    <w:uiPriority w:val="99"/>
    <w:locked/>
    <w:rPr>
      <w:i/>
      <w:color w:val="000000"/>
    </w:rPr>
  </w:style>
  <w:style w:type="paragraph" w:styleId="Quote">
    <w:name w:val="Quote"/>
    <w:basedOn w:val="Normal"/>
    <w:next w:val="Normal"/>
    <w:link w:val="QuoteChar"/>
    <w:uiPriority w:val="99"/>
    <w:qFormat/>
    <w:pPr>
      <w:widowControl/>
      <w:spacing w:after="200" w:line="276" w:lineRule="auto"/>
      <w:jc w:val="left"/>
    </w:pPr>
    <w:rPr>
      <w:rFonts w:eastAsiaTheme="minorEastAsia" w:cstheme="minorBidi"/>
      <w:i/>
      <w:color w:val="000000"/>
      <w:szCs w:val="28"/>
    </w:rPr>
  </w:style>
  <w:style w:type="character" w:customStyle="1" w:styleId="Char1">
    <w:name w:val="引用 Char1"/>
    <w:basedOn w:val="DefaultParagraphFont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DefaultParagraphFont"/>
    <w:uiPriority w:val="29"/>
    <w:qFormat/>
    <w:rPr>
      <w:rFonts w:ascii="Times New Roman" w:hAnsi="Times New Roman"/>
      <w:i/>
      <w:color w:val="000000"/>
      <w:sz w:val="24"/>
    </w:rPr>
  </w:style>
  <w:style w:type="character" w:customStyle="1" w:styleId="13">
    <w:name w:val="引用字符1"/>
    <w:basedOn w:val="DefaultParagraphFont"/>
    <w:uiPriority w:val="99"/>
    <w:rPr>
      <w:rFonts w:ascii="Times New Roman" w:eastAsia="宋体" w:hAnsi="Times New Roman" w:cs="Times New Roman"/>
      <w:i/>
      <w:iCs/>
      <w:color w:val="000000"/>
      <w:sz w:val="21"/>
    </w:rPr>
  </w:style>
  <w:style w:type="character" w:customStyle="1" w:styleId="IntenseQuoteChar">
    <w:name w:val="Intense Quote Char"/>
    <w:link w:val="IntenseQuote"/>
    <w:uiPriority w:val="99"/>
    <w:locked/>
    <w:rPr>
      <w:b/>
      <w:i/>
      <w:color w:val="5B9BD5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rFonts w:eastAsiaTheme="minorEastAsia" w:cstheme="minorBidi"/>
      <w:b/>
      <w:i/>
      <w:color w:val="5B9BD5"/>
      <w:szCs w:val="28"/>
    </w:rPr>
  </w:style>
  <w:style w:type="character" w:customStyle="1" w:styleId="Char10">
    <w:name w:val="明显引用 Char1"/>
    <w:basedOn w:val="DefaultParagraphFont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DefaultParagraphFont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4">
    <w:name w:val="明显引用字符1"/>
    <w:basedOn w:val="DefaultParagraphFont"/>
    <w:uiPriority w:val="99"/>
    <w:rPr>
      <w:rFonts w:ascii="Times New Roman" w:eastAsia="宋体" w:hAnsi="Times New Roman" w:cs="Times New Roman"/>
      <w:b/>
      <w:bCs/>
      <w:i/>
      <w:iCs/>
      <w:color w:val="4F81BD"/>
      <w:sz w:val="21"/>
    </w:rPr>
  </w:style>
  <w:style w:type="character" w:customStyle="1" w:styleId="15">
    <w:name w:val="不明显强调1"/>
    <w:uiPriority w:val="99"/>
    <w:qFormat/>
    <w:rPr>
      <w:i/>
    </w:rPr>
  </w:style>
  <w:style w:type="character" w:customStyle="1" w:styleId="16">
    <w:name w:val="明显强调1"/>
    <w:uiPriority w:val="99"/>
    <w:qFormat/>
    <w:rPr>
      <w:b/>
      <w:i/>
      <w:color w:val="ED7D31"/>
      <w:spacing w:val="10"/>
    </w:rPr>
  </w:style>
  <w:style w:type="character" w:customStyle="1" w:styleId="17">
    <w:name w:val="不明显参考1"/>
    <w:uiPriority w:val="99"/>
    <w:qFormat/>
    <w:rPr>
      <w:b/>
    </w:rPr>
  </w:style>
  <w:style w:type="character" w:customStyle="1" w:styleId="18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9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ListParagraph">
    <w:name w:val="List Paragraph"/>
    <w:basedOn w:val="Normal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NoSpacing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SubtleEmphasis1">
    <w:name w:val="Subtle Emphasis1"/>
    <w:basedOn w:val="DefaultParagraphFont"/>
    <w:uiPriority w:val="99"/>
    <w:qFormat/>
    <w:rPr>
      <w:i/>
      <w:color w:val="808080"/>
    </w:rPr>
  </w:style>
  <w:style w:type="character" w:customStyle="1" w:styleId="IntenseEmphasis1">
    <w:name w:val="Intense Emphasis1"/>
    <w:basedOn w:val="DefaultParagraphFont"/>
    <w:uiPriority w:val="99"/>
    <w:qFormat/>
    <w:rPr>
      <w:b/>
      <w:i/>
      <w:color w:val="5B9BD5"/>
    </w:rPr>
  </w:style>
  <w:style w:type="character" w:customStyle="1" w:styleId="SubtleReference1">
    <w:name w:val="Subtle Reference1"/>
    <w:basedOn w:val="DefaultParagraphFont"/>
    <w:uiPriority w:val="99"/>
    <w:qFormat/>
    <w:rPr>
      <w:smallCaps/>
      <w:color w:val="ED7D31"/>
      <w:u w:val="single"/>
    </w:rPr>
  </w:style>
  <w:style w:type="character" w:customStyle="1" w:styleId="IntenseReference1">
    <w:name w:val="Intense Reference1"/>
    <w:basedOn w:val="DefaultParagraphFont"/>
    <w:uiPriority w:val="99"/>
    <w:qFormat/>
    <w:rPr>
      <w:b/>
      <w:smallCaps/>
      <w:color w:val="ED7D31"/>
      <w:spacing w:val="5"/>
      <w:u w:val="single"/>
    </w:rPr>
  </w:style>
  <w:style w:type="character" w:customStyle="1" w:styleId="BookTitle1">
    <w:name w:val="Book Title1"/>
    <w:basedOn w:val="DefaultParagraphFont"/>
    <w:uiPriority w:val="99"/>
    <w:qFormat/>
    <w:rPr>
      <w:b/>
      <w:smallCaps/>
      <w:spacing w:val="5"/>
    </w:rPr>
  </w:style>
  <w:style w:type="paragraph" w:customStyle="1" w:styleId="TOCHeading1">
    <w:name w:val="TOC Heading1"/>
    <w:basedOn w:val="Heading1"/>
    <w:next w:val="Normal"/>
    <w:uiPriority w:val="99"/>
    <w:qFormat/>
    <w:pPr>
      <w:outlineLvl w:val="9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Calibri" w:eastAsia="宋体" w:hAnsi="Calibri" w:cs="Times New Roman"/>
    </w:rPr>
  </w:style>
  <w:style w:type="character" w:customStyle="1" w:styleId="Char11">
    <w:name w:val="批注文字 Char1"/>
    <w:basedOn w:val="DefaultParagraphFont"/>
    <w:uiPriority w:val="99"/>
    <w:semiHidden/>
    <w:qFormat/>
    <w:rPr>
      <w:rFonts w:eastAsia="宋体" w:cs="Times New Roman"/>
      <w:szCs w:val="24"/>
    </w:rPr>
  </w:style>
  <w:style w:type="character" w:customStyle="1" w:styleId="CommentTextChar1">
    <w:name w:val="Comment Text Char1"/>
    <w:basedOn w:val="DefaultParagraphFont"/>
    <w:uiPriority w:val="99"/>
    <w:semiHidden/>
    <w:qFormat/>
    <w:rPr>
      <w:rFonts w:ascii="Times New Roman" w:hAnsi="Times New Roman"/>
      <w:sz w:val="24"/>
    </w:rPr>
  </w:style>
  <w:style w:type="character" w:customStyle="1" w:styleId="1a">
    <w:name w:val="注释文本字符1"/>
    <w:basedOn w:val="DefaultParagraphFont"/>
    <w:uiPriority w:val="99"/>
    <w:semiHidden/>
    <w:qFormat/>
    <w:rPr>
      <w:rFonts w:ascii="Times New Roman" w:eastAsia="宋体" w:hAnsi="Times New Roman" w:cs="Times New Roman"/>
      <w:sz w:val="21"/>
    </w:rPr>
  </w:style>
  <w:style w:type="character" w:customStyle="1" w:styleId="CommentSubjectChar">
    <w:name w:val="Comment Subject Char"/>
    <w:basedOn w:val="Char11"/>
    <w:link w:val="CommentSubject"/>
    <w:uiPriority w:val="99"/>
    <w:semiHidden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Char12">
    <w:name w:val="批注框文本 Char1"/>
    <w:basedOn w:val="DefaultParagraphFont"/>
    <w:uiPriority w:val="99"/>
    <w:semiHidden/>
    <w:qFormat/>
    <w:rPr>
      <w:rFonts w:ascii="Verdana" w:eastAsia="微软雅黑" w:hAnsi="Verdana" w:cs="Times New Roman"/>
      <w:kern w:val="0"/>
      <w:sz w:val="18"/>
      <w:szCs w:val="18"/>
      <w:lang w:eastAsia="en-US"/>
    </w:rPr>
  </w:style>
  <w:style w:type="character" w:customStyle="1" w:styleId="HTMLChar1">
    <w:name w:val="HTML 预设格式 Char1"/>
    <w:basedOn w:val="DefaultParagraphFont"/>
    <w:uiPriority w:val="99"/>
    <w:semiHidden/>
    <w:rPr>
      <w:rFonts w:ascii="Courier New" w:eastAsia="微软雅黑" w:hAnsi="Courier New" w:cs="Courier New"/>
      <w:kern w:val="0"/>
      <w:sz w:val="20"/>
      <w:szCs w:val="20"/>
      <w:lang w:eastAsia="en-US"/>
    </w:rPr>
  </w:style>
  <w:style w:type="paragraph" w:customStyle="1" w:styleId="p0">
    <w:name w:val="p0"/>
    <w:basedOn w:val="Normal"/>
    <w:uiPriority w:val="99"/>
    <w:qFormat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Normal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b">
    <w:name w:val="网格型1"/>
    <w:uiPriority w:val="99"/>
    <w:qFormat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="宋体" w:cs="Times New Roman"/>
      <w:sz w:val="18"/>
      <w:szCs w:val="18"/>
    </w:rPr>
  </w:style>
  <w:style w:type="paragraph" w:customStyle="1" w:styleId="a">
    <w:name w:val="默认"/>
    <w:rsid w:val="00F741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Helvetica Neue" w:hAnsi="Arial Unicode MS" w:cs="Arial Unicode MS" w:hint="eastAsia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E2D147-5988-40E4-9181-CC5FB98D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Ada Chen</cp:lastModifiedBy>
  <cp:revision>3</cp:revision>
  <dcterms:created xsi:type="dcterms:W3CDTF">2018-12-12T01:45:00Z</dcterms:created>
  <dcterms:modified xsi:type="dcterms:W3CDTF">2018-12-12T02:04:00Z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