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80"/>
        <w:jc w:val="center"/>
      </w:pPr>
      <w:r>
        <w:rPr>
          <w:b/>
          <w:bCs/>
          <w:caps/>
          <w:color w:val="1F3864"/>
          <w:sz w:val="36"/>
          <w:szCs w:val="36"/>
        </w:rPr>
        <w:t xml:space="preserve">MODERN PHYSICS LABORATORY</w:t>
      </w:r>
    </w:p>
    <w:p>
      <w:pPr>
        <w:spacing w:before="0" w:after="200"/>
        <w:jc w:val="center"/>
      </w:pPr>
      <w:r>
        <w:rPr>
          <w:b/>
          <w:bCs/>
          <w:color w:val="2E5FA3"/>
          <w:sz w:val="30"/>
          <w:szCs w:val="30"/>
        </w:rPr>
        <w:t xml:space="preserve">Experiment: Determination of Specific Charge of the Electron</w:t>
      </w:r>
    </w:p>
    <w:p>
      <w:pPr>
        <w:spacing w:before="0" w:after="80"/>
        <w:jc w:val="center"/>
      </w:pPr>
      <w:r>
        <w:rPr>
          <w:i/>
          <w:iCs/>
          <w:color w:val="444444"/>
          <w:sz w:val="24"/>
          <w:szCs w:val="24"/>
        </w:rPr>
        <w:t xml:space="preserve">e/m Ratio Using the Helmholtz Coil and Electron Beam Tube</w:t>
      </w:r>
    </w:p>
    <w:p>
      <w:pPr>
        <w:pBdr>
          <w:bottom w:val="single" w:color="2E5FA3"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color w:val="2E5FA3"/>
                <w:sz w:val="20"/>
                <w:szCs w:val="20"/>
              </w:rPr>
              <w:t xml:space="preserve">Course:</w:t>
            </w:r>
          </w:p>
          <w:p>
            <w:r>
              <w:rPr>
                <w:sz w:val="20"/>
                <w:szCs w:val="20"/>
              </w:rPr>
              <w:t xml:space="preserve">PHYS 305 / Modern Physics Lab</w:t>
            </w:r>
          </w:p>
          <w:p>
            <w:pPr>
              <w:spacing w:before="60" w:after="0"/>
            </w:pPr>
            <w:r>
              <w:t xml:space="preserve"/>
            </w:r>
          </w:p>
          <w:p>
            <w:r>
              <w:rPr>
                <w:b/>
                <w:bCs/>
                <w:color w:val="2E5FA3"/>
                <w:sz w:val="20"/>
                <w:szCs w:val="20"/>
              </w:rPr>
              <w:t xml:space="preserve">Experiment No.:</w:t>
            </w:r>
          </w:p>
          <w:p>
            <w:r>
              <w:rPr>
                <w:sz w:val="20"/>
                <w:szCs w:val="20"/>
              </w:rPr>
              <w:t xml:space="preserve">______</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b/>
                <w:bCs/>
                <w:color w:val="2E5FA3"/>
                <w:sz w:val="20"/>
                <w:szCs w:val="20"/>
              </w:rPr>
              <w:t xml:space="preserve">Student Name:</w:t>
            </w:r>
          </w:p>
          <w:p>
            <w:pPr>
              <w:jc w:val="center"/>
            </w:pPr>
            <w:r>
              <w:rPr>
                <w:sz w:val="20"/>
                <w:szCs w:val="20"/>
              </w:rPr>
              <w:t xml:space="preserve">____________________________</w:t>
            </w:r>
          </w:p>
          <w:p>
            <w:pPr>
              <w:spacing w:before="60" w:after="0"/>
            </w:pPr>
            <w:r>
              <w:t xml:space="preserve"/>
            </w:r>
          </w:p>
          <w:p>
            <w:pPr>
              <w:jc w:val="center"/>
            </w:pPr>
            <w:r>
              <w:rPr>
                <w:b/>
                <w:bCs/>
                <w:color w:val="2E5FA3"/>
                <w:sz w:val="20"/>
                <w:szCs w:val="20"/>
              </w:rPr>
              <w:t xml:space="preserve">Student ID:</w:t>
            </w:r>
          </w:p>
          <w:p>
            <w:pPr>
              <w:jc w:val="center"/>
            </w:pPr>
            <w:r>
              <w:rPr>
                <w:sz w:val="20"/>
                <w:szCs w:val="20"/>
              </w:rPr>
              <w:t xml:space="preserve">____________________________</w:t>
            </w:r>
          </w:p>
          <w:p>
            <w:pPr>
              <w:spacing w:before="60" w:after="0"/>
            </w:pPr>
            <w:r>
              <w:t xml:space="preserve"/>
            </w:r>
          </w:p>
          <w:p>
            <w:pPr>
              <w:jc w:val="center"/>
            </w:pPr>
            <w:r>
              <w:rPr>
                <w:b/>
                <w:bCs/>
                <w:color w:val="2E5FA3"/>
                <w:sz w:val="20"/>
                <w:szCs w:val="20"/>
              </w:rPr>
              <w:t xml:space="preserve">Lab Partner:</w:t>
            </w:r>
          </w:p>
          <w:p>
            <w:pPr>
              <w:jc w:val="center"/>
            </w:pPr>
            <w:r>
              <w:rPr>
                <w:sz w:val="20"/>
                <w:szCs w:val="20"/>
              </w:rPr>
              <w:t xml:space="preserve">____________________________</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b/>
                <w:bCs/>
                <w:color w:val="2E5FA3"/>
                <w:sz w:val="20"/>
                <w:szCs w:val="20"/>
              </w:rPr>
              <w:t xml:space="preserve">Date:</w:t>
            </w:r>
          </w:p>
          <w:p>
            <w:pPr>
              <w:jc w:val="right"/>
            </w:pPr>
            <w:r>
              <w:rPr>
                <w:sz w:val="20"/>
                <w:szCs w:val="20"/>
              </w:rPr>
              <w:t xml:space="preserve">____________________</w:t>
            </w:r>
          </w:p>
          <w:p>
            <w:pPr>
              <w:spacing w:before="60" w:after="0"/>
            </w:pPr>
            <w:r>
              <w:t xml:space="preserve"/>
            </w:r>
          </w:p>
          <w:p>
            <w:pPr>
              <w:jc w:val="right"/>
            </w:pPr>
            <w:r>
              <w:rPr>
                <w:b/>
                <w:bCs/>
                <w:color w:val="2E5FA3"/>
                <w:sz w:val="20"/>
                <w:szCs w:val="20"/>
              </w:rPr>
              <w:t xml:space="preserve">Section:</w:t>
            </w:r>
          </w:p>
          <w:p>
            <w:pPr>
              <w:jc w:val="right"/>
            </w:pPr>
            <w:r>
              <w:rPr>
                <w:sz w:val="20"/>
                <w:szCs w:val="20"/>
              </w:rPr>
              <w:t xml:space="preserve">____________________</w:t>
            </w:r>
          </w:p>
          <w:p>
            <w:pPr>
              <w:spacing w:before="60" w:after="0"/>
            </w:pPr>
            <w:r>
              <w:t xml:space="preserve"/>
            </w:r>
          </w:p>
          <w:p>
            <w:pPr>
              <w:jc w:val="right"/>
            </w:pPr>
            <w:r>
              <w:rPr>
                <w:b/>
                <w:bCs/>
                <w:color w:val="2E5FA3"/>
                <w:sz w:val="20"/>
                <w:szCs w:val="20"/>
              </w:rPr>
              <w:t xml:space="preserve">Instructor:</w:t>
            </w:r>
          </w:p>
          <w:p>
            <w:pPr>
              <w:jc w:val="right"/>
            </w:pPr>
            <w:r>
              <w:rPr>
                <w:sz w:val="20"/>
                <w:szCs w:val="20"/>
              </w:rPr>
              <w:t xml:space="preserve">Dr. S Karna</w:t>
            </w:r>
          </w:p>
        </w:tc>
      </w:tr>
    </w:tbl>
    <w:p>
      <w:pPr>
        <w:pBdr>
          <w:bottom w:val="single" w:color="2E5FA3" w:sz="4" w:space="1"/>
        </w:pBdr>
        <w:spacing w:before="160" w:after="160"/>
      </w:pPr>
      <w:r>
        <w:t xml:space="preserve"/>
      </w:r>
    </w:p>
    <w:p>
      <w:pPr>
        <w:spacing w:before="100" w:after="0"/>
      </w:pPr>
      <w:r>
        <w:t xml:space="preserve"/>
      </w:r>
    </w:p>
    <w:p>
      <w:pPr>
        <w:pStyle w:val="Heading1"/>
        <w:spacing w:before="360" w:after="160"/>
      </w:pPr>
      <w:r>
        <w:rPr>
          <w:b/>
          <w:bCs/>
          <w:color w:val="1F3864"/>
          <w:sz w:val="28"/>
          <w:szCs w:val="28"/>
        </w:rPr>
        <w:t xml:space="preserve">1. Introduction and Background</w:t>
      </w:r>
    </w:p>
    <w:p>
      <w:pPr>
        <w:spacing w:before="80" w:after="80"/>
        <w:jc w:val="both"/>
      </w:pPr>
      <w:r>
        <w:rPr>
          <w:sz w:val="22"/>
          <w:szCs w:val="22"/>
        </w:rPr>
        <w:t xml:space="preserve">The determination of the specific charge of the electron — defined as the ratio of the electron's charge to its mass (e/m) — is one of the most fundamental experiments in modern atomic physics. This ratio was first accurately measured by J.J. Thomson in 1897, providing crucial evidence for the existence of the electron as a subatomic particle and laying the foundation for the atomic model.</w:t>
      </w:r>
    </w:p>
    <w:p>
      <w:pPr>
        <w:spacing w:before="80" w:after="0"/>
      </w:pPr>
      <w:r>
        <w:t xml:space="preserve"/>
      </w:r>
    </w:p>
    <w:p>
      <w:pPr>
        <w:spacing w:before="80" w:after="80"/>
        <w:jc w:val="both"/>
      </w:pPr>
      <w:r>
        <w:rPr>
          <w:sz w:val="22"/>
          <w:szCs w:val="22"/>
        </w:rPr>
        <w:t xml:space="preserve">The accepted value of the specific charge of the electron 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2E5FA3" w:sz="2"/>
              <w:left w:val="single" w:color="2E5FA3" w:sz="2"/>
              <w:bottom w:val="single" w:color="2E5FA3" w:sz="2"/>
              <w:right w:val="single" w:color="2E5FA3" w:sz="2"/>
            </w:tcBorders>
            <w:shd w:fill="EBF3FB" w:val="clear"/>
            <w:tcMar>
              <w:top w:type="dxa" w:w="100"/>
              <w:left w:type="dxa" w:w="200"/>
              <w:bottom w:type="dxa" w:w="100"/>
              <w:right w:type="dxa" w:w="200"/>
            </w:tcMar>
            <w:vAlign w:val="center"/>
          </w:tcPr>
          <w:p>
            <w:pPr>
              <w:jc w:val="center"/>
            </w:pPr>
            <w:r>
              <w:rPr>
                <w:rFonts w:ascii="Courier New" w:cs="Courier New" w:eastAsia="Courier New" w:hAnsi="Courier New"/>
                <w:b/>
                <w:bCs/>
                <w:sz w:val="24"/>
                <w:szCs w:val="24"/>
              </w:rPr>
              <w:t xml:space="preserve">e/m = 1.758820 × 10¹¹ C/kg</w:t>
            </w:r>
          </w:p>
        </w:tc>
        <w:tc>
          <w:tcPr>
            <w:tcBorders>
              <w:top w:val="single" w:color="2E5FA3" w:sz="2"/>
              <w:left w:val="single" w:color="2E5FA3" w:sz="2"/>
              <w:bottom w:val="single" w:color="2E5FA3" w:sz="2"/>
              <w:right w:val="single" w:color="2E5FA3" w:sz="2"/>
            </w:tcBorders>
            <w:shd w:fill="D6E4F0" w:val="clear"/>
            <w:tcMar>
              <w:top w:type="dxa" w:w="100"/>
              <w:left w:type="dxa" w:w="120"/>
              <w:bottom w:type="dxa" w:w="100"/>
              <w:right w:type="dxa" w:w="120"/>
            </w:tcMar>
            <w:vAlign w:val="center"/>
          </w:tcPr>
          <w:p>
            <w:pPr>
              <w:jc w:val="center"/>
            </w:pPr>
            <w:r>
              <w:rPr>
                <w:i/>
                <w:iCs/>
                <w:color w:val="444444"/>
                <w:sz w:val="20"/>
                <w:szCs w:val="20"/>
              </w:rPr>
              <w:t xml:space="preserve">Accepted CODATA Value</w:t>
            </w:r>
          </w:p>
        </w:tc>
      </w:tr>
    </w:tbl>
    <w:p>
      <w:pPr>
        <w:spacing w:before="80" w:after="0"/>
      </w:pPr>
      <w:r>
        <w:t xml:space="preserve"/>
      </w:r>
    </w:p>
    <w:p>
      <w:pPr>
        <w:spacing w:before="80" w:after="80"/>
        <w:jc w:val="both"/>
      </w:pPr>
      <w:r>
        <w:rPr>
          <w:sz w:val="22"/>
          <w:szCs w:val="22"/>
        </w:rPr>
        <w:t xml:space="preserve">In this experiment, we exploit the Lorentz force acting on electrons moving through a magnetic field to curve their trajectories into circular paths. By measuring the radius of the circular orbit as a function of the accelerating voltage and the magnetic field strength, we can calculate e/m with reasonable precision using only classical electromagnetic theory.</w:t>
      </w:r>
    </w:p>
    <w:p>
      <w:pPr>
        <w:spacing w:before="100" w:after="0"/>
      </w:pPr>
      <w:r>
        <w:t xml:space="preserve"/>
      </w:r>
    </w:p>
    <w:p>
      <w:pPr>
        <w:pStyle w:val="Heading2"/>
        <w:spacing w:before="280" w:after="120"/>
      </w:pPr>
      <w:r>
        <w:rPr>
          <w:b/>
          <w:bCs/>
          <w:color w:val="2E5FA3"/>
          <w:sz w:val="24"/>
          <w:szCs w:val="24"/>
        </w:rPr>
        <w:t xml:space="preserve">1.1 Historical Context</w:t>
      </w:r>
    </w:p>
    <w:p>
      <w:pPr>
        <w:spacing w:before="80" w:after="80"/>
        <w:jc w:val="both"/>
      </w:pPr>
      <w:r>
        <w:rPr>
          <w:sz w:val="22"/>
          <w:szCs w:val="22"/>
        </w:rPr>
        <w:t xml:space="preserve">J.J. Thomson's 1897 cathode ray tube experiment was revolutionary because it demonstrated that cathode rays were streams of identical, negatively charged particles — what we now call electrons. Thomson's original technique used both electric and magnetic fields to deflect and balance the beam. The e/m method using a circular orbit in a magnetic field was refined in subsequent decades and is today a standard undergraduate laboratory experiment.</w:t>
      </w:r>
    </w:p>
    <w:p>
      <w:pPr>
        <w:spacing w:before="80" w:after="80"/>
        <w:jc w:val="both"/>
      </w:pPr>
      <w:r>
        <w:rPr>
          <w:sz w:val="22"/>
          <w:szCs w:val="22"/>
        </w:rPr>
        <w:t xml:space="preserve">The experiment belongs to the broader tradition of precision measurements that define the methodology of modern physics: careful control of experimental variables, systematic error analysis, and comparison with accepted constants.</w:t>
      </w:r>
    </w:p>
    <w:p>
      <w:pPr>
        <w:spacing w:before="100" w:after="0"/>
      </w:pPr>
      <w:r>
        <w:t xml:space="preserve"/>
      </w:r>
    </w:p>
    <w:p>
      <w:pPr>
        <w:pStyle w:val="Heading1"/>
        <w:spacing w:before="360" w:after="160"/>
      </w:pPr>
      <w:r>
        <w:rPr>
          <w:b/>
          <w:bCs/>
          <w:color w:val="1F3864"/>
          <w:sz w:val="28"/>
          <w:szCs w:val="28"/>
        </w:rPr>
        <w:t xml:space="preserve">2. Theoretical Framework</w:t>
      </w:r>
    </w:p>
    <w:p>
      <w:pPr>
        <w:pStyle w:val="Heading2"/>
        <w:spacing w:before="280" w:after="120"/>
      </w:pPr>
      <w:r>
        <w:rPr>
          <w:b/>
          <w:bCs/>
          <w:color w:val="2E5FA3"/>
          <w:sz w:val="24"/>
          <w:szCs w:val="24"/>
        </w:rPr>
        <w:t xml:space="preserve">2.1 Electron Acceleration</w:t>
      </w:r>
    </w:p>
    <w:p>
      <w:pPr>
        <w:spacing w:before="80" w:after="80"/>
        <w:jc w:val="both"/>
      </w:pPr>
      <w:r>
        <w:rPr>
          <w:sz w:val="22"/>
          <w:szCs w:val="22"/>
        </w:rPr>
        <w:t xml:space="preserve">Electrons are emitted thermionically from a heated cathode and accelerated through a potential difference V (the accelerating voltage). Assuming the electrons start from rest, conservation of energy gives: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2E5FA3" w:sz="2"/>
              <w:left w:val="single" w:color="2E5FA3" w:sz="2"/>
              <w:bottom w:val="single" w:color="2E5FA3" w:sz="2"/>
              <w:right w:val="single" w:color="2E5FA3" w:sz="2"/>
            </w:tcBorders>
            <w:shd w:fill="EBF3FB" w:val="clear"/>
            <w:tcMar>
              <w:top w:type="dxa" w:w="100"/>
              <w:left w:type="dxa" w:w="200"/>
              <w:bottom w:type="dxa" w:w="100"/>
              <w:right w:type="dxa" w:w="200"/>
            </w:tcMar>
            <w:vAlign w:val="center"/>
          </w:tcPr>
          <w:p>
            <w:pPr>
              <w:jc w:val="center"/>
            </w:pPr>
            <w:r>
              <w:rPr>
                <w:rFonts w:ascii="Courier New" w:cs="Courier New" w:eastAsia="Courier New" w:hAnsi="Courier New"/>
                <w:b/>
                <w:bCs/>
                <w:sz w:val="24"/>
                <w:szCs w:val="24"/>
              </w:rPr>
              <w:t xml:space="preserve">eV = ½mv²  →  v = √(2eV/m)</w:t>
            </w:r>
          </w:p>
        </w:tc>
        <w:tc>
          <w:tcPr>
            <w:tcBorders>
              <w:top w:val="single" w:color="2E5FA3" w:sz="2"/>
              <w:left w:val="single" w:color="2E5FA3" w:sz="2"/>
              <w:bottom w:val="single" w:color="2E5FA3" w:sz="2"/>
              <w:right w:val="single" w:color="2E5FA3" w:sz="2"/>
            </w:tcBorders>
            <w:shd w:fill="D6E4F0" w:val="clear"/>
            <w:tcMar>
              <w:top w:type="dxa" w:w="100"/>
              <w:left w:type="dxa" w:w="120"/>
              <w:bottom w:type="dxa" w:w="100"/>
              <w:right w:type="dxa" w:w="120"/>
            </w:tcMar>
            <w:vAlign w:val="center"/>
          </w:tcPr>
          <w:p>
            <w:pPr>
              <w:jc w:val="center"/>
            </w:pPr>
            <w:r>
              <w:rPr>
                <w:i/>
                <w:iCs/>
                <w:color w:val="444444"/>
                <w:sz w:val="20"/>
                <w:szCs w:val="20"/>
              </w:rPr>
              <w:t xml:space="preserve">Kinetic energy from accelerating voltage</w:t>
            </w:r>
          </w:p>
        </w:tc>
      </w:tr>
    </w:tbl>
    <w:p>
      <w:pPr>
        <w:spacing w:before="80" w:after="0"/>
      </w:pPr>
      <w:r>
        <w:t xml:space="preserve"/>
      </w:r>
    </w:p>
    <w:p>
      <w:pPr>
        <w:spacing w:before="80" w:after="80"/>
        <w:jc w:val="both"/>
      </w:pPr>
      <w:r>
        <w:rPr>
          <w:sz w:val="22"/>
          <w:szCs w:val="22"/>
        </w:rPr>
        <w:t xml:space="preserve">Here, e is the magnitude of the electron charge, m is the electron mass, and v is the speed of the electrons upon exiting the electron gun. This speed is determined by the accelerating voltage, which is a directly controllable experimental parameter.</w:t>
      </w:r>
    </w:p>
    <w:p>
      <w:pPr>
        <w:spacing w:before="100" w:after="0"/>
      </w:pPr>
      <w:r>
        <w:t xml:space="preserve"/>
      </w:r>
    </w:p>
    <w:p>
      <w:pPr>
        <w:pStyle w:val="Heading2"/>
        <w:spacing w:before="280" w:after="120"/>
      </w:pPr>
      <w:r>
        <w:rPr>
          <w:b/>
          <w:bCs/>
          <w:color w:val="2E5FA3"/>
          <w:sz w:val="24"/>
          <w:szCs w:val="24"/>
        </w:rPr>
        <w:t xml:space="preserve">2.2 Circular Motion in a Magnetic Field</w:t>
      </w:r>
    </w:p>
    <w:p>
      <w:pPr>
        <w:spacing w:before="80" w:after="80"/>
        <w:jc w:val="both"/>
      </w:pPr>
      <w:r>
        <w:rPr>
          <w:sz w:val="22"/>
          <w:szCs w:val="22"/>
        </w:rPr>
        <w:t xml:space="preserve">When an electron with velocity v enters a region of uniform magnetic field B directed perpendicular to its velocity, it experiences a Lorentz force: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2E5FA3" w:sz="2"/>
              <w:left w:val="single" w:color="2E5FA3" w:sz="2"/>
              <w:bottom w:val="single" w:color="2E5FA3" w:sz="2"/>
              <w:right w:val="single" w:color="2E5FA3" w:sz="2"/>
            </w:tcBorders>
            <w:shd w:fill="EBF3FB" w:val="clear"/>
            <w:tcMar>
              <w:top w:type="dxa" w:w="100"/>
              <w:left w:type="dxa" w:w="200"/>
              <w:bottom w:type="dxa" w:w="100"/>
              <w:right w:type="dxa" w:w="200"/>
            </w:tcMar>
            <w:vAlign w:val="center"/>
          </w:tcPr>
          <w:p>
            <w:pPr>
              <w:jc w:val="center"/>
            </w:pPr>
            <w:r>
              <w:rPr>
                <w:rFonts w:ascii="Courier New" w:cs="Courier New" w:eastAsia="Courier New" w:hAnsi="Courier New"/>
                <w:b/>
                <w:bCs/>
                <w:sz w:val="24"/>
                <w:szCs w:val="24"/>
              </w:rPr>
              <w:t xml:space="preserve">F = evB</w:t>
            </w:r>
          </w:p>
        </w:tc>
        <w:tc>
          <w:tcPr>
            <w:tcBorders>
              <w:top w:val="single" w:color="2E5FA3" w:sz="2"/>
              <w:left w:val="single" w:color="2E5FA3" w:sz="2"/>
              <w:bottom w:val="single" w:color="2E5FA3" w:sz="2"/>
              <w:right w:val="single" w:color="2E5FA3" w:sz="2"/>
            </w:tcBorders>
            <w:shd w:fill="D6E4F0" w:val="clear"/>
            <w:tcMar>
              <w:top w:type="dxa" w:w="100"/>
              <w:left w:type="dxa" w:w="120"/>
              <w:bottom w:type="dxa" w:w="100"/>
              <w:right w:type="dxa" w:w="120"/>
            </w:tcMar>
            <w:vAlign w:val="center"/>
          </w:tcPr>
          <w:p>
            <w:pPr>
              <w:jc w:val="center"/>
            </w:pPr>
            <w:r>
              <w:rPr>
                <w:i/>
                <w:iCs/>
                <w:color w:val="444444"/>
                <w:sz w:val="20"/>
                <w:szCs w:val="20"/>
              </w:rPr>
              <w:t xml:space="preserve">Lorentz magnetic force</w:t>
            </w:r>
          </w:p>
        </w:tc>
      </w:tr>
    </w:tbl>
    <w:p>
      <w:pPr>
        <w:spacing w:before="80" w:after="0"/>
      </w:pPr>
      <w:r>
        <w:t xml:space="preserve"/>
      </w:r>
    </w:p>
    <w:p>
      <w:pPr>
        <w:spacing w:before="80" w:after="80"/>
        <w:jc w:val="both"/>
      </w:pPr>
      <w:r>
        <w:rPr>
          <w:sz w:val="22"/>
          <w:szCs w:val="22"/>
        </w:rPr>
        <w:t xml:space="preserve">This force is always perpendicular to the velocity vector, providing centripetal acceleration and causing the electron to move in a circular path. Equating the Lorentz force to the centripetal force: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2E5FA3" w:sz="2"/>
              <w:left w:val="single" w:color="2E5FA3" w:sz="2"/>
              <w:bottom w:val="single" w:color="2E5FA3" w:sz="2"/>
              <w:right w:val="single" w:color="2E5FA3" w:sz="2"/>
            </w:tcBorders>
            <w:shd w:fill="EBF3FB" w:val="clear"/>
            <w:tcMar>
              <w:top w:type="dxa" w:w="100"/>
              <w:left w:type="dxa" w:w="200"/>
              <w:bottom w:type="dxa" w:w="100"/>
              <w:right w:type="dxa" w:w="200"/>
            </w:tcMar>
            <w:vAlign w:val="center"/>
          </w:tcPr>
          <w:p>
            <w:pPr>
              <w:jc w:val="center"/>
            </w:pPr>
            <w:r>
              <w:rPr>
                <w:rFonts w:ascii="Courier New" w:cs="Courier New" w:eastAsia="Courier New" w:hAnsi="Courier New"/>
                <w:b/>
                <w:bCs/>
                <w:sz w:val="24"/>
                <w:szCs w:val="24"/>
              </w:rPr>
              <w:t xml:space="preserve">evB = mv²/r  →  r = mv/(eB)</w:t>
            </w:r>
          </w:p>
        </w:tc>
        <w:tc>
          <w:tcPr>
            <w:tcBorders>
              <w:top w:val="single" w:color="2E5FA3" w:sz="2"/>
              <w:left w:val="single" w:color="2E5FA3" w:sz="2"/>
              <w:bottom w:val="single" w:color="2E5FA3" w:sz="2"/>
              <w:right w:val="single" w:color="2E5FA3" w:sz="2"/>
            </w:tcBorders>
            <w:shd w:fill="D6E4F0" w:val="clear"/>
            <w:tcMar>
              <w:top w:type="dxa" w:w="100"/>
              <w:left w:type="dxa" w:w="120"/>
              <w:bottom w:type="dxa" w:w="100"/>
              <w:right w:type="dxa" w:w="120"/>
            </w:tcMar>
            <w:vAlign w:val="center"/>
          </w:tcPr>
          <w:p>
            <w:pPr>
              <w:jc w:val="center"/>
            </w:pPr>
            <w:r>
              <w:rPr>
                <w:i/>
                <w:iCs/>
                <w:color w:val="444444"/>
                <w:sz w:val="20"/>
                <w:szCs w:val="20"/>
              </w:rPr>
              <w:t xml:space="preserve">Circular orbit condition</w:t>
            </w:r>
          </w:p>
        </w:tc>
      </w:tr>
    </w:tbl>
    <w:p>
      <w:pPr>
        <w:spacing w:before="80" w:after="0"/>
      </w:pPr>
      <w:r>
        <w:t xml:space="preserve"/>
      </w:r>
    </w:p>
    <w:p>
      <w:pPr>
        <w:spacing w:before="80" w:after="80"/>
        <w:jc w:val="both"/>
      </w:pPr>
      <w:r>
        <w:rPr>
          <w:sz w:val="22"/>
          <w:szCs w:val="22"/>
        </w:rPr>
        <w:t xml:space="preserve">where r is the radius of the circular orbit. This relationship is central to the experiment.</w:t>
      </w:r>
    </w:p>
    <w:p>
      <w:pPr>
        <w:spacing w:before="100" w:after="0"/>
      </w:pPr>
      <w:r>
        <w:t xml:space="preserve"/>
      </w:r>
    </w:p>
    <w:p>
      <w:pPr>
        <w:pStyle w:val="Heading2"/>
        <w:spacing w:before="280" w:after="120"/>
      </w:pPr>
      <w:r>
        <w:rPr>
          <w:b/>
          <w:bCs/>
          <w:color w:val="2E5FA3"/>
          <w:sz w:val="24"/>
          <w:szCs w:val="24"/>
        </w:rPr>
        <w:t xml:space="preserve">2.3 Working Equation for e/m</w:t>
      </w:r>
    </w:p>
    <w:p>
      <w:pPr>
        <w:spacing w:before="80" w:after="80"/>
        <w:jc w:val="both"/>
      </w:pPr>
      <w:r>
        <w:rPr>
          <w:sz w:val="22"/>
          <w:szCs w:val="22"/>
        </w:rPr>
        <w:t xml:space="preserve">Substituting the expression for v from Section 2.1 into the orbit equation: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2E5FA3" w:sz="2"/>
              <w:left w:val="single" w:color="2E5FA3" w:sz="2"/>
              <w:bottom w:val="single" w:color="2E5FA3" w:sz="2"/>
              <w:right w:val="single" w:color="2E5FA3" w:sz="2"/>
            </w:tcBorders>
            <w:shd w:fill="EBF3FB" w:val="clear"/>
            <w:tcMar>
              <w:top w:type="dxa" w:w="100"/>
              <w:left w:type="dxa" w:w="200"/>
              <w:bottom w:type="dxa" w:w="100"/>
              <w:right w:type="dxa" w:w="200"/>
            </w:tcMar>
            <w:vAlign w:val="center"/>
          </w:tcPr>
          <w:p>
            <w:pPr>
              <w:jc w:val="center"/>
            </w:pPr>
            <w:r>
              <w:rPr>
                <w:rFonts w:ascii="Courier New" w:cs="Courier New" w:eastAsia="Courier New" w:hAnsi="Courier New"/>
                <w:b/>
                <w:bCs/>
                <w:sz w:val="24"/>
                <w:szCs w:val="24"/>
              </w:rPr>
              <w:t xml:space="preserve">e/m = 2V / (B²r²)</w:t>
            </w:r>
          </w:p>
        </w:tc>
        <w:tc>
          <w:tcPr>
            <w:tcBorders>
              <w:top w:val="single" w:color="2E5FA3" w:sz="2"/>
              <w:left w:val="single" w:color="2E5FA3" w:sz="2"/>
              <w:bottom w:val="single" w:color="2E5FA3" w:sz="2"/>
              <w:right w:val="single" w:color="2E5FA3" w:sz="2"/>
            </w:tcBorders>
            <w:shd w:fill="D6E4F0" w:val="clear"/>
            <w:tcMar>
              <w:top w:type="dxa" w:w="100"/>
              <w:left w:type="dxa" w:w="120"/>
              <w:bottom w:type="dxa" w:w="100"/>
              <w:right w:type="dxa" w:w="120"/>
            </w:tcMar>
            <w:vAlign w:val="center"/>
          </w:tcPr>
          <w:p>
            <w:pPr>
              <w:jc w:val="center"/>
            </w:pPr>
            <w:r>
              <w:rPr>
                <w:i/>
                <w:iCs/>
                <w:color w:val="444444"/>
                <w:sz w:val="20"/>
                <w:szCs w:val="20"/>
              </w:rPr>
              <w:t xml:space="preserve">Primary working formula</w:t>
            </w:r>
          </w:p>
        </w:tc>
      </w:tr>
    </w:tbl>
    <w:p>
      <w:pPr>
        <w:spacing w:before="80" w:after="0"/>
      </w:pPr>
      <w:r>
        <w:t xml:space="preserve"/>
      </w:r>
    </w:p>
    <w:p>
      <w:pPr>
        <w:spacing w:before="80" w:after="80"/>
        <w:jc w:val="both"/>
      </w:pPr>
      <w:r>
        <w:rPr>
          <w:sz w:val="22"/>
          <w:szCs w:val="22"/>
        </w:rPr>
        <w:t xml:space="preserve">This is the fundamental working equation of the experiment. By measuring V (accelerating voltage), B (magnetic field strength), and r (orbital radius), we can directly calculate the specific charge of the electron. The quantities V and r are directly measured; B must be calculated from the coil parameters.</w:t>
      </w:r>
    </w:p>
    <w:p>
      <w:pPr>
        <w:spacing w:before="100" w:after="0"/>
      </w:pPr>
      <w:r>
        <w:t xml:space="preserve"/>
      </w:r>
    </w:p>
    <w:p>
      <w:pPr>
        <w:pStyle w:val="Heading2"/>
        <w:spacing w:before="280" w:after="120"/>
      </w:pPr>
      <w:r>
        <w:rPr>
          <w:b/>
          <w:bCs/>
          <w:color w:val="2E5FA3"/>
          <w:sz w:val="24"/>
          <w:szCs w:val="24"/>
        </w:rPr>
        <w:t xml:space="preserve">2.4 The Helmholtz Coil Magnetic Field</w:t>
      </w:r>
    </w:p>
    <w:p>
      <w:pPr>
        <w:spacing w:before="80" w:after="80"/>
        <w:jc w:val="both"/>
      </w:pPr>
      <w:r>
        <w:rPr>
          <w:sz w:val="22"/>
          <w:szCs w:val="22"/>
        </w:rPr>
        <w:t xml:space="preserve">The uniform magnetic field is produced by a pair of Helmholtz coils — two identical circular coils separated by a distance equal to their common radius. This configuration produces a highly uniform field near the center. The magnetic field at the center of a Helmholtz coil pair 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2E5FA3" w:sz="2"/>
              <w:left w:val="single" w:color="2E5FA3" w:sz="2"/>
              <w:bottom w:val="single" w:color="2E5FA3" w:sz="2"/>
              <w:right w:val="single" w:color="2E5FA3" w:sz="2"/>
            </w:tcBorders>
            <w:shd w:fill="EBF3FB" w:val="clear"/>
            <w:tcMar>
              <w:top w:type="dxa" w:w="100"/>
              <w:left w:type="dxa" w:w="200"/>
              <w:bottom w:type="dxa" w:w="100"/>
              <w:right w:type="dxa" w:w="200"/>
            </w:tcMar>
            <w:vAlign w:val="center"/>
          </w:tcPr>
          <w:p>
            <w:pPr>
              <w:jc w:val="center"/>
            </w:pPr>
            <w:r>
              <w:rPr>
                <w:rFonts w:ascii="Courier New" w:cs="Courier New" w:eastAsia="Courier New" w:hAnsi="Courier New"/>
                <w:b/>
                <w:bCs/>
                <w:sz w:val="24"/>
                <w:szCs w:val="24"/>
              </w:rPr>
              <w:t xml:space="preserve">B = (4/5)^(3/2) × (μ₀nI)/R = 7.155 × 10⁻⁴ × nI/R</w:t>
            </w:r>
          </w:p>
        </w:tc>
        <w:tc>
          <w:tcPr>
            <w:tcBorders>
              <w:top w:val="single" w:color="2E5FA3" w:sz="2"/>
              <w:left w:val="single" w:color="2E5FA3" w:sz="2"/>
              <w:bottom w:val="single" w:color="2E5FA3" w:sz="2"/>
              <w:right w:val="single" w:color="2E5FA3" w:sz="2"/>
            </w:tcBorders>
            <w:shd w:fill="D6E4F0" w:val="clear"/>
            <w:tcMar>
              <w:top w:type="dxa" w:w="100"/>
              <w:left w:type="dxa" w:w="120"/>
              <w:bottom w:type="dxa" w:w="100"/>
              <w:right w:type="dxa" w:w="120"/>
            </w:tcMar>
            <w:vAlign w:val="center"/>
          </w:tcPr>
          <w:p>
            <w:pPr>
              <w:jc w:val="center"/>
            </w:pPr>
            <w:r>
              <w:rPr>
                <w:i/>
                <w:iCs/>
                <w:color w:val="444444"/>
                <w:sz w:val="20"/>
                <w:szCs w:val="20"/>
              </w:rPr>
              <w:t xml:space="preserve">Helmholtz coil field</w:t>
            </w:r>
          </w:p>
        </w:tc>
      </w:tr>
    </w:tbl>
    <w:p>
      <w:pPr>
        <w:spacing w:before="80" w:after="0"/>
      </w:pPr>
      <w:r>
        <w:t xml:space="preserve"/>
      </w:r>
    </w:p>
    <w:p>
      <w:pPr>
        <w:spacing w:before="80" w:after="80"/>
        <w:jc w:val="both"/>
      </w:pPr>
      <w:r>
        <w:rPr>
          <w:sz w:val="22"/>
          <w:szCs w:val="22"/>
        </w:rPr>
        <w:t xml:space="preserve">where n is the number of turns per coil, I is the current through the coils (in Amperes), R is the radius of each coil (in meters), and μ₀ = 4π × 10⁻⁷ T·m/A is the permeability of free space. For the standard apparatus used in this lab:</w:t>
      </w:r>
    </w:p>
    <w:p>
      <w:pPr>
        <w:pStyle w:val="ListParagraph"/>
        <w:numPr>
          <w:ilvl w:val="0"/>
          <w:numId w:val="2"/>
        </w:numPr>
        <w:spacing w:before="60" w:after="60"/>
      </w:pPr>
      <w:r>
        <w:rPr>
          <w:sz w:val="22"/>
          <w:szCs w:val="22"/>
        </w:rPr>
        <w:t xml:space="preserve">Coil radius R = 0.150 m</w:t>
      </w:r>
    </w:p>
    <w:p>
      <w:pPr>
        <w:pStyle w:val="ListParagraph"/>
        <w:numPr>
          <w:ilvl w:val="0"/>
          <w:numId w:val="2"/>
        </w:numPr>
        <w:spacing w:before="60" w:after="60"/>
      </w:pPr>
      <w:r>
        <w:rPr>
          <w:sz w:val="22"/>
          <w:szCs w:val="22"/>
        </w:rPr>
        <w:t xml:space="preserve">Number of turns per coil n = 130</w:t>
      </w:r>
    </w:p>
    <w:p>
      <w:pPr>
        <w:pStyle w:val="ListParagraph"/>
        <w:numPr>
          <w:ilvl w:val="0"/>
          <w:numId w:val="2"/>
        </w:numPr>
        <w:spacing w:before="60" w:after="60"/>
      </w:pPr>
      <w:r>
        <w:rPr>
          <w:sz w:val="22"/>
          <w:szCs w:val="22"/>
        </w:rPr>
        <w:t xml:space="preserve">Coil separation d = R = 0.150 m</w:t>
      </w:r>
    </w:p>
    <w:p>
      <w:pPr>
        <w:spacing w:before="60" w:after="0"/>
      </w:pPr>
      <w:r>
        <w:t xml:space="preserve"/>
      </w:r>
    </w:p>
    <w:p>
      <w:pPr>
        <w:spacing w:before="80" w:after="80"/>
        <w:jc w:val="both"/>
      </w:pPr>
      <w:r>
        <w:rPr>
          <w:sz w:val="22"/>
          <w:szCs w:val="22"/>
        </w:rPr>
        <w:t xml:space="preserve">Substituting these values: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2E5FA3" w:sz="2"/>
              <w:left w:val="single" w:color="2E5FA3" w:sz="2"/>
              <w:bottom w:val="single" w:color="2E5FA3" w:sz="2"/>
              <w:right w:val="single" w:color="2E5FA3" w:sz="2"/>
            </w:tcBorders>
            <w:shd w:fill="EBF3FB" w:val="clear"/>
            <w:tcMar>
              <w:top w:type="dxa" w:w="100"/>
              <w:left w:type="dxa" w:w="200"/>
              <w:bottom w:type="dxa" w:w="100"/>
              <w:right w:type="dxa" w:w="200"/>
            </w:tcMar>
            <w:vAlign w:val="center"/>
          </w:tcPr>
          <w:p>
            <w:pPr>
              <w:jc w:val="center"/>
            </w:pPr>
            <w:r>
              <w:rPr>
                <w:rFonts w:ascii="Courier New" w:cs="Courier New" w:eastAsia="Courier New" w:hAnsi="Courier New"/>
                <w:b/>
                <w:bCs/>
                <w:sz w:val="24"/>
                <w:szCs w:val="24"/>
              </w:rPr>
              <w:t xml:space="preserve">B = 7.80 × 10⁻⁴ × I   (Tesla, with I in Amperes)</w:t>
            </w:r>
          </w:p>
        </w:tc>
        <w:tc>
          <w:tcPr>
            <w:tcBorders>
              <w:top w:val="single" w:color="2E5FA3" w:sz="2"/>
              <w:left w:val="single" w:color="2E5FA3" w:sz="2"/>
              <w:bottom w:val="single" w:color="2E5FA3" w:sz="2"/>
              <w:right w:val="single" w:color="2E5FA3" w:sz="2"/>
            </w:tcBorders>
            <w:shd w:fill="D6E4F0" w:val="clear"/>
            <w:tcMar>
              <w:top w:type="dxa" w:w="100"/>
              <w:left w:type="dxa" w:w="120"/>
              <w:bottom w:type="dxa" w:w="100"/>
              <w:right w:type="dxa" w:w="120"/>
            </w:tcMar>
            <w:vAlign w:val="center"/>
          </w:tcPr>
          <w:p>
            <w:pPr>
              <w:jc w:val="center"/>
            </w:pPr>
            <w:r>
              <w:rPr>
                <w:i/>
                <w:iCs/>
                <w:color w:val="444444"/>
                <w:sz w:val="20"/>
                <w:szCs w:val="20"/>
              </w:rPr>
              <w:t xml:space="preserve">Field for standard apparatus</w:t>
            </w:r>
          </w:p>
        </w:tc>
      </w:tr>
    </w:tbl>
    <w:p>
      <w:pPr>
        <w:spacing w:before="80" w:after="0"/>
      </w:pPr>
      <w:r>
        <w:t xml:space="preserve"/>
      </w:r>
    </w:p>
    <w:p>
      <w:pPr>
        <w:spacing w:before="100" w:after="0"/>
      </w:pPr>
      <w:r>
        <w:t xml:space="preserve"/>
      </w:r>
    </w:p>
    <w:p>
      <w:pPr>
        <w:pStyle w:val="Heading2"/>
        <w:spacing w:before="280" w:after="120"/>
      </w:pPr>
      <w:r>
        <w:rPr>
          <w:b/>
          <w:bCs/>
          <w:color w:val="2E5FA3"/>
          <w:sz w:val="24"/>
          <w:szCs w:val="24"/>
        </w:rPr>
        <w:t xml:space="preserve">2.5 Sources of Systematic Error</w:t>
      </w:r>
    </w:p>
    <w:p>
      <w:pPr>
        <w:spacing w:before="80" w:after="80"/>
        <w:jc w:val="both"/>
      </w:pPr>
      <w:r>
        <w:rPr>
          <w:sz w:val="22"/>
          <w:szCs w:val="22"/>
        </w:rPr>
        <w:t xml:space="preserve">Several sources of systematic error must be considered in this experiment:</w:t>
      </w:r>
    </w:p>
    <w:p>
      <w:pPr>
        <w:pStyle w:val="ListParagraph"/>
        <w:numPr>
          <w:ilvl w:val="0"/>
          <w:numId w:val="2"/>
        </w:numPr>
        <w:spacing w:before="60" w:after="60"/>
      </w:pPr>
      <w:r>
        <w:rPr>
          <w:sz w:val="22"/>
          <w:szCs w:val="22"/>
        </w:rPr>
        <w:t xml:space="preserve">Earth's Magnetic Field: The Earth's magnetic field (~50 μT) can distort the electron orbit, particularly when the Helmholtz coil field is weak. The apparatus should be oriented so the coil axis points north-south, or a correction should be applied.</w:t>
      </w:r>
    </w:p>
    <w:p>
      <w:pPr>
        <w:pStyle w:val="ListParagraph"/>
        <w:numPr>
          <w:ilvl w:val="0"/>
          <w:numId w:val="2"/>
        </w:numPr>
        <w:spacing w:before="60" w:after="60"/>
      </w:pPr>
      <w:r>
        <w:rPr>
          <w:sz w:val="22"/>
          <w:szCs w:val="22"/>
        </w:rPr>
        <w:t xml:space="preserve">Non-Uniform Magnetic Field: Although Helmholtz coils produce a highly uniform field at the center, the field decreases toward the edges. If the electron orbit is large relative to the coil radius, this may introduce error.</w:t>
      </w:r>
    </w:p>
    <w:p>
      <w:pPr>
        <w:pStyle w:val="ListParagraph"/>
        <w:numPr>
          <w:ilvl w:val="0"/>
          <w:numId w:val="2"/>
        </w:numPr>
        <w:spacing w:before="60" w:after="60"/>
      </w:pPr>
      <w:r>
        <w:rPr>
          <w:sz w:val="22"/>
          <w:szCs w:val="22"/>
        </w:rPr>
        <w:t xml:space="preserve">Electron Beam Width: The electron beam has finite width, and the measured radius has limited precision. Parallax errors can arise when reading the radius from the scale inside the tube.</w:t>
      </w:r>
    </w:p>
    <w:p>
      <w:pPr>
        <w:pStyle w:val="ListParagraph"/>
        <w:numPr>
          <w:ilvl w:val="0"/>
          <w:numId w:val="2"/>
        </w:numPr>
        <w:spacing w:before="60" w:after="60"/>
      </w:pPr>
      <w:r>
        <w:rPr>
          <w:sz w:val="22"/>
          <w:szCs w:val="22"/>
        </w:rPr>
        <w:t xml:space="preserve">Contact Potential and Voltage Drop: Residual gas in the tube and non-ideal electrode geometry can alter the effective accelerating voltage.</w:t>
      </w:r>
    </w:p>
    <w:p>
      <w:pPr>
        <w:pStyle w:val="ListParagraph"/>
        <w:numPr>
          <w:ilvl w:val="0"/>
          <w:numId w:val="2"/>
        </w:numPr>
        <w:spacing w:before="60" w:after="60"/>
      </w:pPr>
      <w:r>
        <w:rPr>
          <w:sz w:val="22"/>
          <w:szCs w:val="22"/>
        </w:rPr>
        <w:t xml:space="preserve">Relativistic Effects: At the voltages used in this experiment (&lt; 1000 V), the electron speed is much less than the speed of light and relativistic corrections are negligible (&lt; 0.2%).</w:t>
      </w:r>
    </w:p>
    <w:p>
      <w:pPr>
        <w:spacing w:before="100" w:after="0"/>
      </w:pPr>
      <w:r>
        <w:t xml:space="preserve"/>
      </w:r>
    </w:p>
    <w:p>
      <w:pPr>
        <w:pStyle w:val="Heading1"/>
        <w:spacing w:before="360" w:after="160"/>
      </w:pPr>
      <w:r>
        <w:rPr>
          <w:b/>
          <w:bCs/>
          <w:color w:val="1F3864"/>
          <w:sz w:val="28"/>
          <w:szCs w:val="28"/>
        </w:rPr>
        <w:t xml:space="preserve">3. Apparatus and Equipment</w:t>
      </w:r>
    </w:p>
    <w:p>
      <w:pPr>
        <w:pStyle w:val="Heading2"/>
        <w:spacing w:before="280" w:after="120"/>
      </w:pPr>
      <w:r>
        <w:rPr>
          <w:b/>
          <w:bCs/>
          <w:color w:val="2E5FA3"/>
          <w:sz w:val="24"/>
          <w:szCs w:val="24"/>
        </w:rPr>
        <w:t xml:space="preserve">3.1 Equipment List</w:t>
      </w:r>
    </w:p>
    <w:p>
      <w:pPr>
        <w:pStyle w:val="ListParagraph"/>
        <w:numPr>
          <w:ilvl w:val="0"/>
          <w:numId w:val="2"/>
        </w:numPr>
        <w:spacing w:before="60" w:after="60"/>
      </w:pPr>
      <w:r>
        <w:rPr>
          <w:sz w:val="22"/>
          <w:szCs w:val="22"/>
        </w:rPr>
        <w:t xml:space="preserve">e/m apparatus (Helmholtz coil + electron beam tube, e.g., PASCO SE-9638 or equivalent)</w:t>
      </w:r>
    </w:p>
    <w:p>
      <w:pPr>
        <w:pStyle w:val="ListParagraph"/>
        <w:numPr>
          <w:ilvl w:val="0"/>
          <w:numId w:val="2"/>
        </w:numPr>
        <w:spacing w:before="60" w:after="60"/>
      </w:pPr>
      <w:r>
        <w:rPr>
          <w:sz w:val="22"/>
          <w:szCs w:val="22"/>
        </w:rPr>
        <w:t xml:space="preserve">DC power supply for Helmholtz coils (0–2 A, current-regulated)</w:t>
      </w:r>
    </w:p>
    <w:p>
      <w:pPr>
        <w:pStyle w:val="ListParagraph"/>
        <w:numPr>
          <w:ilvl w:val="0"/>
          <w:numId w:val="2"/>
        </w:numPr>
        <w:spacing w:before="60" w:after="60"/>
      </w:pPr>
      <w:r>
        <w:rPr>
          <w:sz w:val="22"/>
          <w:szCs w:val="22"/>
        </w:rPr>
        <w:t xml:space="preserve">High-voltage DC power supply for electron gun (150–300 V)</w:t>
      </w:r>
    </w:p>
    <w:p>
      <w:pPr>
        <w:pStyle w:val="ListParagraph"/>
        <w:numPr>
          <w:ilvl w:val="0"/>
          <w:numId w:val="2"/>
        </w:numPr>
        <w:spacing w:before="60" w:after="60"/>
      </w:pPr>
      <w:r>
        <w:rPr>
          <w:sz w:val="22"/>
          <w:szCs w:val="22"/>
        </w:rPr>
        <w:t xml:space="preserve">Digital multimeter or ammeter (for coil current measurement)</w:t>
      </w:r>
    </w:p>
    <w:p>
      <w:pPr>
        <w:pStyle w:val="ListParagraph"/>
        <w:numPr>
          <w:ilvl w:val="0"/>
          <w:numId w:val="2"/>
        </w:numPr>
        <w:spacing w:before="60" w:after="60"/>
      </w:pPr>
      <w:r>
        <w:rPr>
          <w:sz w:val="22"/>
          <w:szCs w:val="22"/>
        </w:rPr>
        <w:t xml:space="preserve">Digital multimeter or voltmeter (for accelerating voltage measurement)</w:t>
      </w:r>
    </w:p>
    <w:p>
      <w:pPr>
        <w:pStyle w:val="ListParagraph"/>
        <w:numPr>
          <w:ilvl w:val="0"/>
          <w:numId w:val="2"/>
        </w:numPr>
        <w:spacing w:before="60" w:after="60"/>
      </w:pPr>
      <w:r>
        <w:rPr>
          <w:sz w:val="22"/>
          <w:szCs w:val="22"/>
        </w:rPr>
        <w:t xml:space="preserve">Ruler or measuring scale (built into apparatus or external)</w:t>
      </w:r>
    </w:p>
    <w:p>
      <w:pPr>
        <w:pStyle w:val="ListParagraph"/>
        <w:numPr>
          <w:ilvl w:val="0"/>
          <w:numId w:val="2"/>
        </w:numPr>
        <w:spacing w:before="60" w:after="60"/>
      </w:pPr>
      <w:r>
        <w:rPr>
          <w:sz w:val="22"/>
          <w:szCs w:val="22"/>
        </w:rPr>
        <w:t xml:space="preserve">Compass (to align apparatus with magnetic north)</w:t>
      </w:r>
    </w:p>
    <w:p>
      <w:pPr>
        <w:pStyle w:val="ListParagraph"/>
        <w:numPr>
          <w:ilvl w:val="0"/>
          <w:numId w:val="2"/>
        </w:numPr>
        <w:spacing w:before="60" w:after="60"/>
      </w:pPr>
      <w:r>
        <w:rPr>
          <w:sz w:val="22"/>
          <w:szCs w:val="22"/>
        </w:rPr>
        <w:t xml:space="preserve">Lab notebook and data recording sheets</w:t>
      </w:r>
    </w:p>
    <w:p>
      <w:pPr>
        <w:spacing w:before="100" w:after="0"/>
      </w:pPr>
      <w:r>
        <w:t xml:space="preserve"/>
      </w:r>
    </w:p>
    <w:p>
      <w:pPr>
        <w:pStyle w:val="Heading2"/>
        <w:spacing w:before="280" w:after="120"/>
      </w:pPr>
      <w:r>
        <w:rPr>
          <w:b/>
          <w:bCs/>
          <w:color w:val="2E5FA3"/>
          <w:sz w:val="24"/>
          <w:szCs w:val="24"/>
        </w:rPr>
        <w:t xml:space="preserve">3.2 Apparatus Description</w:t>
      </w:r>
    </w:p>
    <w:p>
      <w:pPr>
        <w:spacing w:before="80" w:after="80"/>
        <w:jc w:val="both"/>
      </w:pPr>
      <w:r>
        <w:rPr>
          <w:sz w:val="22"/>
          <w:szCs w:val="22"/>
        </w:rPr>
        <w:t xml:space="preserve">The core apparatus consists of a spherical glass vacuum tube containing an electron gun (cathode-anode assembly) and a trace of mercury or neon gas. When energized, the electron beam ionizes the gas, causing it to glow and making the beam visible as a luminous arc. The tube is mounted at the center of the Helmholtz coil pair.</w:t>
      </w:r>
    </w:p>
    <w:p>
      <w:pPr>
        <w:spacing w:before="80" w:after="80"/>
        <w:jc w:val="both"/>
      </w:pPr>
      <w:r>
        <w:rPr>
          <w:sz w:val="22"/>
          <w:szCs w:val="22"/>
        </w:rPr>
        <w:t xml:space="preserve">The electron gun assembly contains a heated filament (cathode) that emits electrons thermionically, a cylindrical anode with an aperture to select and accelerate electrons, and focusing electrodes. The accelerating voltage V is applied between cathode and anode.</w:t>
      </w:r>
    </w:p>
    <w:p>
      <w:pPr>
        <w:spacing w:before="80" w:after="80"/>
        <w:jc w:val="both"/>
      </w:pPr>
      <w:r>
        <w:rPr>
          <w:sz w:val="22"/>
          <w:szCs w:val="22"/>
        </w:rPr>
        <w:t xml:space="preserve">A millimeter scale is incorporated into the tube or mounted on the coil frame, allowing visual measurement of the beam radius. Some apparatus designs include a mirrored scale to reduce parallax.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AAAAAA" w:sz="1"/>
              <w:left w:val="single" w:color="AAAAAA" w:sz="1"/>
              <w:bottom w:val="single" w:color="AAAAAA" w:sz="1"/>
              <w:right w:val="single" w:color="AAAAAA" w:sz="1"/>
            </w:tcBorders>
            <w:shd w:fill="EBF3FB" w:val="clear"/>
            <w:tcMar>
              <w:top w:type="dxa" w:w="100"/>
              <w:left w:type="dxa" w:w="200"/>
              <w:bottom w:type="dxa" w:w="100"/>
              <w:right w:type="dxa" w:w="200"/>
            </w:tcMar>
          </w:tcPr>
          <w:p>
            <w:pPr>
              <w:jc w:val="center"/>
            </w:pPr>
            <w:r>
              <w:rPr>
                <w:b/>
                <w:bCs/>
                <w:color w:val="1F3864"/>
                <w:sz w:val="20"/>
                <w:szCs w:val="20"/>
              </w:rPr>
              <w:t xml:space="preserve">CIRCUIT DIAGRAM SUMMARY</w:t>
            </w:r>
          </w:p>
          <w:p>
            <w:pPr>
              <w:spacing w:before="60" w:after="0"/>
            </w:pPr>
            <w:r>
              <w:t xml:space="preserve"/>
            </w:r>
          </w:p>
          <w:p>
            <w:r>
              <w:rPr>
                <w:b/>
                <w:bCs/>
                <w:color w:val="333333"/>
                <w:sz w:val="20"/>
                <w:szCs w:val="20"/>
              </w:rPr>
              <w:t xml:space="preserve">High-Voltage Supply (150–300 V DC)</w:t>
            </w:r>
          </w:p>
          <w:p>
            <w:r>
              <w:rPr>
                <w:sz w:val="19"/>
                <w:szCs w:val="19"/>
              </w:rPr>
              <w:t xml:space="preserve">  → Cathode (−) and Anode (+) of electron gun</w:t>
            </w:r>
          </w:p>
          <w:p>
            <w:pPr>
              <w:spacing w:before="40" w:after="0"/>
            </w:pPr>
            <w:r>
              <w:t xml:space="preserve"/>
            </w:r>
          </w:p>
          <w:p>
            <w:r>
              <w:rPr>
                <w:b/>
                <w:bCs/>
                <w:color w:val="333333"/>
                <w:sz w:val="20"/>
                <w:szCs w:val="20"/>
              </w:rPr>
              <w:t xml:space="preserve">Low-Voltage Supply (~6.3 V AC)</w:t>
            </w:r>
          </w:p>
          <w:p>
            <w:r>
              <w:rPr>
                <w:sz w:val="19"/>
                <w:szCs w:val="19"/>
              </w:rPr>
              <w:t xml:space="preserve">  → Filament heating terminals</w:t>
            </w:r>
          </w:p>
          <w:p>
            <w:pPr>
              <w:spacing w:before="40" w:after="0"/>
            </w:pPr>
            <w:r>
              <w:t xml:space="preserve"/>
            </w:r>
          </w:p>
          <w:p>
            <w:r>
              <w:rPr>
                <w:b/>
                <w:bCs/>
                <w:color w:val="333333"/>
                <w:sz w:val="20"/>
                <w:szCs w:val="20"/>
              </w:rPr>
              <w:t xml:space="preserve">Current-Regulated Supply (0–2 A)</w:t>
            </w:r>
          </w:p>
          <w:p>
            <w:r>
              <w:rPr>
                <w:sz w:val="19"/>
                <w:szCs w:val="19"/>
              </w:rPr>
              <w:t xml:space="preserve">  → Helmholtz coils (series connection)</w:t>
            </w:r>
          </w:p>
          <w:p>
            <w:pPr>
              <w:spacing w:before="40" w:after="0"/>
            </w:pPr>
            <w:r>
              <w:t xml:space="preserve"/>
            </w:r>
          </w:p>
          <w:p>
            <w:r>
              <w:rPr>
                <w:b/>
                <w:bCs/>
                <w:color w:val="333333"/>
                <w:sz w:val="20"/>
                <w:szCs w:val="20"/>
              </w:rPr>
              <w:t xml:space="preserve">Ammeters and Voltmeters</w:t>
            </w:r>
          </w:p>
          <w:p>
            <w:r>
              <w:rPr>
                <w:sz w:val="19"/>
                <w:szCs w:val="19"/>
              </w:rPr>
              <w:t xml:space="preserve">  → Monitor V and I during experiment</w:t>
            </w:r>
          </w:p>
        </w:tc>
        <w:tc>
          <w:tcPr>
            <w:tcBorders>
              <w:top w:val="single" w:color="AAAAAA" w:sz="1"/>
              <w:left w:val="single" w:color="AAAAAA" w:sz="1"/>
              <w:bottom w:val="single" w:color="AAAAAA" w:sz="1"/>
              <w:right w:val="single" w:color="AAAAAA" w:sz="1"/>
            </w:tcBorders>
            <w:shd w:fill="F5FFF5" w:val="clear"/>
            <w:tcMar>
              <w:top w:type="dxa" w:w="100"/>
              <w:left w:type="dxa" w:w="200"/>
              <w:bottom w:type="dxa" w:w="100"/>
              <w:right w:type="dxa" w:w="200"/>
            </w:tcMar>
          </w:tcPr>
          <w:p>
            <w:pPr>
              <w:jc w:val="center"/>
            </w:pPr>
            <w:r>
              <w:rPr>
                <w:b/>
                <w:bCs/>
                <w:color w:val="8B0000"/>
                <w:sz w:val="20"/>
                <w:szCs w:val="20"/>
              </w:rPr>
              <w:t xml:space="preserve">SAFETY NOTES</w:t>
            </w:r>
          </w:p>
          <w:p>
            <w:pPr>
              <w:spacing w:before="60" w:after="0"/>
            </w:pPr>
            <w:r>
              <w:t xml:space="preserve"/>
            </w:r>
          </w:p>
          <w:p>
            <w:r>
              <w:rPr>
                <w:b/>
                <w:bCs/>
                <w:color w:val="8B0000"/>
                <w:sz w:val="20"/>
                <w:szCs w:val="20"/>
              </w:rPr>
              <w:t xml:space="preserve">⚠  High Voltage Hazard</w:t>
            </w:r>
          </w:p>
          <w:p>
            <w:r>
              <w:rPr>
                <w:sz w:val="19"/>
                <w:szCs w:val="19"/>
              </w:rPr>
              <w:t xml:space="preserve">Never touch the high-voltage terminals or electron gun connections when the supply is on.</w:t>
            </w:r>
          </w:p>
          <w:p>
            <w:pPr>
              <w:spacing w:before="40" w:after="0"/>
            </w:pPr>
            <w:r>
              <w:t xml:space="preserve"/>
            </w:r>
          </w:p>
          <w:p>
            <w:r>
              <w:rPr>
                <w:b/>
                <w:bCs/>
                <w:color w:val="8B0000"/>
                <w:sz w:val="20"/>
                <w:szCs w:val="20"/>
              </w:rPr>
              <w:t xml:space="preserve">⚠  Glass Tube</w:t>
            </w:r>
          </w:p>
          <w:p>
            <w:r>
              <w:rPr>
                <w:sz w:val="19"/>
                <w:szCs w:val="19"/>
              </w:rPr>
              <w:t xml:space="preserve">The glass tube is under vacuum and fragile. Handle with care; never strike or drop.</w:t>
            </w:r>
          </w:p>
          <w:p>
            <w:pPr>
              <w:spacing w:before="40" w:after="0"/>
            </w:pPr>
            <w:r>
              <w:t xml:space="preserve"/>
            </w:r>
          </w:p>
          <w:p>
            <w:r>
              <w:rPr>
                <w:b/>
                <w:bCs/>
                <w:color w:val="8B0000"/>
                <w:sz w:val="20"/>
                <w:szCs w:val="20"/>
              </w:rPr>
              <w:t xml:space="preserve">⚠  Mercury Vapor</w:t>
            </w:r>
          </w:p>
          <w:p>
            <w:r>
              <w:rPr>
                <w:sz w:val="19"/>
                <w:szCs w:val="19"/>
              </w:rPr>
              <w:t xml:space="preserve">If the tube breaks, do not inhale vapors. Notify instructor immediately.</w:t>
            </w:r>
          </w:p>
          <w:p>
            <w:pPr>
              <w:spacing w:before="40" w:after="0"/>
            </w:pPr>
            <w:r>
              <w:t xml:space="preserve"/>
            </w:r>
          </w:p>
          <w:p>
            <w:r>
              <w:rPr>
                <w:b/>
                <w:bCs/>
                <w:color w:val="8B0000"/>
                <w:sz w:val="20"/>
                <w:szCs w:val="20"/>
              </w:rPr>
              <w:t xml:space="preserve">⚠  Overheating</w:t>
            </w:r>
          </w:p>
          <w:p>
            <w:r>
              <w:rPr>
                <w:sz w:val="19"/>
                <w:szCs w:val="19"/>
              </w:rPr>
              <w:t xml:space="preserve">Do not leave the filament energized for extended periods without current in the coils.</w:t>
            </w:r>
          </w:p>
        </w:tc>
      </w:tr>
    </w:tbl>
    <w:p>
      <w:pPr>
        <w:spacing w:before="100" w:after="0"/>
      </w:pPr>
      <w:r>
        <w:t xml:space="preserve"/>
      </w:r>
    </w:p>
    <w:p>
      <w:pPr>
        <w:pStyle w:val="Heading1"/>
        <w:spacing w:before="360" w:after="160"/>
      </w:pPr>
      <w:r>
        <w:rPr>
          <w:b/>
          <w:bCs/>
          <w:color w:val="1F3864"/>
          <w:sz w:val="28"/>
          <w:szCs w:val="28"/>
        </w:rPr>
        <w:t xml:space="preserve">4. Experimental Procedure</w:t>
      </w:r>
    </w:p>
    <w:p>
      <w:pPr>
        <w:pStyle w:val="Heading2"/>
        <w:spacing w:before="280" w:after="120"/>
      </w:pPr>
      <w:r>
        <w:rPr>
          <w:b/>
          <w:bCs/>
          <w:color w:val="2E5FA3"/>
          <w:sz w:val="24"/>
          <w:szCs w:val="24"/>
        </w:rPr>
        <w:t xml:space="preserve">4.1 Setup and Alignment</w:t>
      </w:r>
    </w:p>
    <w:p>
      <w:pPr>
        <w:pStyle w:val="ListParagraph"/>
        <w:numPr>
          <w:ilvl w:val="0"/>
          <w:numId w:val="3"/>
        </w:numPr>
        <w:spacing w:before="60" w:after="60"/>
      </w:pPr>
      <w:r>
        <w:rPr>
          <w:sz w:val="22"/>
          <w:szCs w:val="22"/>
        </w:rPr>
        <w:t xml:space="preserve">Use a compass to determine magnetic north. Orient the Helmholtz coil axis parallel to the north-south direction (to minimize Earth's field effect on the circular orbit).</w:t>
      </w:r>
    </w:p>
    <w:p>
      <w:pPr>
        <w:pStyle w:val="ListParagraph"/>
        <w:numPr>
          <w:ilvl w:val="0"/>
          <w:numId w:val="3"/>
        </w:numPr>
        <w:spacing w:before="60" w:after="60"/>
      </w:pPr>
      <w:r>
        <w:rPr>
          <w:sz w:val="22"/>
          <w:szCs w:val="22"/>
        </w:rPr>
        <w:t xml:space="preserve">Inspect the apparatus for any visible damage. Ensure all electrical connections are properly insulated.</w:t>
      </w:r>
    </w:p>
    <w:p>
      <w:pPr>
        <w:pStyle w:val="ListParagraph"/>
        <w:numPr>
          <w:ilvl w:val="0"/>
          <w:numId w:val="3"/>
        </w:numPr>
        <w:spacing w:before="60" w:after="60"/>
      </w:pPr>
      <w:r>
        <w:rPr>
          <w:sz w:val="22"/>
          <w:szCs w:val="22"/>
        </w:rPr>
        <w:t xml:space="preserve">Connect the high-voltage power supply to the electron gun terminals as specified by the apparatus manual. Connect the filament supply to the appropriate terminals.</w:t>
      </w:r>
    </w:p>
    <w:p>
      <w:pPr>
        <w:pStyle w:val="ListParagraph"/>
        <w:numPr>
          <w:ilvl w:val="0"/>
          <w:numId w:val="3"/>
        </w:numPr>
        <w:spacing w:before="60" w:after="60"/>
      </w:pPr>
      <w:r>
        <w:rPr>
          <w:sz w:val="22"/>
          <w:szCs w:val="22"/>
        </w:rPr>
        <w:t xml:space="preserve">Connect the Helmholtz coils in series to the current-regulated DC supply. Place an ammeter in series to monitor coil current.</w:t>
      </w:r>
    </w:p>
    <w:p>
      <w:pPr>
        <w:pStyle w:val="ListParagraph"/>
        <w:numPr>
          <w:ilvl w:val="0"/>
          <w:numId w:val="3"/>
        </w:numPr>
        <w:spacing w:before="60" w:after="60"/>
      </w:pPr>
      <w:r>
        <w:rPr>
          <w:sz w:val="22"/>
          <w:szCs w:val="22"/>
        </w:rPr>
        <w:t xml:space="preserve">Connect a voltmeter across the high-voltage (accelerating voltage) terminals.</w:t>
      </w:r>
    </w:p>
    <w:p>
      <w:pPr>
        <w:pStyle w:val="ListParagraph"/>
        <w:numPr>
          <w:ilvl w:val="0"/>
          <w:numId w:val="3"/>
        </w:numPr>
        <w:spacing w:before="60" w:after="60"/>
      </w:pPr>
      <w:r>
        <w:rPr>
          <w:sz w:val="22"/>
          <w:szCs w:val="22"/>
        </w:rPr>
        <w:t xml:space="preserve">Double-check all connections with the instructor before turning on any power.</w:t>
      </w:r>
    </w:p>
    <w:p>
      <w:pPr>
        <w:spacing w:before="80" w:after="0"/>
      </w:pPr>
      <w:r>
        <w:t xml:space="preserve"/>
      </w:r>
    </w:p>
    <w:p>
      <w:pPr>
        <w:pStyle w:val="Heading2"/>
        <w:spacing w:before="280" w:after="120"/>
      </w:pPr>
      <w:r>
        <w:rPr>
          <w:b/>
          <w:bCs/>
          <w:color w:val="2E5FA3"/>
          <w:sz w:val="24"/>
          <w:szCs w:val="24"/>
        </w:rPr>
        <w:t xml:space="preserve">4.2 Preliminary Observations</w:t>
      </w:r>
    </w:p>
    <w:p>
      <w:pPr>
        <w:pStyle w:val="ListParagraph"/>
        <w:numPr>
          <w:ilvl w:val="0"/>
          <w:numId w:val="3"/>
        </w:numPr>
        <w:spacing w:before="60" w:after="60"/>
      </w:pPr>
      <w:r>
        <w:rPr>
          <w:sz w:val="22"/>
          <w:szCs w:val="22"/>
        </w:rPr>
        <w:t xml:space="preserve">Turn on the filament supply and allow the cathode to warm up for approximately 2 minutes.</w:t>
      </w:r>
    </w:p>
    <w:p>
      <w:pPr>
        <w:pStyle w:val="ListParagraph"/>
        <w:numPr>
          <w:ilvl w:val="0"/>
          <w:numId w:val="3"/>
        </w:numPr>
        <w:spacing w:before="60" w:after="60"/>
      </w:pPr>
      <w:r>
        <w:rPr>
          <w:sz w:val="22"/>
          <w:szCs w:val="22"/>
        </w:rPr>
        <w:t xml:space="preserve">Slowly increase the accelerating voltage to approximately 200 V. A faint glowing beam should become visible in the tube.</w:t>
      </w:r>
    </w:p>
    <w:p>
      <w:pPr>
        <w:pStyle w:val="ListParagraph"/>
        <w:numPr>
          <w:ilvl w:val="0"/>
          <w:numId w:val="3"/>
        </w:numPr>
        <w:spacing w:before="60" w:after="60"/>
      </w:pPr>
      <w:r>
        <w:rPr>
          <w:sz w:val="22"/>
          <w:szCs w:val="22"/>
        </w:rPr>
        <w:t xml:space="preserve">Set the Helmholtz coil current to approximately 1.0 A. Observe the beam curve into a circular arc.</w:t>
      </w:r>
    </w:p>
    <w:p>
      <w:pPr>
        <w:pStyle w:val="ListParagraph"/>
        <w:numPr>
          <w:ilvl w:val="0"/>
          <w:numId w:val="3"/>
        </w:numPr>
        <w:spacing w:before="60" w:after="60"/>
      </w:pPr>
      <w:r>
        <w:rPr>
          <w:sz w:val="22"/>
          <w:szCs w:val="22"/>
        </w:rPr>
        <w:t xml:space="preserve">Adjust V and I until a clear, complete circular ring is visible. Note the orientation of the beam for the given coil current direction. Reverse the current direction if needed to obtain a complete circle rather than a spiral.</w:t>
      </w:r>
    </w:p>
    <w:p>
      <w:pPr>
        <w:pStyle w:val="ListParagraph"/>
        <w:numPr>
          <w:ilvl w:val="0"/>
          <w:numId w:val="3"/>
        </w:numPr>
        <w:spacing w:before="60" w:after="60"/>
      </w:pPr>
      <w:r>
        <w:rPr>
          <w:sz w:val="22"/>
          <w:szCs w:val="22"/>
        </w:rPr>
        <w:t xml:space="preserve">Allow the system to stabilize for 3–5 minutes before beginning data collection.</w:t>
      </w:r>
    </w:p>
    <w:p>
      <w:pPr>
        <w:spacing w:before="80" w:after="0"/>
      </w:pPr>
      <w:r>
        <w:t xml:space="preserve"/>
      </w:r>
    </w:p>
    <w:p>
      <w:pPr>
        <w:pStyle w:val="Heading2"/>
        <w:spacing w:before="280" w:after="120"/>
      </w:pPr>
      <w:r>
        <w:rPr>
          <w:b/>
          <w:bCs/>
          <w:color w:val="2E5FA3"/>
          <w:sz w:val="24"/>
          <w:szCs w:val="24"/>
        </w:rPr>
        <w:t xml:space="preserve">4.3 Data Collection — Method A: Varying Accelerating Voltage</w:t>
      </w:r>
    </w:p>
    <w:p>
      <w:pPr>
        <w:spacing w:before="80" w:after="80"/>
        <w:jc w:val="both"/>
      </w:pPr>
      <w:r>
        <w:rPr>
          <w:sz w:val="22"/>
          <w:szCs w:val="22"/>
        </w:rPr>
        <w:t xml:space="preserve">In this method, the coil current (and hence B) is held constant while V is varied.</w:t>
      </w:r>
    </w:p>
    <w:p>
      <w:pPr>
        <w:spacing w:before="60" w:after="0"/>
      </w:pPr>
      <w:r>
        <w:t xml:space="preserve"/>
      </w:r>
    </w:p>
    <w:p>
      <w:pPr>
        <w:pStyle w:val="ListParagraph"/>
        <w:numPr>
          <w:ilvl w:val="0"/>
          <w:numId w:val="3"/>
        </w:numPr>
        <w:spacing w:before="60" w:after="60"/>
      </w:pPr>
      <w:r>
        <w:rPr>
          <w:sz w:val="22"/>
          <w:szCs w:val="22"/>
        </w:rPr>
        <w:t xml:space="preserve">Set the Helmholtz coil current to I = 1.50 A and record this value.</w:t>
      </w:r>
    </w:p>
    <w:p>
      <w:pPr>
        <w:pStyle w:val="ListParagraph"/>
        <w:numPr>
          <w:ilvl w:val="0"/>
          <w:numId w:val="3"/>
        </w:numPr>
        <w:spacing w:before="60" w:after="60"/>
      </w:pPr>
      <w:r>
        <w:rPr>
          <w:sz w:val="22"/>
          <w:szCs w:val="22"/>
        </w:rPr>
        <w:t xml:space="preserve">Adjust the accelerating voltage to V = 150 V. Measure and record the diameter of the circular electron beam carefully using the internal scale. Take the average of the left and right radii.</w:t>
      </w:r>
    </w:p>
    <w:p>
      <w:pPr>
        <w:pStyle w:val="ListParagraph"/>
        <w:numPr>
          <w:ilvl w:val="0"/>
          <w:numId w:val="3"/>
        </w:numPr>
        <w:spacing w:before="60" w:after="60"/>
      </w:pPr>
      <w:r>
        <w:rPr>
          <w:sz w:val="22"/>
          <w:szCs w:val="22"/>
        </w:rPr>
        <w:t xml:space="preserve">Repeat the radius measurement at V = 175, 200, 225, 250, 275, and 300 V, recording both V and r for each setting.</w:t>
      </w:r>
    </w:p>
    <w:p>
      <w:pPr>
        <w:pStyle w:val="ListParagraph"/>
        <w:numPr>
          <w:ilvl w:val="0"/>
          <w:numId w:val="3"/>
        </w:numPr>
        <w:spacing w:before="60" w:after="60"/>
      </w:pPr>
      <w:r>
        <w:rPr>
          <w:sz w:val="22"/>
          <w:szCs w:val="22"/>
        </w:rPr>
        <w:t xml:space="preserve">For each measurement, ensure the beam is a complete circle (not an ellipse or helix), indicating the beam is well-aligned with the field.</w:t>
      </w:r>
    </w:p>
    <w:p>
      <w:pPr>
        <w:pStyle w:val="ListParagraph"/>
        <w:numPr>
          <w:ilvl w:val="0"/>
          <w:numId w:val="3"/>
        </w:numPr>
        <w:spacing w:before="60" w:after="60"/>
      </w:pPr>
      <w:r>
        <w:rPr>
          <w:sz w:val="22"/>
          <w:szCs w:val="22"/>
        </w:rPr>
        <w:t xml:space="preserve">Record the room temperature and note any anomalies in the beam appearance.</w:t>
      </w:r>
    </w:p>
    <w:p>
      <w:pPr>
        <w:spacing w:before="80" w:after="0"/>
      </w:pPr>
      <w:r>
        <w:t xml:space="preserve"/>
      </w:r>
    </w:p>
    <w:p>
      <w:pPr>
        <w:pStyle w:val="Heading2"/>
        <w:spacing w:before="280" w:after="120"/>
      </w:pPr>
      <w:r>
        <w:rPr>
          <w:b/>
          <w:bCs/>
          <w:color w:val="2E5FA3"/>
          <w:sz w:val="24"/>
          <w:szCs w:val="24"/>
        </w:rPr>
        <w:t xml:space="preserve">4.4 Data Collection — Method B: Varying Magnetic Field</w:t>
      </w:r>
    </w:p>
    <w:p>
      <w:pPr>
        <w:spacing w:before="80" w:after="80"/>
        <w:jc w:val="both"/>
      </w:pPr>
      <w:r>
        <w:rPr>
          <w:sz w:val="22"/>
          <w:szCs w:val="22"/>
        </w:rPr>
        <w:t xml:space="preserve">In this method, the accelerating voltage V is held constant while the coil current I (and hence B) is varied.</w:t>
      </w:r>
    </w:p>
    <w:p>
      <w:pPr>
        <w:spacing w:before="60" w:after="0"/>
      </w:pPr>
      <w:r>
        <w:t xml:space="preserve"/>
      </w:r>
    </w:p>
    <w:p>
      <w:pPr>
        <w:pStyle w:val="ListParagraph"/>
        <w:numPr>
          <w:ilvl w:val="0"/>
          <w:numId w:val="3"/>
        </w:numPr>
        <w:spacing w:before="60" w:after="60"/>
      </w:pPr>
      <w:r>
        <w:rPr>
          <w:sz w:val="22"/>
          <w:szCs w:val="22"/>
        </w:rPr>
        <w:t xml:space="preserve">Set the accelerating voltage to V = 200 V and record this value.</w:t>
      </w:r>
    </w:p>
    <w:p>
      <w:pPr>
        <w:pStyle w:val="ListParagraph"/>
        <w:numPr>
          <w:ilvl w:val="0"/>
          <w:numId w:val="3"/>
        </w:numPr>
        <w:spacing w:before="60" w:after="60"/>
      </w:pPr>
      <w:r>
        <w:rPr>
          <w:sz w:val="22"/>
          <w:szCs w:val="22"/>
        </w:rPr>
        <w:t xml:space="preserve">Set the coil current to I = 1.0 A. Measure and record the beam radius r.</w:t>
      </w:r>
    </w:p>
    <w:p>
      <w:pPr>
        <w:pStyle w:val="ListParagraph"/>
        <w:numPr>
          <w:ilvl w:val="0"/>
          <w:numId w:val="3"/>
        </w:numPr>
        <w:spacing w:before="60" w:after="60"/>
      </w:pPr>
      <w:r>
        <w:rPr>
          <w:sz w:val="22"/>
          <w:szCs w:val="22"/>
        </w:rPr>
        <w:t xml:space="preserve">Repeat the radius measurement for I = 1.1, 1.2, 1.3, 1.4, 1.5, 1.6, and 1.7 A.</w:t>
      </w:r>
    </w:p>
    <w:p>
      <w:pPr>
        <w:pStyle w:val="ListParagraph"/>
        <w:numPr>
          <w:ilvl w:val="0"/>
          <w:numId w:val="3"/>
        </w:numPr>
        <w:spacing w:before="60" w:after="60"/>
      </w:pPr>
      <w:r>
        <w:rPr>
          <w:sz w:val="22"/>
          <w:szCs w:val="22"/>
        </w:rPr>
        <w:t xml:space="preserve">Ensure that for each current setting, the beam appears as a circular ring within the tube boundaries.</w:t>
      </w:r>
    </w:p>
    <w:p>
      <w:pPr>
        <w:spacing w:before="80" w:after="0"/>
      </w:pPr>
      <w:r>
        <w:t xml:space="preserve"/>
      </w:r>
    </w:p>
    <w:p>
      <w:pPr>
        <w:pStyle w:val="Heading2"/>
        <w:spacing w:before="280" w:after="120"/>
      </w:pPr>
      <w:r>
        <w:rPr>
          <w:b/>
          <w:bCs/>
          <w:color w:val="2E5FA3"/>
          <w:sz w:val="24"/>
          <w:szCs w:val="24"/>
        </w:rPr>
        <w:t xml:space="preserve">4.5 Shutdown Procedure</w:t>
      </w:r>
    </w:p>
    <w:p>
      <w:pPr>
        <w:pStyle w:val="ListParagraph"/>
        <w:numPr>
          <w:ilvl w:val="0"/>
          <w:numId w:val="3"/>
        </w:numPr>
        <w:spacing w:before="60" w:after="60"/>
      </w:pPr>
      <w:r>
        <w:rPr>
          <w:sz w:val="22"/>
          <w:szCs w:val="22"/>
        </w:rPr>
        <w:t xml:space="preserve">Reduce the accelerating voltage to zero first, then turn off the HV supply.</w:t>
      </w:r>
    </w:p>
    <w:p>
      <w:pPr>
        <w:pStyle w:val="ListParagraph"/>
        <w:numPr>
          <w:ilvl w:val="0"/>
          <w:numId w:val="3"/>
        </w:numPr>
        <w:spacing w:before="60" w:after="60"/>
      </w:pPr>
      <w:r>
        <w:rPr>
          <w:sz w:val="22"/>
          <w:szCs w:val="22"/>
        </w:rPr>
        <w:t xml:space="preserve">Reduce the Helmholtz coil current to zero, then turn off the current supply.</w:t>
      </w:r>
    </w:p>
    <w:p>
      <w:pPr>
        <w:pStyle w:val="ListParagraph"/>
        <w:numPr>
          <w:ilvl w:val="0"/>
          <w:numId w:val="3"/>
        </w:numPr>
        <w:spacing w:before="60" w:after="60"/>
      </w:pPr>
      <w:r>
        <w:rPr>
          <w:sz w:val="22"/>
          <w:szCs w:val="22"/>
        </w:rPr>
        <w:t xml:space="preserve">Turn off the filament supply last.</w:t>
      </w:r>
    </w:p>
    <w:p>
      <w:pPr>
        <w:pStyle w:val="ListParagraph"/>
        <w:numPr>
          <w:ilvl w:val="0"/>
          <w:numId w:val="3"/>
        </w:numPr>
        <w:spacing w:before="60" w:after="60"/>
      </w:pPr>
      <w:r>
        <w:rPr>
          <w:sz w:val="22"/>
          <w:szCs w:val="22"/>
        </w:rPr>
        <w:t xml:space="preserve">Record the final equipment state and note any unusual observations.</w:t>
      </w:r>
    </w:p>
    <w:p>
      <w:pPr>
        <w:spacing w:before="100" w:after="0"/>
      </w:pPr>
      <w:r>
        <w:t xml:space="preserve"/>
      </w:r>
    </w:p>
    <w:p>
      <w:pPr>
        <w:pStyle w:val="Heading1"/>
        <w:spacing w:before="360" w:after="160"/>
      </w:pPr>
      <w:r>
        <w:rPr>
          <w:b/>
          <w:bCs/>
          <w:color w:val="1F3864"/>
          <w:sz w:val="28"/>
          <w:szCs w:val="28"/>
        </w:rPr>
        <w:t xml:space="preserve">5. Data Recording Tables</w:t>
      </w:r>
    </w:p>
    <w:p>
      <w:pPr>
        <w:pStyle w:val="Heading2"/>
        <w:spacing w:before="280" w:after="120"/>
      </w:pPr>
      <w:r>
        <w:rPr>
          <w:b/>
          <w:bCs/>
          <w:color w:val="2E5FA3"/>
          <w:sz w:val="24"/>
          <w:szCs w:val="24"/>
        </w:rPr>
        <w:t xml:space="preserve">5.1 Apparatus Parameters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760"/>
        <w:gridCol w:w="220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Parameter</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Symbol</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Units</w:t>
            </w:r>
          </w:p>
        </w:tc>
      </w:tr>
      <w:tr>
        <w:tc>
          <w:tcPr>
            <w:tcW w:type="dxa" w:w="30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Coil radius</w:t>
            </w:r>
          </w:p>
        </w:tc>
        <w:tc>
          <w:tcPr>
            <w:tcW w:type="dxa" w:w="14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R</w:t>
            </w:r>
          </w:p>
        </w:tc>
        <w:tc>
          <w:tcPr>
            <w:tcW w:type="dxa" w:w="27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0.150</w:t>
            </w:r>
          </w:p>
        </w:tc>
        <w:tc>
          <w:tcPr>
            <w:tcW w:type="dxa" w:w="22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Turns per coil</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n</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130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w:t>
            </w:r>
          </w:p>
        </w:tc>
      </w:tr>
      <w:tr>
        <w:tc>
          <w:tcPr>
            <w:tcW w:type="dxa" w:w="30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Coil separation</w:t>
            </w:r>
          </w:p>
        </w:tc>
        <w:tc>
          <w:tcPr>
            <w:tcW w:type="dxa" w:w="14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d</w:t>
            </w:r>
          </w:p>
        </w:tc>
        <w:tc>
          <w:tcPr>
            <w:tcW w:type="dxa" w:w="27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0.150</w:t>
            </w:r>
          </w:p>
        </w:tc>
        <w:tc>
          <w:tcPr>
            <w:tcW w:type="dxa" w:w="22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Helmholtz field constant (k = (4/5)^(3/2) × μ₀nI/R per Amp)</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k</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7.80 × 10⁻⁴</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T/A</w:t>
            </w:r>
          </w:p>
        </w:tc>
      </w:tr>
      <w:tr>
        <w:tc>
          <w:tcPr>
            <w:tcW w:type="dxa" w:w="30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Accepted e/m value</w:t>
            </w:r>
          </w:p>
        </w:tc>
        <w:tc>
          <w:tcPr>
            <w:tcW w:type="dxa" w:w="14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(e/m)₀</w:t>
            </w:r>
          </w:p>
        </w:tc>
        <w:tc>
          <w:tcPr>
            <w:tcW w:type="dxa" w:w="27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1.759 × 10¹¹</w:t>
            </w:r>
          </w:p>
        </w:tc>
        <w:tc>
          <w:tcPr>
            <w:tcW w:type="dxa" w:w="22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C/kg</w:t>
            </w:r>
          </w:p>
        </w:tc>
      </w:tr>
    </w:tbl>
    <w:p>
      <w:pPr>
        <w:spacing w:before="100" w:after="0"/>
      </w:pPr>
      <w:r>
        <w:t xml:space="preserve"/>
      </w:r>
    </w:p>
    <w:p>
      <w:pPr>
        <w:pStyle w:val="Heading2"/>
        <w:spacing w:before="280" w:after="120"/>
      </w:pPr>
      <w:r>
        <w:rPr>
          <w:b/>
          <w:bCs/>
          <w:color w:val="2E5FA3"/>
          <w:sz w:val="24"/>
          <w:szCs w:val="24"/>
        </w:rPr>
        <w:t xml:space="preserve">5.2 Method A — Fixed Current, Varying Voltage</w:t>
      </w:r>
    </w:p>
    <w:p>
      <w:pPr>
        <w:spacing w:before="80" w:after="80"/>
        <w:jc w:val="both"/>
      </w:pPr>
      <w:r>
        <w:rPr>
          <w:sz w:val="22"/>
          <w:szCs w:val="22"/>
        </w:rPr>
        <w:t xml:space="preserve">Fixed coil current: I = ________ A      Calculated magnetic field: B = ________ T</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600"/>
        <w:gridCol w:w="1660"/>
        <w:gridCol w:w="1400"/>
        <w:gridCol w:w="1800"/>
      </w:tblGrid>
      <w:tr>
        <w:trPr>
          <w:tblHeader/>
        </w:trPr>
        <w:tc>
          <w:tcPr>
            <w:tcW w:type="dxa" w:w="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Trial</w:t>
            </w:r>
          </w:p>
        </w:tc>
        <w:tc>
          <w:tcPr>
            <w:tcW w:type="dxa" w:w="1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V (Volts)</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Left Radius (m)</w:t>
            </w:r>
          </w:p>
        </w:tc>
        <w:tc>
          <w:tcPr>
            <w:tcW w:type="dxa" w:w="1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Right Radius (m)</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Mean r (m)</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e/m (C/kg)</w:t>
            </w:r>
          </w:p>
        </w:tc>
      </w:tr>
      <w:tr>
        <w:tc>
          <w:tcPr>
            <w:tcW w:type="dxa" w:w="6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1</w:t>
            </w:r>
          </w:p>
        </w:tc>
        <w:tc>
          <w:tcPr>
            <w:tcW w:type="dxa" w:w="13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150</w:t>
            </w:r>
          </w:p>
        </w:tc>
        <w:tc>
          <w:tcPr>
            <w:tcW w:type="dxa" w:w="16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6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4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8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175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r>
      <w:tr>
        <w:tc>
          <w:tcPr>
            <w:tcW w:type="dxa" w:w="6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3</w:t>
            </w:r>
          </w:p>
        </w:tc>
        <w:tc>
          <w:tcPr>
            <w:tcW w:type="dxa" w:w="13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200</w:t>
            </w:r>
          </w:p>
        </w:tc>
        <w:tc>
          <w:tcPr>
            <w:tcW w:type="dxa" w:w="16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6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4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8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4</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225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r>
      <w:tr>
        <w:tc>
          <w:tcPr>
            <w:tcW w:type="dxa" w:w="6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5</w:t>
            </w:r>
          </w:p>
        </w:tc>
        <w:tc>
          <w:tcPr>
            <w:tcW w:type="dxa" w:w="13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250</w:t>
            </w:r>
          </w:p>
        </w:tc>
        <w:tc>
          <w:tcPr>
            <w:tcW w:type="dxa" w:w="16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6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4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8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275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r>
      <w:tr>
        <w:tc>
          <w:tcPr>
            <w:tcW w:type="dxa" w:w="6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7</w:t>
            </w:r>
          </w:p>
        </w:tc>
        <w:tc>
          <w:tcPr>
            <w:tcW w:type="dxa" w:w="13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300</w:t>
            </w:r>
          </w:p>
        </w:tc>
        <w:tc>
          <w:tcPr>
            <w:tcW w:type="dxa" w:w="16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6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4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8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r>
    </w:tbl>
    <w:p>
      <w:pPr>
        <w:spacing w:before="60" w:after="0"/>
      </w:pPr>
      <w:r>
        <w:t xml:space="preserve"/>
      </w:r>
    </w:p>
    <w:p>
      <w:pPr>
        <w:spacing w:before="80" w:after="80"/>
        <w:jc w:val="both"/>
      </w:pPr>
      <w:r>
        <w:rPr>
          <w:sz w:val="22"/>
          <w:szCs w:val="22"/>
        </w:rPr>
        <w:t xml:space="preserve">Mean e/m (Method A): ______________________________     Std. Deviation: ______________________________</w:t>
      </w:r>
    </w:p>
    <w:p>
      <w:pPr>
        <w:spacing w:before="100" w:after="0"/>
      </w:pPr>
      <w:r>
        <w:t xml:space="preserve"/>
      </w:r>
    </w:p>
    <w:p>
      <w:pPr>
        <w:pStyle w:val="Heading2"/>
        <w:spacing w:before="280" w:after="120"/>
      </w:pPr>
      <w:r>
        <w:rPr>
          <w:b/>
          <w:bCs/>
          <w:color w:val="2E5FA3"/>
          <w:sz w:val="24"/>
          <w:szCs w:val="24"/>
        </w:rPr>
        <w:t xml:space="preserve">5.3 Method B — Fixed Voltage, Varying Current</w:t>
      </w:r>
    </w:p>
    <w:p>
      <w:pPr>
        <w:spacing w:before="80" w:after="80"/>
        <w:jc w:val="both"/>
      </w:pPr>
      <w:r>
        <w:rPr>
          <w:sz w:val="22"/>
          <w:szCs w:val="22"/>
        </w:rPr>
        <w:t xml:space="preserve">Fixed accelerating voltage: V = ________ V</w:t>
      </w:r>
    </w:p>
    <w:p>
      <w:pPr>
        <w:spacing w:before="80" w:after="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200"/>
        <w:gridCol w:w="1260"/>
        <w:gridCol w:w="1260"/>
        <w:gridCol w:w="1140"/>
        <w:gridCol w:w="1300"/>
      </w:tblGrid>
      <w:tr>
        <w:trPr>
          <w:tblHeader/>
        </w:trP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Trial</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I (A)</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B (T)</w:t>
            </w:r>
          </w:p>
        </w:tc>
        <w:tc>
          <w:tcPr>
            <w:tcW w:type="dxa" w:w="1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Left Radius (m)</w:t>
            </w:r>
          </w:p>
        </w:tc>
        <w:tc>
          <w:tcPr>
            <w:tcW w:type="dxa" w:w="1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Right Radius (m)</w:t>
            </w:r>
          </w:p>
        </w:tc>
        <w:tc>
          <w:tcPr>
            <w:tcW w:type="dxa" w:w="11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Mean r (m)</w:t>
            </w:r>
          </w:p>
        </w:tc>
        <w:tc>
          <w:tcPr>
            <w:tcW w:type="dxa" w:w="1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e/m (C/kg)</w:t>
            </w:r>
          </w:p>
        </w:tc>
      </w:tr>
      <w:tr>
        <w:tc>
          <w:tcPr>
            <w:tcW w:type="dxa" w:w="5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1</w:t>
            </w:r>
          </w:p>
        </w:tc>
        <w:tc>
          <w:tcPr>
            <w:tcW w:type="dxa" w:w="9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1.00</w:t>
            </w:r>
          </w:p>
        </w:tc>
        <w:tc>
          <w:tcPr>
            <w:tcW w:type="dxa" w:w="12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2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2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14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3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1.10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1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r>
      <w:tr>
        <w:tc>
          <w:tcPr>
            <w:tcW w:type="dxa" w:w="5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3</w:t>
            </w:r>
          </w:p>
        </w:tc>
        <w:tc>
          <w:tcPr>
            <w:tcW w:type="dxa" w:w="9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1.20</w:t>
            </w:r>
          </w:p>
        </w:tc>
        <w:tc>
          <w:tcPr>
            <w:tcW w:type="dxa" w:w="12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2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2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14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3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1.30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1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r>
      <w:tr>
        <w:tc>
          <w:tcPr>
            <w:tcW w:type="dxa" w:w="5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5</w:t>
            </w:r>
          </w:p>
        </w:tc>
        <w:tc>
          <w:tcPr>
            <w:tcW w:type="dxa" w:w="9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1.40</w:t>
            </w:r>
          </w:p>
        </w:tc>
        <w:tc>
          <w:tcPr>
            <w:tcW w:type="dxa" w:w="12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2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2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14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3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1.50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1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r>
      <w:tr>
        <w:tc>
          <w:tcPr>
            <w:tcW w:type="dxa" w:w="5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7</w:t>
            </w:r>
          </w:p>
        </w:tc>
        <w:tc>
          <w:tcPr>
            <w:tcW w:type="dxa" w:w="9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1.60</w:t>
            </w:r>
          </w:p>
        </w:tc>
        <w:tc>
          <w:tcPr>
            <w:tcW w:type="dxa" w:w="12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2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2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14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3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8</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1.70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1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r>
    </w:tbl>
    <w:p>
      <w:pPr>
        <w:spacing w:before="60" w:after="0"/>
      </w:pPr>
      <w:r>
        <w:t xml:space="preserve"/>
      </w:r>
    </w:p>
    <w:p>
      <w:pPr>
        <w:spacing w:before="80" w:after="80"/>
        <w:jc w:val="both"/>
      </w:pPr>
      <w:r>
        <w:rPr>
          <w:sz w:val="22"/>
          <w:szCs w:val="22"/>
        </w:rPr>
        <w:t xml:space="preserve">Mean e/m (Method B): ______________________________     Std. Deviation: ______________________________</w:t>
      </w:r>
    </w:p>
    <w:p>
      <w:pPr>
        <w:spacing w:before="100" w:after="0"/>
      </w:pPr>
      <w:r>
        <w:t xml:space="preserve"/>
      </w:r>
    </w:p>
    <w:p>
      <w:pPr>
        <w:pStyle w:val="Heading1"/>
        <w:spacing w:before="360" w:after="160"/>
      </w:pPr>
      <w:r>
        <w:rPr>
          <w:b/>
          <w:bCs/>
          <w:color w:val="1F3864"/>
          <w:sz w:val="28"/>
          <w:szCs w:val="28"/>
        </w:rPr>
        <w:t xml:space="preserve">6. Data Analysis</w:t>
      </w:r>
    </w:p>
    <w:p>
      <w:pPr>
        <w:pStyle w:val="Heading2"/>
        <w:spacing w:before="280" w:after="120"/>
      </w:pPr>
      <w:r>
        <w:rPr>
          <w:b/>
          <w:bCs/>
          <w:color w:val="2E5FA3"/>
          <w:sz w:val="24"/>
          <w:szCs w:val="24"/>
        </w:rPr>
        <w:t xml:space="preserve">6.1 Calculating e/m from Each Measurement</w:t>
      </w:r>
    </w:p>
    <w:p>
      <w:pPr>
        <w:spacing w:before="80" w:after="80"/>
        <w:jc w:val="both"/>
      </w:pPr>
      <w:r>
        <w:rPr>
          <w:sz w:val="22"/>
          <w:szCs w:val="22"/>
        </w:rPr>
        <w:t xml:space="preserve">Apply the working formula to each row of your data tables: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2E5FA3" w:sz="2"/>
              <w:left w:val="single" w:color="2E5FA3" w:sz="2"/>
              <w:bottom w:val="single" w:color="2E5FA3" w:sz="2"/>
              <w:right w:val="single" w:color="2E5FA3" w:sz="2"/>
            </w:tcBorders>
            <w:shd w:fill="EBF3FB" w:val="clear"/>
            <w:tcMar>
              <w:top w:type="dxa" w:w="100"/>
              <w:left w:type="dxa" w:w="200"/>
              <w:bottom w:type="dxa" w:w="100"/>
              <w:right w:type="dxa" w:w="200"/>
            </w:tcMar>
            <w:vAlign w:val="center"/>
          </w:tcPr>
          <w:p>
            <w:pPr>
              <w:jc w:val="center"/>
            </w:pPr>
            <w:r>
              <w:rPr>
                <w:rFonts w:ascii="Courier New" w:cs="Courier New" w:eastAsia="Courier New" w:hAnsi="Courier New"/>
                <w:b/>
                <w:bCs/>
                <w:sz w:val="24"/>
                <w:szCs w:val="24"/>
              </w:rPr>
              <w:t xml:space="preserve">e/m = 2V / (B²r²)</w:t>
            </w:r>
          </w:p>
        </w:tc>
        <w:tc>
          <w:tcPr>
            <w:tcBorders>
              <w:top w:val="single" w:color="2E5FA3" w:sz="2"/>
              <w:left w:val="single" w:color="2E5FA3" w:sz="2"/>
              <w:bottom w:val="single" w:color="2E5FA3" w:sz="2"/>
              <w:right w:val="single" w:color="2E5FA3" w:sz="2"/>
            </w:tcBorders>
            <w:shd w:fill="D6E4F0" w:val="clear"/>
            <w:tcMar>
              <w:top w:type="dxa" w:w="100"/>
              <w:left w:type="dxa" w:w="120"/>
              <w:bottom w:type="dxa" w:w="100"/>
              <w:right w:type="dxa" w:w="120"/>
            </w:tcMar>
            <w:vAlign w:val="center"/>
          </w:tcPr>
          <w:p>
            <w:pPr>
              <w:jc w:val="center"/>
            </w:pPr>
            <w:r>
              <w:rPr>
                <w:i/>
                <w:iCs/>
                <w:color w:val="444444"/>
                <w:sz w:val="20"/>
                <w:szCs w:val="20"/>
              </w:rPr>
              <w:t xml:space="preserve">Apply to every trial</w:t>
            </w:r>
          </w:p>
        </w:tc>
      </w:tr>
    </w:tbl>
    <w:p>
      <w:pPr>
        <w:spacing w:before="80" w:after="0"/>
      </w:pPr>
      <w:r>
        <w:t xml:space="preserve"/>
      </w:r>
    </w:p>
    <w:p>
      <w:pPr>
        <w:spacing w:before="80" w:after="80"/>
        <w:jc w:val="both"/>
      </w:pPr>
      <w:r>
        <w:rPr>
          <w:sz w:val="22"/>
          <w:szCs w:val="22"/>
        </w:rPr>
        <w:t xml:space="preserve">For Method A, B is constant across all rows. For Method B, B must be recalculated for each coil current: B = 7.80 × 10⁻⁴ × I.</w:t>
      </w:r>
    </w:p>
    <w:p>
      <w:pPr>
        <w:spacing w:before="100" w:after="0"/>
      </w:pPr>
      <w:r>
        <w:t xml:space="preserve"/>
      </w:r>
    </w:p>
    <w:p>
      <w:pPr>
        <w:pStyle w:val="Heading2"/>
        <w:spacing w:before="280" w:after="120"/>
      </w:pPr>
      <w:r>
        <w:rPr>
          <w:b/>
          <w:bCs/>
          <w:color w:val="2E5FA3"/>
          <w:sz w:val="24"/>
          <w:szCs w:val="24"/>
        </w:rPr>
        <w:t xml:space="preserve">6.2 Graphical Analysis — Method A</w:t>
      </w:r>
    </w:p>
    <w:p>
      <w:pPr>
        <w:spacing w:before="80" w:after="80"/>
        <w:jc w:val="both"/>
      </w:pPr>
      <w:r>
        <w:rPr>
          <w:sz w:val="22"/>
          <w:szCs w:val="22"/>
        </w:rPr>
        <w:t xml:space="preserve">Plot V (y-axis) versus r² (x-axis) for Method A. According to the working formula: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2E5FA3" w:sz="2"/>
              <w:left w:val="single" w:color="2E5FA3" w:sz="2"/>
              <w:bottom w:val="single" w:color="2E5FA3" w:sz="2"/>
              <w:right w:val="single" w:color="2E5FA3" w:sz="2"/>
            </w:tcBorders>
            <w:shd w:fill="EBF3FB" w:val="clear"/>
            <w:tcMar>
              <w:top w:type="dxa" w:w="100"/>
              <w:left w:type="dxa" w:w="200"/>
              <w:bottom w:type="dxa" w:w="100"/>
              <w:right w:type="dxa" w:w="200"/>
            </w:tcMar>
            <w:vAlign w:val="center"/>
          </w:tcPr>
          <w:p>
            <w:pPr>
              <w:jc w:val="center"/>
            </w:pPr>
            <w:r>
              <w:rPr>
                <w:rFonts w:ascii="Courier New" w:cs="Courier New" w:eastAsia="Courier New" w:hAnsi="Courier New"/>
                <w:b/>
                <w:bCs/>
                <w:sz w:val="24"/>
                <w:szCs w:val="24"/>
              </w:rPr>
              <w:t xml:space="preserve">V = (e/m) × B²/2 × r²</w:t>
            </w:r>
          </w:p>
        </w:tc>
        <w:tc>
          <w:tcPr>
            <w:tcBorders>
              <w:top w:val="single" w:color="2E5FA3" w:sz="2"/>
              <w:left w:val="single" w:color="2E5FA3" w:sz="2"/>
              <w:bottom w:val="single" w:color="2E5FA3" w:sz="2"/>
              <w:right w:val="single" w:color="2E5FA3" w:sz="2"/>
            </w:tcBorders>
            <w:shd w:fill="D6E4F0" w:val="clear"/>
            <w:tcMar>
              <w:top w:type="dxa" w:w="100"/>
              <w:left w:type="dxa" w:w="120"/>
              <w:bottom w:type="dxa" w:w="100"/>
              <w:right w:type="dxa" w:w="120"/>
            </w:tcMar>
            <w:vAlign w:val="center"/>
          </w:tcPr>
          <w:p>
            <w:pPr>
              <w:jc w:val="center"/>
            </w:pPr>
            <w:r>
              <w:rPr>
                <w:i/>
                <w:iCs/>
                <w:color w:val="444444"/>
                <w:sz w:val="20"/>
                <w:szCs w:val="20"/>
              </w:rPr>
              <w:t xml:space="preserve">Linear relation: V vs r²</w:t>
            </w:r>
          </w:p>
        </w:tc>
      </w:tr>
    </w:tbl>
    <w:p>
      <w:pPr>
        <w:spacing w:before="80" w:after="0"/>
      </w:pPr>
      <w:r>
        <w:t xml:space="preserve"/>
      </w:r>
    </w:p>
    <w:p>
      <w:pPr>
        <w:spacing w:before="80" w:after="80"/>
        <w:jc w:val="both"/>
      </w:pPr>
      <w:r>
        <w:rPr>
          <w:sz w:val="22"/>
          <w:szCs w:val="22"/>
        </w:rPr>
        <w:t xml:space="preserve">The slope of the best-fit line is slope = (e/m) × B²/2. Extract e/m from the slope: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2E5FA3" w:sz="2"/>
              <w:left w:val="single" w:color="2E5FA3" w:sz="2"/>
              <w:bottom w:val="single" w:color="2E5FA3" w:sz="2"/>
              <w:right w:val="single" w:color="2E5FA3" w:sz="2"/>
            </w:tcBorders>
            <w:shd w:fill="EBF3FB" w:val="clear"/>
            <w:tcMar>
              <w:top w:type="dxa" w:w="100"/>
              <w:left w:type="dxa" w:w="200"/>
              <w:bottom w:type="dxa" w:w="100"/>
              <w:right w:type="dxa" w:w="200"/>
            </w:tcMar>
            <w:vAlign w:val="center"/>
          </w:tcPr>
          <w:p>
            <w:pPr>
              <w:jc w:val="center"/>
            </w:pPr>
            <w:r>
              <w:rPr>
                <w:rFonts w:ascii="Courier New" w:cs="Courier New" w:eastAsia="Courier New" w:hAnsi="Courier New"/>
                <w:b/>
                <w:bCs/>
                <w:sz w:val="24"/>
                <w:szCs w:val="24"/>
              </w:rPr>
              <w:t xml:space="preserve">e/m = 2 × slope / B²</w:t>
            </w:r>
          </w:p>
        </w:tc>
        <w:tc>
          <w:tcPr>
            <w:tcBorders>
              <w:top w:val="single" w:color="2E5FA3" w:sz="2"/>
              <w:left w:val="single" w:color="2E5FA3" w:sz="2"/>
              <w:bottom w:val="single" w:color="2E5FA3" w:sz="2"/>
              <w:right w:val="single" w:color="2E5FA3" w:sz="2"/>
            </w:tcBorders>
            <w:shd w:fill="D6E4F0" w:val="clear"/>
            <w:tcMar>
              <w:top w:type="dxa" w:w="100"/>
              <w:left w:type="dxa" w:w="120"/>
              <w:bottom w:type="dxa" w:w="100"/>
              <w:right w:type="dxa" w:w="120"/>
            </w:tcMar>
            <w:vAlign w:val="center"/>
          </w:tcPr>
          <w:p>
            <w:pPr>
              <w:jc w:val="center"/>
            </w:pPr>
            <w:r>
              <w:rPr>
                <w:i/>
                <w:iCs/>
                <w:color w:val="444444"/>
                <w:sz w:val="20"/>
                <w:szCs w:val="20"/>
              </w:rPr>
              <w:t xml:space="preserve">From graphical slope</w:t>
            </w:r>
          </w:p>
        </w:tc>
      </w:tr>
    </w:tbl>
    <w:p>
      <w:pPr>
        <w:spacing w:before="80" w:after="0"/>
      </w:pPr>
      <w:r>
        <w:t xml:space="preserve"/>
      </w:r>
    </w:p>
    <w:p>
      <w:pPr>
        <w:spacing w:before="80" w:after="80"/>
        <w:jc w:val="both"/>
      </w:pPr>
      <w:r>
        <w:rPr>
          <w:sz w:val="22"/>
          <w:szCs w:val="22"/>
        </w:rPr>
        <w:t xml:space="preserve">Attach your graph (with title, labeled axes, units, best-fit line, and equation) to this report.</w:t>
      </w:r>
    </w:p>
    <w:p>
      <w:pPr>
        <w:spacing w:before="100" w:after="0"/>
      </w:pPr>
      <w:r>
        <w:t xml:space="preserve"/>
      </w:r>
    </w:p>
    <w:p>
      <w:pPr>
        <w:pStyle w:val="Heading2"/>
        <w:spacing w:before="280" w:after="120"/>
      </w:pPr>
      <w:r>
        <w:rPr>
          <w:b/>
          <w:bCs/>
          <w:color w:val="2E5FA3"/>
          <w:sz w:val="24"/>
          <w:szCs w:val="24"/>
        </w:rPr>
        <w:t xml:space="preserve">6.3 Graphical Analysis — Method B</w:t>
      </w:r>
    </w:p>
    <w:p>
      <w:pPr>
        <w:spacing w:before="80" w:after="80"/>
        <w:jc w:val="both"/>
      </w:pPr>
      <w:r>
        <w:rPr>
          <w:sz w:val="22"/>
          <w:szCs w:val="22"/>
        </w:rPr>
        <w:t xml:space="preserve">For Method B, rearrange the working formula to identify a suitable linear relationship. One approach: plot 1/r² (y-axis) versus I² (x-axis):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2E5FA3" w:sz="2"/>
              <w:left w:val="single" w:color="2E5FA3" w:sz="2"/>
              <w:bottom w:val="single" w:color="2E5FA3" w:sz="2"/>
              <w:right w:val="single" w:color="2E5FA3" w:sz="2"/>
            </w:tcBorders>
            <w:shd w:fill="EBF3FB" w:val="clear"/>
            <w:tcMar>
              <w:top w:type="dxa" w:w="100"/>
              <w:left w:type="dxa" w:w="200"/>
              <w:bottom w:type="dxa" w:w="100"/>
              <w:right w:type="dxa" w:w="200"/>
            </w:tcMar>
            <w:vAlign w:val="center"/>
          </w:tcPr>
          <w:p>
            <w:pPr>
              <w:jc w:val="center"/>
            </w:pPr>
            <w:r>
              <w:rPr>
                <w:rFonts w:ascii="Courier New" w:cs="Courier New" w:eastAsia="Courier New" w:hAnsi="Courier New"/>
                <w:b/>
                <w:bCs/>
                <w:sz w:val="24"/>
                <w:szCs w:val="24"/>
              </w:rPr>
              <w:t xml:space="preserve">1/r² = (e/m × k²)/(2V) × I²</w:t>
            </w:r>
          </w:p>
        </w:tc>
        <w:tc>
          <w:tcPr>
            <w:tcBorders>
              <w:top w:val="single" w:color="2E5FA3" w:sz="2"/>
              <w:left w:val="single" w:color="2E5FA3" w:sz="2"/>
              <w:bottom w:val="single" w:color="2E5FA3" w:sz="2"/>
              <w:right w:val="single" w:color="2E5FA3" w:sz="2"/>
            </w:tcBorders>
            <w:shd w:fill="D6E4F0" w:val="clear"/>
            <w:tcMar>
              <w:top w:type="dxa" w:w="100"/>
              <w:left w:type="dxa" w:w="120"/>
              <w:bottom w:type="dxa" w:w="100"/>
              <w:right w:type="dxa" w:w="120"/>
            </w:tcMar>
            <w:vAlign w:val="center"/>
          </w:tcPr>
          <w:p>
            <w:pPr>
              <w:jc w:val="center"/>
            </w:pPr>
            <w:r>
              <w:rPr>
                <w:i/>
                <w:iCs/>
                <w:color w:val="444444"/>
                <w:sz w:val="20"/>
                <w:szCs w:val="20"/>
              </w:rPr>
              <w:t xml:space="preserve">Linear relation: 1/r² vs I²</w:t>
            </w:r>
          </w:p>
        </w:tc>
      </w:tr>
    </w:tbl>
    <w:p>
      <w:pPr>
        <w:spacing w:before="80" w:after="0"/>
      </w:pPr>
      <w:r>
        <w:t xml:space="preserve"/>
      </w:r>
    </w:p>
    <w:p>
      <w:pPr>
        <w:spacing w:before="80" w:after="80"/>
        <w:jc w:val="both"/>
      </w:pPr>
      <w:r>
        <w:rPr>
          <w:sz w:val="22"/>
          <w:szCs w:val="22"/>
        </w:rPr>
        <w:t xml:space="preserve">where k = 7.80 × 10⁻⁴ T/A is the Helmholtz coil constant. From the slope: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2E5FA3" w:sz="2"/>
              <w:left w:val="single" w:color="2E5FA3" w:sz="2"/>
              <w:bottom w:val="single" w:color="2E5FA3" w:sz="2"/>
              <w:right w:val="single" w:color="2E5FA3" w:sz="2"/>
            </w:tcBorders>
            <w:shd w:fill="EBF3FB" w:val="clear"/>
            <w:tcMar>
              <w:top w:type="dxa" w:w="100"/>
              <w:left w:type="dxa" w:w="200"/>
              <w:bottom w:type="dxa" w:w="100"/>
              <w:right w:type="dxa" w:w="200"/>
            </w:tcMar>
            <w:vAlign w:val="center"/>
          </w:tcPr>
          <w:p>
            <w:pPr>
              <w:jc w:val="center"/>
            </w:pPr>
            <w:r>
              <w:rPr>
                <w:rFonts w:ascii="Courier New" w:cs="Courier New" w:eastAsia="Courier New" w:hAnsi="Courier New"/>
                <w:b/>
                <w:bCs/>
                <w:sz w:val="24"/>
                <w:szCs w:val="24"/>
              </w:rPr>
              <w:t xml:space="preserve">e/m = 2V × slope / k²</w:t>
            </w:r>
          </w:p>
        </w:tc>
        <w:tc>
          <w:tcPr>
            <w:tcBorders>
              <w:top w:val="single" w:color="2E5FA3" w:sz="2"/>
              <w:left w:val="single" w:color="2E5FA3" w:sz="2"/>
              <w:bottom w:val="single" w:color="2E5FA3" w:sz="2"/>
              <w:right w:val="single" w:color="2E5FA3" w:sz="2"/>
            </w:tcBorders>
            <w:shd w:fill="D6E4F0" w:val="clear"/>
            <w:tcMar>
              <w:top w:type="dxa" w:w="100"/>
              <w:left w:type="dxa" w:w="120"/>
              <w:bottom w:type="dxa" w:w="100"/>
              <w:right w:type="dxa" w:w="120"/>
            </w:tcMar>
            <w:vAlign w:val="center"/>
          </w:tcPr>
          <w:p>
            <w:pPr>
              <w:jc w:val="center"/>
            </w:pPr>
            <w:r>
              <w:rPr>
                <w:i/>
                <w:iCs/>
                <w:color w:val="444444"/>
                <w:sz w:val="20"/>
                <w:szCs w:val="20"/>
              </w:rPr>
              <w:t xml:space="preserve">From Method B graphical slope</w:t>
            </w:r>
          </w:p>
        </w:tc>
      </w:tr>
    </w:tbl>
    <w:p>
      <w:pPr>
        <w:spacing w:before="80" w:after="0"/>
      </w:pPr>
      <w:r>
        <w:t xml:space="preserve"/>
      </w:r>
    </w:p>
    <w:p>
      <w:pPr>
        <w:spacing w:before="100" w:after="0"/>
      </w:pPr>
      <w:r>
        <w:t xml:space="preserve"/>
      </w:r>
    </w:p>
    <w:p>
      <w:pPr>
        <w:pStyle w:val="Heading2"/>
        <w:spacing w:before="280" w:after="120"/>
      </w:pPr>
      <w:r>
        <w:rPr>
          <w:b/>
          <w:bCs/>
          <w:color w:val="2E5FA3"/>
          <w:sz w:val="24"/>
          <w:szCs w:val="24"/>
        </w:rPr>
        <w:t xml:space="preserve">6.4 Error Analysis</w:t>
      </w:r>
    </w:p>
    <w:p>
      <w:pPr>
        <w:spacing w:before="200" w:after="80"/>
      </w:pPr>
      <w:r>
        <w:rPr>
          <w:b/>
          <w:bCs/>
          <w:color w:val="333333"/>
          <w:sz w:val="22"/>
          <w:szCs w:val="22"/>
        </w:rPr>
        <w:t xml:space="preserve">Random Uncertainty in r</w:t>
      </w:r>
    </w:p>
    <w:p>
      <w:pPr>
        <w:spacing w:before="80" w:after="80"/>
        <w:jc w:val="both"/>
      </w:pPr>
      <w:r>
        <w:rPr>
          <w:sz w:val="22"/>
          <w:szCs w:val="22"/>
        </w:rPr>
        <w:t xml:space="preserve">Estimate the uncertainty in the radius measurement Δr (typically ±1 mm for visual observation). The propagated uncertainty in e/m due to Δr alone 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2E5FA3" w:sz="2"/>
              <w:left w:val="single" w:color="2E5FA3" w:sz="2"/>
              <w:bottom w:val="single" w:color="2E5FA3" w:sz="2"/>
              <w:right w:val="single" w:color="2E5FA3" w:sz="2"/>
            </w:tcBorders>
            <w:shd w:fill="EBF3FB" w:val="clear"/>
            <w:tcMar>
              <w:top w:type="dxa" w:w="100"/>
              <w:left w:type="dxa" w:w="200"/>
              <w:bottom w:type="dxa" w:w="100"/>
              <w:right w:type="dxa" w:w="200"/>
            </w:tcMar>
            <w:vAlign w:val="center"/>
          </w:tcPr>
          <w:p>
            <w:pPr>
              <w:jc w:val="center"/>
            </w:pPr>
            <w:r>
              <w:rPr>
                <w:rFonts w:ascii="Courier New" w:cs="Courier New" w:eastAsia="Courier New" w:hAnsi="Courier New"/>
                <w:b/>
                <w:bCs/>
                <w:sz w:val="24"/>
                <w:szCs w:val="24"/>
              </w:rPr>
              <w:t xml:space="preserve">Δ(e/m)/(e/m) = 2 × Δr/r</w:t>
            </w:r>
          </w:p>
        </w:tc>
        <w:tc>
          <w:tcPr>
            <w:tcBorders>
              <w:top w:val="single" w:color="2E5FA3" w:sz="2"/>
              <w:left w:val="single" w:color="2E5FA3" w:sz="2"/>
              <w:bottom w:val="single" w:color="2E5FA3" w:sz="2"/>
              <w:right w:val="single" w:color="2E5FA3" w:sz="2"/>
            </w:tcBorders>
            <w:shd w:fill="D6E4F0" w:val="clear"/>
            <w:tcMar>
              <w:top w:type="dxa" w:w="100"/>
              <w:left w:type="dxa" w:w="120"/>
              <w:bottom w:type="dxa" w:w="100"/>
              <w:right w:type="dxa" w:w="120"/>
            </w:tcMar>
            <w:vAlign w:val="center"/>
          </w:tcPr>
          <w:p>
            <w:pPr>
              <w:jc w:val="center"/>
            </w:pPr>
            <w:r>
              <w:rPr>
                <w:i/>
                <w:iCs/>
                <w:color w:val="444444"/>
                <w:sz w:val="20"/>
                <w:szCs w:val="20"/>
              </w:rPr>
              <w:t xml:space="preserve">Relative uncertainty from r</w:t>
            </w:r>
          </w:p>
        </w:tc>
      </w:tr>
    </w:tbl>
    <w:p>
      <w:pPr>
        <w:spacing w:before="80" w:after="0"/>
      </w:pPr>
      <w:r>
        <w:t xml:space="preserve"/>
      </w:r>
    </w:p>
    <w:p>
      <w:pPr>
        <w:spacing w:before="200" w:after="80"/>
      </w:pPr>
      <w:r>
        <w:rPr>
          <w:b/>
          <w:bCs/>
          <w:color w:val="333333"/>
          <w:sz w:val="22"/>
          <w:szCs w:val="22"/>
        </w:rPr>
        <w:t xml:space="preserve">Uncertainty in V and I</w:t>
      </w:r>
    </w:p>
    <w:p>
      <w:pPr>
        <w:spacing w:before="80" w:after="80"/>
        <w:jc w:val="both"/>
      </w:pPr>
      <w:r>
        <w:rPr>
          <w:sz w:val="22"/>
          <w:szCs w:val="22"/>
        </w:rPr>
        <w:t xml:space="preserve">Similarly, the relative uncertainties in V and I contribute to the total uncertainty. For a digital voltmeter with ±0.5% accuracy and ammeter with ±0.5% accuracy: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2E5FA3" w:sz="2"/>
              <w:left w:val="single" w:color="2E5FA3" w:sz="2"/>
              <w:bottom w:val="single" w:color="2E5FA3" w:sz="2"/>
              <w:right w:val="single" w:color="2E5FA3" w:sz="2"/>
            </w:tcBorders>
            <w:shd w:fill="EBF3FB" w:val="clear"/>
            <w:tcMar>
              <w:top w:type="dxa" w:w="100"/>
              <w:left w:type="dxa" w:w="200"/>
              <w:bottom w:type="dxa" w:w="100"/>
              <w:right w:type="dxa" w:w="200"/>
            </w:tcMar>
            <w:vAlign w:val="center"/>
          </w:tcPr>
          <w:p>
            <w:pPr>
              <w:jc w:val="center"/>
            </w:pPr>
            <w:r>
              <w:rPr>
                <w:rFonts w:ascii="Courier New" w:cs="Courier New" w:eastAsia="Courier New" w:hAnsi="Courier New"/>
                <w:b/>
                <w:bCs/>
                <w:sz w:val="24"/>
                <w:szCs w:val="24"/>
              </w:rPr>
              <w:t xml:space="preserve">Δ(e/m)/(e/m) = √[(ΔV/V)² + (2ΔB/B)² + (2Δr/r)²]</w:t>
            </w:r>
          </w:p>
        </w:tc>
        <w:tc>
          <w:tcPr>
            <w:tcBorders>
              <w:top w:val="single" w:color="2E5FA3" w:sz="2"/>
              <w:left w:val="single" w:color="2E5FA3" w:sz="2"/>
              <w:bottom w:val="single" w:color="2E5FA3" w:sz="2"/>
              <w:right w:val="single" w:color="2E5FA3" w:sz="2"/>
            </w:tcBorders>
            <w:shd w:fill="D6E4F0" w:val="clear"/>
            <w:tcMar>
              <w:top w:type="dxa" w:w="100"/>
              <w:left w:type="dxa" w:w="120"/>
              <w:bottom w:type="dxa" w:w="100"/>
              <w:right w:type="dxa" w:w="120"/>
            </w:tcMar>
            <w:vAlign w:val="center"/>
          </w:tcPr>
          <w:p>
            <w:pPr>
              <w:jc w:val="center"/>
            </w:pPr>
            <w:r>
              <w:rPr>
                <w:i/>
                <w:iCs/>
                <w:color w:val="444444"/>
                <w:sz w:val="20"/>
                <w:szCs w:val="20"/>
              </w:rPr>
              <w:t xml:space="preserve">Combined relative uncertainty</w:t>
            </w:r>
          </w:p>
        </w:tc>
      </w:tr>
    </w:tbl>
    <w:p>
      <w:pPr>
        <w:spacing w:before="80" w:after="0"/>
      </w:pPr>
      <w:r>
        <w:t xml:space="preserve"/>
      </w:r>
    </w:p>
    <w:p>
      <w:pPr>
        <w:spacing w:before="80" w:after="80"/>
        <w:jc w:val="both"/>
      </w:pPr>
      <w:r>
        <w:rPr>
          <w:sz w:val="22"/>
          <w:szCs w:val="22"/>
        </w:rPr>
        <w:t xml:space="preserve">Calculate the absolute uncertainty Δ(e/m) for at least three representative trials and report these as error bars on your graphs.</w:t>
      </w:r>
    </w:p>
    <w:p>
      <w:pPr>
        <w:spacing w:before="200" w:after="80"/>
      </w:pPr>
      <w:r>
        <w:rPr>
          <w:b/>
          <w:bCs/>
          <w:color w:val="333333"/>
          <w:sz w:val="22"/>
          <w:szCs w:val="22"/>
        </w:rPr>
        <w:t xml:space="preserve">Percent Error</w:t>
      </w:r>
    </w:p>
    <w:p>
      <w:pPr>
        <w:spacing w:before="80" w:after="80"/>
        <w:jc w:val="both"/>
      </w:pPr>
      <w:r>
        <w:rPr>
          <w:sz w:val="22"/>
          <w:szCs w:val="22"/>
        </w:rPr>
        <w:t xml:space="preserve">Compare your mean experimental e/m to the accepted value: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2E5FA3" w:sz="2"/>
              <w:left w:val="single" w:color="2E5FA3" w:sz="2"/>
              <w:bottom w:val="single" w:color="2E5FA3" w:sz="2"/>
              <w:right w:val="single" w:color="2E5FA3" w:sz="2"/>
            </w:tcBorders>
            <w:shd w:fill="EBF3FB" w:val="clear"/>
            <w:tcMar>
              <w:top w:type="dxa" w:w="100"/>
              <w:left w:type="dxa" w:w="200"/>
              <w:bottom w:type="dxa" w:w="100"/>
              <w:right w:type="dxa" w:w="200"/>
            </w:tcMar>
            <w:vAlign w:val="center"/>
          </w:tcPr>
          <w:p>
            <w:pPr>
              <w:jc w:val="center"/>
            </w:pPr>
            <w:r>
              <w:rPr>
                <w:rFonts w:ascii="Courier New" w:cs="Courier New" w:eastAsia="Courier New" w:hAnsi="Courier New"/>
                <w:b/>
                <w:bCs/>
                <w:sz w:val="24"/>
                <w:szCs w:val="24"/>
              </w:rPr>
              <w:t xml:space="preserve">% Error = |e/m_exp − e/m_acc| / e/m_acc × 100%</w:t>
            </w:r>
          </w:p>
        </w:tc>
        <w:tc>
          <w:tcPr>
            <w:tcBorders>
              <w:top w:val="single" w:color="2E5FA3" w:sz="2"/>
              <w:left w:val="single" w:color="2E5FA3" w:sz="2"/>
              <w:bottom w:val="single" w:color="2E5FA3" w:sz="2"/>
              <w:right w:val="single" w:color="2E5FA3" w:sz="2"/>
            </w:tcBorders>
            <w:shd w:fill="D6E4F0" w:val="clear"/>
            <w:tcMar>
              <w:top w:type="dxa" w:w="100"/>
              <w:left w:type="dxa" w:w="120"/>
              <w:bottom w:type="dxa" w:w="100"/>
              <w:right w:type="dxa" w:w="120"/>
            </w:tcMar>
            <w:vAlign w:val="center"/>
          </w:tcPr>
          <w:p>
            <w:pPr>
              <w:jc w:val="center"/>
            </w:pPr>
            <w:r>
              <w:rPr>
                <w:i/>
                <w:iCs/>
                <w:color w:val="444444"/>
                <w:sz w:val="20"/>
                <w:szCs w:val="20"/>
              </w:rPr>
              <w:t xml:space="preserve">Percent error</w:t>
            </w:r>
          </w:p>
        </w:tc>
      </w:tr>
    </w:tbl>
    <w:p>
      <w:pPr>
        <w:spacing w:before="80" w:after="0"/>
      </w:pPr>
      <w:r>
        <w:t xml:space="preserve"/>
      </w:r>
    </w:p>
    <w:p>
      <w:pPr>
        <w:spacing w:before="100" w:after="0"/>
      </w:pPr>
      <w:r>
        <w:t xml:space="preserve"/>
      </w:r>
    </w:p>
    <w:p>
      <w:pPr>
        <w:pStyle w:val="Heading1"/>
        <w:spacing w:before="360" w:after="160"/>
      </w:pPr>
      <w:r>
        <w:rPr>
          <w:b/>
          <w:bCs/>
          <w:color w:val="1F3864"/>
          <w:sz w:val="28"/>
          <w:szCs w:val="28"/>
        </w:rPr>
        <w:t xml:space="preserve">7. Results Summary Table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1360"/>
        <w:gridCol w:w="19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Method</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Mean e/m (C/kg)</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Std. Dev. (C/kg)</w:t>
            </w:r>
          </w:p>
        </w:tc>
        <w:tc>
          <w:tcPr>
            <w:tcW w:type="dxa" w:w="1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 Error</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22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Method A (V varied)</w:t>
            </w:r>
          </w:p>
        </w:tc>
        <w:tc>
          <w:tcPr>
            <w:tcW w:type="dxa" w:w="20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9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3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9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Method B (I varied)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r>
      <w:tr>
        <w:tc>
          <w:tcPr>
            <w:tcW w:type="dxa" w:w="22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Graphical (Method A)</w:t>
            </w:r>
          </w:p>
        </w:tc>
        <w:tc>
          <w:tcPr>
            <w:tcW w:type="dxa" w:w="20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9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3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9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Graphical (Method B)</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
            </w:r>
          </w:p>
        </w:tc>
      </w:tr>
      <w:tr>
        <w:tc>
          <w:tcPr>
            <w:tcW w:type="dxa" w:w="22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Combined / Weighted Mean</w:t>
            </w:r>
          </w:p>
        </w:tc>
        <w:tc>
          <w:tcPr>
            <w:tcW w:type="dxa" w:w="20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9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3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c>
          <w:tcPr>
            <w:tcW w:type="dxa" w:w="19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
            </w:r>
          </w:p>
        </w:tc>
      </w:tr>
    </w:tbl>
    <w:p>
      <w:pPr>
        <w:spacing w:before="100" w:after="0"/>
      </w:pPr>
      <w:r>
        <w:t xml:space="preserve"/>
      </w:r>
    </w:p>
    <w:p>
      <w:pPr>
        <w:pStyle w:val="Heading1"/>
        <w:spacing w:before="360" w:after="160"/>
      </w:pPr>
      <w:r>
        <w:rPr>
          <w:b/>
          <w:bCs/>
          <w:color w:val="1F3864"/>
          <w:sz w:val="28"/>
          <w:szCs w:val="28"/>
        </w:rPr>
        <w:t xml:space="preserve">8. Discussion Questions</w:t>
      </w:r>
    </w:p>
    <w:p>
      <w:pPr>
        <w:spacing w:before="80" w:after="80"/>
        <w:jc w:val="both"/>
      </w:pPr>
      <w:r>
        <w:rPr>
          <w:sz w:val="22"/>
          <w:szCs w:val="22"/>
        </w:rPr>
        <w:t xml:space="preserve">Answer each of the following in complete sentences (4–6 lines each):</w:t>
      </w:r>
    </w:p>
    <w:p>
      <w:pPr>
        <w:spacing w:before="80" w:after="0"/>
      </w:pPr>
      <w:r>
        <w:t xml:space="preserve"/>
      </w:r>
    </w:p>
    <w:p>
      <w:pPr>
        <w:pStyle w:val="Heading2"/>
        <w:spacing w:before="280" w:after="120"/>
      </w:pPr>
      <w:r>
        <w:rPr>
          <w:b/>
          <w:bCs/>
          <w:color w:val="2E5FA3"/>
          <w:sz w:val="24"/>
          <w:szCs w:val="24"/>
        </w:rPr>
        <w:t xml:space="preserve">8.1</w:t>
      </w:r>
    </w:p>
    <w:p>
      <w:pPr>
        <w:spacing w:before="80" w:after="80"/>
        <w:jc w:val="both"/>
      </w:pPr>
      <w:r>
        <w:rPr>
          <w:sz w:val="22"/>
          <w:szCs w:val="22"/>
        </w:rPr>
        <w:t xml:space="preserve">How does your experimentally determined value of e/m compare with the accepted value? Is the discrepancy within your estimated experimental uncertainty? If not, suggest the most likely source(s) of systematic error.</w:t>
      </w:r>
    </w:p>
    <w:p>
      <w:pPr>
        <w:spacing w:before="200" w:after="0"/>
      </w:pPr>
      <w:r>
        <w:t xml:space="preserve"/>
      </w:r>
    </w:p>
    <w:p>
      <w:pPr>
        <w:pStyle w:val="Heading2"/>
        <w:spacing w:before="280" w:after="120"/>
      </w:pPr>
      <w:r>
        <w:rPr>
          <w:b/>
          <w:bCs/>
          <w:color w:val="2E5FA3"/>
          <w:sz w:val="24"/>
          <w:szCs w:val="24"/>
        </w:rPr>
        <w:t xml:space="preserve">8.2</w:t>
      </w:r>
    </w:p>
    <w:p>
      <w:pPr>
        <w:spacing w:before="80" w:after="80"/>
        <w:jc w:val="both"/>
      </w:pPr>
      <w:r>
        <w:rPr>
          <w:sz w:val="22"/>
          <w:szCs w:val="22"/>
        </w:rPr>
        <w:t xml:space="preserve">Explain qualitatively what would happen to the radius of the electron orbit if (a) the accelerating voltage were doubled while B remained constant, and (b) the magnetic field were halved while V remained constant. Confirm your answers with the formula.</w:t>
      </w:r>
    </w:p>
    <w:p>
      <w:pPr>
        <w:spacing w:before="200" w:after="0"/>
      </w:pPr>
      <w:r>
        <w:t xml:space="preserve"/>
      </w:r>
    </w:p>
    <w:p>
      <w:pPr>
        <w:pStyle w:val="Heading2"/>
        <w:spacing w:before="280" w:after="120"/>
      </w:pPr>
      <w:r>
        <w:rPr>
          <w:b/>
          <w:bCs/>
          <w:color w:val="2E5FA3"/>
          <w:sz w:val="24"/>
          <w:szCs w:val="24"/>
        </w:rPr>
        <w:t xml:space="preserve">8.3</w:t>
      </w:r>
    </w:p>
    <w:p>
      <w:pPr>
        <w:spacing w:before="80" w:after="80"/>
        <w:jc w:val="both"/>
      </w:pPr>
      <w:r>
        <w:rPr>
          <w:sz w:val="22"/>
          <w:szCs w:val="22"/>
        </w:rPr>
        <w:t xml:space="preserve">Why is it important to orient the Helmholtz coil axis parallel to the Earth's magnetic field direction? What would happen if the apparatus were oriented with the coil axis perpendicular to the Earth's field? Describe the expected effect on the beam shape.</w:t>
      </w:r>
    </w:p>
    <w:p>
      <w:pPr>
        <w:spacing w:before="200" w:after="0"/>
      </w:pPr>
      <w:r>
        <w:t xml:space="preserve"/>
      </w:r>
    </w:p>
    <w:p>
      <w:pPr>
        <w:pStyle w:val="Heading2"/>
        <w:spacing w:before="280" w:after="120"/>
      </w:pPr>
      <w:r>
        <w:rPr>
          <w:b/>
          <w:bCs/>
          <w:color w:val="2E5FA3"/>
          <w:sz w:val="24"/>
          <w:szCs w:val="24"/>
        </w:rPr>
        <w:t xml:space="preserve">8.4</w:t>
      </w:r>
    </w:p>
    <w:p>
      <w:pPr>
        <w:spacing w:before="80" w:after="80"/>
        <w:jc w:val="both"/>
      </w:pPr>
      <w:r>
        <w:rPr>
          <w:sz w:val="22"/>
          <w:szCs w:val="22"/>
        </w:rPr>
        <w:t xml:space="preserve">The electrons in this experiment travel at a speed much less than the speed of light. Calculate the electron speed (as a fraction of c) for V = 200 V and verify that relativistic corrections are negligible. At what accelerating voltage would a 1% relativistic correction become necessary?</w:t>
      </w:r>
    </w:p>
    <w:p>
      <w:pPr>
        <w:spacing w:before="200" w:after="0"/>
      </w:pPr>
      <w:r>
        <w:t xml:space="preserve"/>
      </w:r>
    </w:p>
    <w:p>
      <w:pPr>
        <w:pStyle w:val="Heading2"/>
        <w:spacing w:before="280" w:after="120"/>
      </w:pPr>
      <w:r>
        <w:rPr>
          <w:b/>
          <w:bCs/>
          <w:color w:val="2E5FA3"/>
          <w:sz w:val="24"/>
          <w:szCs w:val="24"/>
        </w:rPr>
        <w:t xml:space="preserve">8.5</w:t>
      </w:r>
    </w:p>
    <w:p>
      <w:pPr>
        <w:spacing w:before="80" w:after="80"/>
        <w:jc w:val="both"/>
      </w:pPr>
      <w:r>
        <w:rPr>
          <w:sz w:val="22"/>
          <w:szCs w:val="22"/>
        </w:rPr>
        <w:t xml:space="preserve">This experiment measures e/m rather than e and m separately. What additional measurement or experiment would be needed to determine e and m independently? (Hint: Consider Millikan's oil drop experiment.)</w:t>
      </w:r>
    </w:p>
    <w:p>
      <w:pPr>
        <w:spacing w:before="200" w:after="0"/>
      </w:pPr>
      <w:r>
        <w:t xml:space="preserve"/>
      </w:r>
    </w:p>
    <w:p>
      <w:pPr>
        <w:pStyle w:val="Heading2"/>
        <w:spacing w:before="280" w:after="120"/>
      </w:pPr>
      <w:r>
        <w:rPr>
          <w:b/>
          <w:bCs/>
          <w:color w:val="2E5FA3"/>
          <w:sz w:val="24"/>
          <w:szCs w:val="24"/>
        </w:rPr>
        <w:t xml:space="preserve">8.6</w:t>
      </w:r>
    </w:p>
    <w:p>
      <w:pPr>
        <w:spacing w:before="80" w:after="80"/>
        <w:jc w:val="both"/>
      </w:pPr>
      <w:r>
        <w:rPr>
          <w:sz w:val="22"/>
          <w:szCs w:val="22"/>
        </w:rPr>
        <w:t xml:space="preserve">Analyze the V vs r² graph from Method A. Is the relationship linear as predicted? Comment on any deviations, particularly at small or large values of r, and explain possible physical reasons.</w:t>
      </w:r>
    </w:p>
    <w:p>
      <w:pPr>
        <w:spacing w:before="200" w:after="0"/>
      </w:pPr>
      <w:r>
        <w:t xml:space="preserve"/>
      </w:r>
    </w:p>
    <w:p>
      <w:pPr>
        <w:spacing w:before="100" w:after="0"/>
      </w:pPr>
      <w:r>
        <w:t xml:space="preserve"/>
      </w:r>
    </w:p>
    <w:p>
      <w:pPr>
        <w:pStyle w:val="Heading1"/>
        <w:spacing w:before="360" w:after="160"/>
      </w:pPr>
      <w:r>
        <w:rPr>
          <w:b/>
          <w:bCs/>
          <w:color w:val="1F3864"/>
          <w:sz w:val="28"/>
          <w:szCs w:val="28"/>
        </w:rPr>
        <w:t xml:space="preserve">9. Conclusion</w:t>
      </w:r>
    </w:p>
    <w:p>
      <w:pPr>
        <w:spacing w:before="80" w:after="80"/>
        <w:jc w:val="both"/>
      </w:pPr>
      <w:r>
        <w:rPr>
          <w:sz w:val="22"/>
          <w:szCs w:val="22"/>
        </w:rPr>
        <w:t xml:space="preserve">Write a concise conclusion (8–12 lines) summarizing:</w:t>
      </w:r>
    </w:p>
    <w:p>
      <w:pPr>
        <w:pStyle w:val="ListParagraph"/>
        <w:numPr>
          <w:ilvl w:val="0"/>
          <w:numId w:val="2"/>
        </w:numPr>
        <w:spacing w:before="60" w:after="60"/>
      </w:pPr>
      <w:r>
        <w:rPr>
          <w:sz w:val="22"/>
          <w:szCs w:val="22"/>
        </w:rPr>
        <w:t xml:space="preserve">The objective of the experiment and the method used</w:t>
      </w:r>
    </w:p>
    <w:p>
      <w:pPr>
        <w:pStyle w:val="ListParagraph"/>
        <w:numPr>
          <w:ilvl w:val="0"/>
          <w:numId w:val="2"/>
        </w:numPr>
        <w:spacing w:before="60" w:after="60"/>
      </w:pPr>
      <w:r>
        <w:rPr>
          <w:sz w:val="22"/>
          <w:szCs w:val="22"/>
        </w:rPr>
        <w:t xml:space="preserve">Your principal result (mean e/m with uncertainty)</w:t>
      </w:r>
    </w:p>
    <w:p>
      <w:pPr>
        <w:pStyle w:val="ListParagraph"/>
        <w:numPr>
          <w:ilvl w:val="0"/>
          <w:numId w:val="2"/>
        </w:numPr>
        <w:spacing w:before="60" w:after="60"/>
      </w:pPr>
      <w:r>
        <w:rPr>
          <w:sz w:val="22"/>
          <w:szCs w:val="22"/>
        </w:rPr>
        <w:t xml:space="preserve">Comparison with the accepted value and percent error</w:t>
      </w:r>
    </w:p>
    <w:p>
      <w:pPr>
        <w:pStyle w:val="ListParagraph"/>
        <w:numPr>
          <w:ilvl w:val="0"/>
          <w:numId w:val="2"/>
        </w:numPr>
        <w:spacing w:before="60" w:after="60"/>
      </w:pPr>
      <w:r>
        <w:rPr>
          <w:sz w:val="22"/>
          <w:szCs w:val="22"/>
        </w:rPr>
        <w:t xml:space="preserve">The main sources of error and their relative importance</w:t>
      </w:r>
    </w:p>
    <w:p>
      <w:pPr>
        <w:pStyle w:val="ListParagraph"/>
        <w:numPr>
          <w:ilvl w:val="0"/>
          <w:numId w:val="2"/>
        </w:numPr>
        <w:spacing w:before="60" w:after="60"/>
      </w:pPr>
      <w:r>
        <w:rPr>
          <w:sz w:val="22"/>
          <w:szCs w:val="22"/>
        </w:rPr>
        <w:t xml:space="preserve">The physical significance of the specific charge ratio in atomic physics</w:t>
      </w:r>
    </w:p>
    <w:p>
      <w:pPr>
        <w:spacing w:before="300" w:after="0"/>
      </w:pPr>
      <w:r>
        <w:t xml:space="preserve"/>
      </w:r>
    </w:p>
    <w:p>
      <w:pPr>
        <w:spacing w:before="100" w:after="0"/>
      </w:pPr>
      <w:r>
        <w:t xml:space="preserve"/>
      </w:r>
    </w:p>
    <w:p>
      <w:pPr>
        <w:pStyle w:val="Heading1"/>
        <w:spacing w:before="360" w:after="160"/>
      </w:pPr>
      <w:r>
        <w:rPr>
          <w:b/>
          <w:bCs/>
          <w:color w:val="1F3864"/>
          <w:sz w:val="28"/>
          <w:szCs w:val="28"/>
        </w:rPr>
        <w:t xml:space="preserve">Appendix A: Key Formulas Reference</w:t>
      </w:r>
    </w:p>
    <w:p>
      <w:pPr>
        <w:pBdr>
          <w:bottom w:val="single" w:color="2E5FA3" w:sz="4" w:space="1"/>
        </w:pBdr>
        <w:spacing w:before="160" w:after="16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Formula</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Variables</w:t>
            </w:r>
          </w:p>
        </w:tc>
      </w:tr>
      <w:tr>
        <w:tc>
          <w:tcPr>
            <w:tcW w:type="dxa" w:w="28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eV = ½mv²</w:t>
            </w:r>
          </w:p>
        </w:tc>
        <w:tc>
          <w:tcPr>
            <w:tcW w:type="dxa" w:w="28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Energy conservation in electron gun</w:t>
            </w:r>
          </w:p>
        </w:tc>
        <w:tc>
          <w:tcPr>
            <w:tcW w:type="dxa" w:w="37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e = charge, V = voltage, m = mass, v = speed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r = mv/(eB)</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Orbital radius in magnetic field</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B = field, r = radius</w:t>
            </w:r>
          </w:p>
        </w:tc>
      </w:tr>
      <w:tr>
        <w:tc>
          <w:tcPr>
            <w:tcW w:type="dxa" w:w="28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e/m = 2V/(B²r²)</w:t>
            </w:r>
          </w:p>
        </w:tc>
        <w:tc>
          <w:tcPr>
            <w:tcW w:type="dxa" w:w="28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Working formula for specific charge</w:t>
            </w:r>
          </w:p>
        </w:tc>
        <w:tc>
          <w:tcPr>
            <w:tcW w:type="dxa" w:w="37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Primary experimental relation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B = 7.80×10⁻⁴ · I</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Helmholtz coil field (this apparatus)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I = coil current in Amperes</w:t>
            </w:r>
          </w:p>
        </w:tc>
      </w:tr>
      <w:tr>
        <w:tc>
          <w:tcPr>
            <w:tcW w:type="dxa" w:w="28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Δ(e/m)/(e/m) = √[(ΔV/V)² + 4(ΔI/I)² + 4(Δr/r)²]</w:t>
            </w:r>
          </w:p>
        </w:tc>
        <w:tc>
          <w:tcPr>
            <w:tcW w:type="dxa" w:w="28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Combined relative uncertainty</w:t>
            </w:r>
          </w:p>
        </w:tc>
        <w:tc>
          <w:tcPr>
            <w:tcW w:type="dxa" w:w="37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Δ = absolute uncertainty</w:t>
            </w:r>
          </w:p>
        </w:tc>
      </w:tr>
    </w:tbl>
    <w:p>
      <w:pPr>
        <w:spacing w:before="100" w:after="0"/>
      </w:pPr>
      <w:r>
        <w:t xml:space="preserve"/>
      </w:r>
    </w:p>
    <w:p>
      <w:pPr>
        <w:pStyle w:val="Heading1"/>
        <w:spacing w:before="360" w:after="160"/>
      </w:pPr>
      <w:r>
        <w:rPr>
          <w:b/>
          <w:bCs/>
          <w:color w:val="1F3864"/>
          <w:sz w:val="28"/>
          <w:szCs w:val="28"/>
        </w:rPr>
        <w:t xml:space="preserve">Appendix B: Physical Constants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Constant</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Symbol</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Units</w:t>
            </w:r>
          </w:p>
        </w:tc>
      </w:tr>
      <w:tr>
        <w:tc>
          <w:tcPr>
            <w:tcW w:type="dxa" w:w="28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Elementary charge</w:t>
            </w:r>
          </w:p>
        </w:tc>
        <w:tc>
          <w:tcPr>
            <w:tcW w:type="dxa" w:w="16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e</w:t>
            </w:r>
          </w:p>
        </w:tc>
        <w:tc>
          <w:tcPr>
            <w:tcW w:type="dxa" w:w="24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1.60218 × 10⁻¹⁹</w:t>
            </w:r>
          </w:p>
        </w:tc>
        <w:tc>
          <w:tcPr>
            <w:tcW w:type="dxa" w:w="25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C</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Electron rest mass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mₑ</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9.10938 × 10⁻³¹</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kg</w:t>
            </w:r>
          </w:p>
        </w:tc>
      </w:tr>
      <w:tr>
        <w:tc>
          <w:tcPr>
            <w:tcW w:type="dxa" w:w="28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Specific charge (e/mₑ)</w:t>
            </w:r>
          </w:p>
        </w:tc>
        <w:tc>
          <w:tcPr>
            <w:tcW w:type="dxa" w:w="16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e/mₑ</w:t>
            </w:r>
          </w:p>
        </w:tc>
        <w:tc>
          <w:tcPr>
            <w:tcW w:type="dxa" w:w="24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1.75882 × 10¹¹</w:t>
            </w:r>
          </w:p>
        </w:tc>
        <w:tc>
          <w:tcPr>
            <w:tcW w:type="dxa" w:w="25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C/kg</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Permeability of free space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μ₀</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4π × 10⁻⁷</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T·m/A</w:t>
            </w:r>
          </w:p>
        </w:tc>
      </w:tr>
      <w:tr>
        <w:tc>
          <w:tcPr>
            <w:tcW w:type="dxa" w:w="28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Speed of light</w:t>
            </w:r>
          </w:p>
        </w:tc>
        <w:tc>
          <w:tcPr>
            <w:tcW w:type="dxa" w:w="16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c</w:t>
            </w:r>
          </w:p>
        </w:tc>
        <w:tc>
          <w:tcPr>
            <w:tcW w:type="dxa" w:w="240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2.99792 × 10⁸</w:t>
            </w:r>
          </w:p>
        </w:tc>
        <w:tc>
          <w:tcPr>
            <w:tcW w:type="dxa" w:w="2560"/>
            <w:tcBorders>
              <w:top w:val="single" w:color="AAAAAA" w:sz="1"/>
              <w:left w:val="single" w:color="AAAAAA" w:sz="1"/>
              <w:bottom w:val="single" w:color="AAAAAA" w:sz="1"/>
              <w:right w:val="single" w:color="AAAAAA" w:sz="1"/>
            </w:tcBorders>
            <w:shd w:fill="F5F8FD" w:val="clear"/>
            <w:tcMar>
              <w:top w:type="dxa" w:w="60"/>
              <w:left w:type="dxa" w:w="120"/>
              <w:bottom w:type="dxa" w:w="60"/>
              <w:right w:type="dxa" w:w="120"/>
            </w:tcMar>
            <w:vAlign w:val="center"/>
          </w:tcPr>
          <w:p>
            <w:pPr>
              <w:jc w:val="center"/>
            </w:pPr>
            <w:r>
              <w:rPr>
                <w:sz w:val="20"/>
                <w:szCs w:val="20"/>
              </w:rPr>
              <w:t xml:space="preserve">m/s</w:t>
            </w:r>
          </w:p>
        </w:tc>
      </w:tr>
    </w:tbl>
    <w:p>
      <w:pPr>
        <w:spacing w:before="100" w:after="0"/>
      </w:pPr>
      <w:r>
        <w:t xml:space="preserve"/>
      </w:r>
    </w:p>
    <w:p>
      <w:pPr>
        <w:pStyle w:val="Heading1"/>
        <w:spacing w:before="360" w:after="160"/>
      </w:pPr>
      <w:r>
        <w:rPr>
          <w:b/>
          <w:bCs/>
          <w:color w:val="1F3864"/>
          <w:sz w:val="28"/>
          <w:szCs w:val="28"/>
        </w:rPr>
        <w:t xml:space="preserve">Appendix C: Pre-Lab Questions</w:t>
      </w:r>
    </w:p>
    <w:p>
      <w:pPr>
        <w:spacing w:before="80" w:after="80"/>
        <w:jc w:val="both"/>
      </w:pPr>
      <w:r>
        <w:rPr>
          <w:sz w:val="22"/>
          <w:szCs w:val="22"/>
        </w:rPr>
        <w:t xml:space="preserve">Complete before arriving at the laboratory:</w:t>
      </w:r>
    </w:p>
    <w:p>
      <w:pPr>
        <w:spacing w:before="80" w:after="0"/>
      </w:pPr>
      <w:r>
        <w:t xml:space="preserve"/>
      </w:r>
    </w:p>
    <w:p>
      <w:pPr>
        <w:pStyle w:val="ListParagraph"/>
        <w:numPr>
          <w:ilvl w:val="0"/>
          <w:numId w:val="3"/>
        </w:numPr>
        <w:spacing w:before="60" w:after="60"/>
      </w:pPr>
      <w:r>
        <w:rPr>
          <w:sz w:val="22"/>
          <w:szCs w:val="22"/>
        </w:rPr>
        <w:t xml:space="preserve">Derive the working formula e/m = 2V/(B²r²) starting from Newton's second law and the work-energy theorem. Show all steps clearly.</w:t>
      </w:r>
    </w:p>
    <w:p>
      <w:pPr>
        <w:spacing w:before="180" w:after="0"/>
      </w:pPr>
      <w:r>
        <w:t xml:space="preserve"/>
      </w:r>
    </w:p>
    <w:p>
      <w:pPr>
        <w:pStyle w:val="ListParagraph"/>
        <w:numPr>
          <w:ilvl w:val="0"/>
          <w:numId w:val="3"/>
        </w:numPr>
        <w:spacing w:before="60" w:after="60"/>
      </w:pPr>
      <w:r>
        <w:rPr>
          <w:sz w:val="22"/>
          <w:szCs w:val="22"/>
        </w:rPr>
        <w:t xml:space="preserve">Calculate the expected radius of the electron orbit for V = 200 V, I = 1.5 A, using the Helmholtz coil constant k = 7.80 × 10⁻⁴ T/A and the accepted value of e/m.</w:t>
      </w:r>
    </w:p>
    <w:p>
      <w:pPr>
        <w:spacing w:before="180" w:after="0"/>
      </w:pPr>
      <w:r>
        <w:t xml:space="preserve"/>
      </w:r>
    </w:p>
    <w:p>
      <w:pPr>
        <w:pStyle w:val="ListParagraph"/>
        <w:numPr>
          <w:ilvl w:val="0"/>
          <w:numId w:val="3"/>
        </w:numPr>
        <w:spacing w:before="60" w:after="60"/>
      </w:pPr>
      <w:r>
        <w:rPr>
          <w:sz w:val="22"/>
          <w:szCs w:val="22"/>
        </w:rPr>
        <w:t xml:space="preserve">What is the approximate speed of an electron accelerated through 200 V? Express your answer in m/s and as a fraction of the speed of light c.</w:t>
      </w:r>
    </w:p>
    <w:p>
      <w:pPr>
        <w:spacing w:before="180" w:after="0"/>
      </w:pPr>
      <w:r>
        <w:t xml:space="preserve"/>
      </w:r>
    </w:p>
    <w:p>
      <w:pPr>
        <w:pStyle w:val="ListParagraph"/>
        <w:numPr>
          <w:ilvl w:val="0"/>
          <w:numId w:val="3"/>
        </w:numPr>
        <w:spacing w:before="60" w:after="60"/>
      </w:pPr>
      <w:r>
        <w:rPr>
          <w:sz w:val="22"/>
          <w:szCs w:val="22"/>
        </w:rPr>
        <w:t xml:space="preserve">If you were to observe a helix (spiral) instead of a circle when the apparatus is turned on, what adjustment would you make? Explain why.</w:t>
      </w:r>
    </w:p>
    <w:p>
      <w:pPr>
        <w:spacing w:before="180" w:after="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360"/>
      </w:tabs>
      <w:spacing w:before="80" w:after="0"/>
    </w:pPr>
    <w:r>
      <w:rPr>
        <w:color w:val="666666"/>
        <w:sz w:val="18"/>
        <w:szCs w:val="18"/>
      </w:rPr>
      <w:t xml:space="preserve">Department of Physics</w:t>
    </w:r>
    <w:r>
      <w:rPr>
        <w:sz w:val="18"/>
        <w:szCs w:val="18"/>
      </w:rPr>
      <w:t xml:space="preserve">	</w:t>
    </w:r>
    <w:r>
      <w:rPr>
        <w:color w:val="666666"/>
        <w:sz w:val="18"/>
        <w:szCs w:val="18"/>
      </w:rPr>
      <w:t xml:space="preserve">Page </w:t>
    </w:r>
    <w:r>
      <w:rPr>
        <w:color w:val="2E5FA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360"/>
      </w:tabs>
      <w:spacing w:before="0" w:after="80"/>
    </w:pPr>
    <w:r>
      <w:rPr>
        <w:b/>
        <w:bCs/>
        <w:color w:val="2E5FA3"/>
        <w:sz w:val="20"/>
        <w:szCs w:val="20"/>
      </w:rPr>
      <w:t xml:space="preserve">Modern Physics Laboratory</w:t>
    </w:r>
    <w:r>
      <w:rPr>
        <w:sz w:val="20"/>
        <w:szCs w:val="20"/>
      </w:rPr>
      <w:t xml:space="preserve">	</w:t>
    </w:r>
    <w:r>
      <w:rPr>
        <w:color w:val="666666"/>
        <w:sz w:val="18"/>
        <w:szCs w:val="18"/>
      </w:rPr>
      <w:t xml:space="preserve">Determination of Specific Charge of Electron (e/m)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2026-03-05T22:16:19.108Z</dcterms:created>
  <dcterms:modified xsi:type="dcterms:W3CDTF">2026-03-05T22:16:19.110Z</dcterms:modified>
</cp:coreProperties>
</file>

<file path=docProps/custom.xml><?xml version="1.0" encoding="utf-8"?>
<Properties xmlns="http://schemas.openxmlformats.org/officeDocument/2006/custom-properties" xmlns:vt="http://schemas.openxmlformats.org/officeDocument/2006/docPropsVTypes"/>
</file>