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u w:val="single"/>
          <w:lang w:val="en-US"/>
        </w:rPr>
      </w:pPr>
      <w:r>
        <w:rPr>
          <w:b/>
          <w:bCs/>
          <w:u w:val="single"/>
          <w:lang w:val="en-US"/>
        </w:rPr>
        <w:t>Question 1:</w:t>
      </w:r>
    </w:p>
    <w:p>
      <w:pPr>
        <w:pStyle w:val="style0"/>
        <w:rPr>
          <w:b/>
          <w:bCs/>
          <w:u w:val="single"/>
          <w:lang w:val="en-US"/>
        </w:rPr>
      </w:pPr>
    </w:p>
    <w:p>
      <w:pPr>
        <w:pStyle w:val="style0"/>
        <w:jc w:val="both"/>
        <w:rPr>
          <w:lang w:val="en-US"/>
        </w:rPr>
      </w:pPr>
      <w:r>
        <w:rPr>
          <w:lang w:val="en-US"/>
        </w:rPr>
        <w:t xml:space="preserve">A Ltd. wants to take over B Ltd. </w:t>
      </w:r>
      <w:r>
        <w:rPr>
          <w:lang w:val="en-US"/>
        </w:rPr>
        <w:t>a</w:t>
      </w:r>
      <w:r>
        <w:rPr>
          <w:lang w:val="en-US"/>
        </w:rPr>
        <w:t>nd the financial details of both the companies are below:</w:t>
      </w:r>
    </w:p>
    <w:tbl>
      <w:tblPr>
        <w:tblW w:w="5000" w:type="pct"/>
        <w:tblLook w:val="04A0" w:firstRow="1" w:lastRow="0" w:firstColumn="1" w:lastColumn="0" w:noHBand="0" w:noVBand="1"/>
      </w:tblPr>
      <w:tblGrid>
        <w:gridCol w:w="5257"/>
        <w:gridCol w:w="1982"/>
        <w:gridCol w:w="1787"/>
      </w:tblGrid>
      <w:tr>
        <w:trPr>
          <w:trHeight w:val="320" w:hRule="atLeast"/>
        </w:trPr>
        <w:tc>
          <w:tcPr>
            <w:tcW w:w="2912" w:type="pct"/>
            <w:tcBorders>
              <w:top w:val="single" w:sz="4" w:space="0" w:color="auto"/>
              <w:left w:val="nil"/>
              <w:bottom w:val="single" w:sz="4" w:space="0" w:color="auto"/>
              <w:right w:val="single" w:sz="4" w:space="0" w:color="auto"/>
            </w:tcBorders>
            <w:noWrap/>
            <w:vAlign w:val="bottom"/>
            <w:hideMark/>
          </w:tcPr>
          <w:p>
            <w:pPr>
              <w:pStyle w:val="style0"/>
              <w:rPr/>
            </w:pPr>
          </w:p>
        </w:tc>
        <w:tc>
          <w:tcPr>
            <w:tcW w:w="1098" w:type="pct"/>
            <w:tcBorders>
              <w:top w:val="single" w:sz="4" w:space="0" w:color="auto"/>
              <w:left w:val="single" w:sz="4" w:space="0" w:color="auto"/>
              <w:bottom w:val="single" w:sz="4" w:space="0" w:color="auto"/>
              <w:right w:val="single" w:sz="4" w:space="0" w:color="auto"/>
            </w:tcBorders>
            <w:noWrap/>
            <w:vAlign w:val="bottom"/>
            <w:hideMark/>
          </w:tcPr>
          <w:p>
            <w:pPr>
              <w:pStyle w:val="style0"/>
              <w:rPr>
                <w:b/>
                <w:bCs/>
                <w:color w:val="000000"/>
              </w:rPr>
            </w:pPr>
            <w:r>
              <w:rPr>
                <w:b/>
                <w:bCs/>
                <w:color w:val="000000"/>
              </w:rPr>
              <w:t>A Ltd.</w:t>
            </w:r>
          </w:p>
        </w:tc>
        <w:tc>
          <w:tcPr>
            <w:tcW w:w="991" w:type="pct"/>
            <w:tcBorders>
              <w:top w:val="single" w:sz="4" w:space="0" w:color="auto"/>
              <w:left w:val="single" w:sz="4" w:space="0" w:color="auto"/>
              <w:bottom w:val="single" w:sz="4" w:space="0" w:color="auto"/>
              <w:right w:val="nil"/>
            </w:tcBorders>
            <w:noWrap/>
            <w:vAlign w:val="bottom"/>
            <w:hideMark/>
          </w:tcPr>
          <w:p>
            <w:pPr>
              <w:pStyle w:val="style0"/>
              <w:rPr>
                <w:b/>
                <w:bCs/>
                <w:color w:val="000000"/>
              </w:rPr>
            </w:pPr>
            <w:r>
              <w:rPr>
                <w:b/>
                <w:bCs/>
                <w:color w:val="000000"/>
              </w:rPr>
              <w:t>B Ltd.</w:t>
            </w:r>
          </w:p>
        </w:tc>
      </w:tr>
      <w:tr>
        <w:tblPrEx/>
        <w:trPr>
          <w:trHeight w:val="320" w:hRule="atLeast"/>
        </w:trPr>
        <w:tc>
          <w:tcPr>
            <w:tcW w:w="2912" w:type="pct"/>
            <w:tcBorders>
              <w:top w:val="single" w:sz="4" w:space="0" w:color="auto"/>
              <w:left w:val="nil"/>
              <w:bottom w:val="nil"/>
              <w:right w:val="single" w:sz="4" w:space="0" w:color="auto"/>
            </w:tcBorders>
            <w:noWrap/>
            <w:vAlign w:val="bottom"/>
            <w:hideMark/>
          </w:tcPr>
          <w:p>
            <w:pPr>
              <w:pStyle w:val="style0"/>
              <w:rPr>
                <w:color w:val="000000"/>
              </w:rPr>
            </w:pPr>
            <w:r>
              <w:rPr>
                <w:color w:val="000000"/>
              </w:rPr>
              <w:t>Equity share capital of Rs. 10 each</w:t>
            </w:r>
          </w:p>
        </w:tc>
        <w:tc>
          <w:tcPr>
            <w:tcW w:w="1098" w:type="pct"/>
            <w:tcBorders>
              <w:top w:val="single" w:sz="4" w:space="0" w:color="auto"/>
              <w:left w:val="single" w:sz="4" w:space="0" w:color="auto"/>
              <w:bottom w:val="nil"/>
              <w:right w:val="single" w:sz="4" w:space="0" w:color="auto"/>
            </w:tcBorders>
            <w:noWrap/>
            <w:vAlign w:val="bottom"/>
            <w:hideMark/>
          </w:tcPr>
          <w:p>
            <w:pPr>
              <w:pStyle w:val="style0"/>
              <w:jc w:val="right"/>
              <w:rPr>
                <w:color w:val="000000"/>
              </w:rPr>
            </w:pPr>
            <w:r>
              <w:rPr>
                <w:color w:val="000000"/>
              </w:rPr>
              <w:t>2,00,000</w:t>
            </w:r>
          </w:p>
        </w:tc>
        <w:tc>
          <w:tcPr>
            <w:tcW w:w="991" w:type="pct"/>
            <w:tcBorders>
              <w:top w:val="single" w:sz="4" w:space="0" w:color="auto"/>
              <w:left w:val="single" w:sz="4" w:space="0" w:color="auto"/>
              <w:bottom w:val="nil"/>
              <w:right w:val="nil"/>
            </w:tcBorders>
            <w:noWrap/>
            <w:vAlign w:val="bottom"/>
            <w:hideMark/>
          </w:tcPr>
          <w:p>
            <w:pPr>
              <w:pStyle w:val="style0"/>
              <w:jc w:val="right"/>
              <w:rPr>
                <w:color w:val="000000"/>
              </w:rPr>
            </w:pPr>
            <w:r>
              <w:rPr>
                <w:color w:val="000000"/>
              </w:rPr>
              <w:t>1,00,000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Preference</w:t>
            </w:r>
            <w:r>
              <w:rPr>
                <w:color w:val="000000"/>
              </w:rPr>
              <w:t xml:space="preserve"> share capital</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40,000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Share premium</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4,000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Profit and loss account</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76,000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8,000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10% Debentures</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30,000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10,000</w:t>
            </w:r>
          </w:p>
        </w:tc>
      </w:tr>
      <w:tr>
        <w:tblPrEx/>
        <w:trPr>
          <w:trHeight w:val="340" w:hRule="atLeast"/>
        </w:trPr>
        <w:tc>
          <w:tcPr>
            <w:tcW w:w="2912" w:type="pct"/>
            <w:tcBorders>
              <w:top w:val="single" w:sz="4" w:space="0" w:color="auto"/>
              <w:left w:val="nil"/>
              <w:bottom w:val="single" w:sz="8" w:space="0" w:color="auto"/>
              <w:right w:val="single" w:sz="4" w:space="0" w:color="auto"/>
            </w:tcBorders>
            <w:noWrap/>
            <w:vAlign w:val="bottom"/>
            <w:hideMark/>
          </w:tcPr>
          <w:p>
            <w:pPr>
              <w:pStyle w:val="style0"/>
              <w:rPr>
                <w:b/>
                <w:bCs/>
                <w:color w:val="000000"/>
              </w:rPr>
            </w:pPr>
            <w:r>
              <w:rPr>
                <w:b/>
                <w:bCs/>
                <w:color w:val="000000"/>
              </w:rPr>
              <w:t>Total Liabilities</w:t>
            </w:r>
          </w:p>
        </w:tc>
        <w:tc>
          <w:tcPr>
            <w:tcW w:w="1098" w:type="pct"/>
            <w:tcBorders>
              <w:top w:val="single" w:sz="4" w:space="0" w:color="auto"/>
              <w:left w:val="single" w:sz="4" w:space="0" w:color="auto"/>
              <w:bottom w:val="single" w:sz="8" w:space="0" w:color="auto"/>
              <w:right w:val="single" w:sz="4" w:space="0" w:color="auto"/>
            </w:tcBorders>
            <w:noWrap/>
            <w:vAlign w:val="bottom"/>
            <w:hideMark/>
          </w:tcPr>
          <w:p>
            <w:pPr>
              <w:pStyle w:val="style0"/>
              <w:jc w:val="right"/>
              <w:rPr>
                <w:b/>
                <w:bCs/>
                <w:color w:val="000000"/>
              </w:rPr>
            </w:pPr>
            <w:r>
              <w:rPr>
                <w:b/>
                <w:bCs/>
                <w:color w:val="000000"/>
              </w:rPr>
              <w:t>3,46,000</w:t>
            </w:r>
          </w:p>
        </w:tc>
        <w:tc>
          <w:tcPr>
            <w:tcW w:w="991" w:type="pct"/>
            <w:tcBorders>
              <w:top w:val="single" w:sz="4" w:space="0" w:color="auto"/>
              <w:left w:val="single" w:sz="4" w:space="0" w:color="auto"/>
              <w:bottom w:val="single" w:sz="8" w:space="0" w:color="auto"/>
              <w:right w:val="nil"/>
            </w:tcBorders>
            <w:noWrap/>
            <w:vAlign w:val="bottom"/>
            <w:hideMark/>
          </w:tcPr>
          <w:p>
            <w:pPr>
              <w:pStyle w:val="style0"/>
              <w:jc w:val="right"/>
              <w:rPr>
                <w:b/>
                <w:bCs/>
                <w:color w:val="000000"/>
              </w:rPr>
            </w:pPr>
            <w:r>
              <w:rPr>
                <w:b/>
                <w:bCs/>
                <w:color w:val="000000"/>
              </w:rPr>
              <w:t>1,22,000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jc w:val="right"/>
              <w:rPr>
                <w:b/>
                <w:bCs/>
                <w:color w:val="000000"/>
              </w:rPr>
            </w:pPr>
          </w:p>
        </w:tc>
        <w:tc>
          <w:tcPr>
            <w:tcW w:w="1098" w:type="pct"/>
            <w:tcBorders>
              <w:top w:val="nil"/>
              <w:left w:val="single" w:sz="4" w:space="0" w:color="auto"/>
              <w:bottom w:val="nil"/>
              <w:right w:val="single" w:sz="4" w:space="0" w:color="auto"/>
            </w:tcBorders>
            <w:noWrap/>
            <w:vAlign w:val="bottom"/>
            <w:hideMark/>
          </w:tcPr>
          <w:p>
            <w:pPr>
              <w:pStyle w:val="style0"/>
              <w:rPr/>
            </w:pPr>
          </w:p>
        </w:tc>
        <w:tc>
          <w:tcPr>
            <w:tcW w:w="991" w:type="pct"/>
            <w:tcBorders>
              <w:top w:val="nil"/>
              <w:left w:val="single" w:sz="4" w:space="0" w:color="auto"/>
              <w:bottom w:val="nil"/>
              <w:right w:val="nil"/>
            </w:tcBorders>
            <w:noWrap/>
            <w:vAlign w:val="bottom"/>
            <w:hideMark/>
          </w:tcPr>
          <w:p>
            <w:pPr>
              <w:pStyle w:val="style0"/>
              <w:rPr/>
            </w:pP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Fixed Assets</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2,44,000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70,000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Current assets</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1,02,000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52,000</w:t>
            </w:r>
          </w:p>
        </w:tc>
      </w:tr>
      <w:tr>
        <w:tblPrEx/>
        <w:trPr>
          <w:trHeight w:val="340" w:hRule="atLeast"/>
        </w:trPr>
        <w:tc>
          <w:tcPr>
            <w:tcW w:w="2912" w:type="pct"/>
            <w:tcBorders>
              <w:top w:val="single" w:sz="4" w:space="0" w:color="auto"/>
              <w:left w:val="nil"/>
              <w:bottom w:val="single" w:sz="8" w:space="0" w:color="auto"/>
              <w:right w:val="single" w:sz="4" w:space="0" w:color="auto"/>
            </w:tcBorders>
            <w:noWrap/>
            <w:vAlign w:val="bottom"/>
            <w:hideMark/>
          </w:tcPr>
          <w:p>
            <w:pPr>
              <w:pStyle w:val="style0"/>
              <w:rPr>
                <w:b/>
                <w:bCs/>
                <w:color w:val="000000"/>
              </w:rPr>
            </w:pPr>
            <w:r>
              <w:rPr>
                <w:b/>
                <w:bCs/>
                <w:color w:val="000000"/>
              </w:rPr>
              <w:t>Total assets</w:t>
            </w:r>
          </w:p>
        </w:tc>
        <w:tc>
          <w:tcPr>
            <w:tcW w:w="1098" w:type="pct"/>
            <w:tcBorders>
              <w:top w:val="single" w:sz="4" w:space="0" w:color="auto"/>
              <w:left w:val="single" w:sz="4" w:space="0" w:color="auto"/>
              <w:bottom w:val="single" w:sz="8" w:space="0" w:color="auto"/>
              <w:right w:val="single" w:sz="4" w:space="0" w:color="auto"/>
            </w:tcBorders>
            <w:noWrap/>
            <w:vAlign w:val="bottom"/>
            <w:hideMark/>
          </w:tcPr>
          <w:p>
            <w:pPr>
              <w:pStyle w:val="style0"/>
              <w:jc w:val="right"/>
              <w:rPr>
                <w:b/>
                <w:bCs/>
                <w:color w:val="000000"/>
              </w:rPr>
            </w:pPr>
            <w:r>
              <w:rPr>
                <w:b/>
                <w:bCs/>
                <w:color w:val="000000"/>
              </w:rPr>
              <w:t>3,46,000</w:t>
            </w:r>
          </w:p>
        </w:tc>
        <w:tc>
          <w:tcPr>
            <w:tcW w:w="991" w:type="pct"/>
            <w:tcBorders>
              <w:top w:val="single" w:sz="4" w:space="0" w:color="auto"/>
              <w:left w:val="single" w:sz="4" w:space="0" w:color="auto"/>
              <w:bottom w:val="single" w:sz="8" w:space="0" w:color="auto"/>
              <w:right w:val="nil"/>
            </w:tcBorders>
            <w:noWrap/>
            <w:vAlign w:val="bottom"/>
            <w:hideMark/>
          </w:tcPr>
          <w:p>
            <w:pPr>
              <w:pStyle w:val="style0"/>
              <w:jc w:val="right"/>
              <w:rPr>
                <w:b/>
                <w:bCs/>
                <w:color w:val="000000"/>
              </w:rPr>
            </w:pPr>
            <w:r>
              <w:rPr>
                <w:b/>
                <w:bCs/>
                <w:color w:val="000000"/>
              </w:rPr>
              <w:t>1,22,000</w:t>
            </w:r>
          </w:p>
        </w:tc>
      </w:tr>
      <w:tr>
        <w:tblPrEx/>
        <w:trPr>
          <w:trHeight w:val="320" w:hRule="atLeast"/>
        </w:trPr>
        <w:tc>
          <w:tcPr>
            <w:tcW w:w="2912" w:type="pct"/>
            <w:tcBorders>
              <w:top w:val="nil"/>
              <w:left w:val="nil"/>
              <w:bottom w:val="nil"/>
              <w:right w:val="single" w:sz="4" w:space="0" w:color="auto"/>
            </w:tcBorders>
            <w:noWrap/>
            <w:vAlign w:val="bottom"/>
            <w:hideMark/>
          </w:tcPr>
          <w:p>
            <w:pPr>
              <w:pStyle w:val="style0"/>
              <w:jc w:val="right"/>
              <w:rPr>
                <w:b/>
                <w:bCs/>
                <w:color w:val="000000"/>
              </w:rPr>
            </w:pPr>
          </w:p>
        </w:tc>
        <w:tc>
          <w:tcPr>
            <w:tcW w:w="1098" w:type="pct"/>
            <w:tcBorders>
              <w:top w:val="nil"/>
              <w:left w:val="single" w:sz="4" w:space="0" w:color="auto"/>
              <w:bottom w:val="nil"/>
              <w:right w:val="single" w:sz="4" w:space="0" w:color="auto"/>
            </w:tcBorders>
            <w:noWrap/>
            <w:vAlign w:val="bottom"/>
            <w:hideMark/>
          </w:tcPr>
          <w:p>
            <w:pPr>
              <w:pStyle w:val="style0"/>
              <w:rPr/>
            </w:pPr>
          </w:p>
        </w:tc>
        <w:tc>
          <w:tcPr>
            <w:tcW w:w="991" w:type="pct"/>
            <w:tcBorders>
              <w:top w:val="nil"/>
              <w:left w:val="single" w:sz="4" w:space="0" w:color="auto"/>
              <w:bottom w:val="nil"/>
              <w:right w:val="nil"/>
            </w:tcBorders>
            <w:noWrap/>
            <w:vAlign w:val="bottom"/>
            <w:hideMark/>
          </w:tcPr>
          <w:p>
            <w:pPr>
              <w:pStyle w:val="style0"/>
              <w:rPr/>
            </w:pPr>
          </w:p>
        </w:tc>
      </w:tr>
      <w:tr>
        <w:tblPrEx/>
        <w:trPr>
          <w:trHeight w:val="320" w:hRule="atLeast"/>
        </w:trPr>
        <w:tc>
          <w:tcPr>
            <w:tcW w:w="2912" w:type="pct"/>
            <w:tcBorders>
              <w:top w:val="nil"/>
              <w:left w:val="nil"/>
              <w:bottom w:val="nil"/>
              <w:right w:val="single" w:sz="4" w:space="0" w:color="auto"/>
            </w:tcBorders>
            <w:noWrap/>
            <w:vAlign w:val="bottom"/>
            <w:hideMark/>
          </w:tcPr>
          <w:p>
            <w:pPr>
              <w:pStyle w:val="style0"/>
              <w:rPr>
                <w:color w:val="000000"/>
              </w:rPr>
            </w:pPr>
            <w:r>
              <w:rPr>
                <w:color w:val="000000"/>
              </w:rPr>
              <w:t>Profit after tax and preference dividend</w:t>
            </w:r>
          </w:p>
        </w:tc>
        <w:tc>
          <w:tcPr>
            <w:tcW w:w="1098" w:type="pct"/>
            <w:tcBorders>
              <w:top w:val="nil"/>
              <w:left w:val="single" w:sz="4" w:space="0" w:color="auto"/>
              <w:bottom w:val="nil"/>
              <w:right w:val="single" w:sz="4" w:space="0" w:color="auto"/>
            </w:tcBorders>
            <w:noWrap/>
            <w:vAlign w:val="bottom"/>
            <w:hideMark/>
          </w:tcPr>
          <w:p>
            <w:pPr>
              <w:pStyle w:val="style0"/>
              <w:jc w:val="right"/>
              <w:rPr>
                <w:color w:val="000000"/>
              </w:rPr>
            </w:pPr>
            <w:r>
              <w:rPr>
                <w:color w:val="000000"/>
              </w:rPr>
              <w:t>48,000</w:t>
            </w:r>
          </w:p>
        </w:tc>
        <w:tc>
          <w:tcPr>
            <w:tcW w:w="991" w:type="pct"/>
            <w:tcBorders>
              <w:top w:val="nil"/>
              <w:left w:val="single" w:sz="4" w:space="0" w:color="auto"/>
              <w:bottom w:val="nil"/>
              <w:right w:val="nil"/>
            </w:tcBorders>
            <w:noWrap/>
            <w:vAlign w:val="bottom"/>
            <w:hideMark/>
          </w:tcPr>
          <w:p>
            <w:pPr>
              <w:pStyle w:val="style0"/>
              <w:jc w:val="right"/>
              <w:rPr>
                <w:color w:val="000000"/>
              </w:rPr>
            </w:pPr>
            <w:r>
              <w:rPr>
                <w:color w:val="000000"/>
              </w:rPr>
              <w:t>30,000</w:t>
            </w:r>
          </w:p>
        </w:tc>
      </w:tr>
      <w:tr>
        <w:tblPrEx/>
        <w:trPr>
          <w:trHeight w:val="320" w:hRule="atLeast"/>
        </w:trPr>
        <w:tc>
          <w:tcPr>
            <w:tcW w:w="2912" w:type="pct"/>
            <w:tcBorders>
              <w:top w:val="nil"/>
              <w:left w:val="nil"/>
              <w:bottom w:val="single" w:sz="4" w:space="0" w:color="auto"/>
              <w:right w:val="single" w:sz="4" w:space="0" w:color="auto"/>
            </w:tcBorders>
            <w:noWrap/>
            <w:vAlign w:val="bottom"/>
            <w:hideMark/>
          </w:tcPr>
          <w:p>
            <w:pPr>
              <w:pStyle w:val="style0"/>
              <w:rPr>
                <w:color w:val="000000"/>
              </w:rPr>
            </w:pPr>
            <w:r>
              <w:rPr>
                <w:color w:val="000000"/>
              </w:rPr>
              <w:t>Market price per share</w:t>
            </w:r>
          </w:p>
        </w:tc>
        <w:tc>
          <w:tcPr>
            <w:tcW w:w="1098" w:type="pct"/>
            <w:tcBorders>
              <w:top w:val="nil"/>
              <w:left w:val="single" w:sz="4" w:space="0" w:color="auto"/>
              <w:bottom w:val="single" w:sz="4" w:space="0" w:color="auto"/>
              <w:right w:val="single" w:sz="4" w:space="0" w:color="auto"/>
            </w:tcBorders>
            <w:noWrap/>
            <w:vAlign w:val="bottom"/>
            <w:hideMark/>
          </w:tcPr>
          <w:p>
            <w:pPr>
              <w:pStyle w:val="style0"/>
              <w:jc w:val="right"/>
              <w:rPr>
                <w:color w:val="000000"/>
              </w:rPr>
            </w:pPr>
            <w:r>
              <w:rPr>
                <w:color w:val="000000"/>
              </w:rPr>
              <w:t>24</w:t>
            </w:r>
          </w:p>
        </w:tc>
        <w:tc>
          <w:tcPr>
            <w:tcW w:w="991" w:type="pct"/>
            <w:tcBorders>
              <w:top w:val="nil"/>
              <w:left w:val="single" w:sz="4" w:space="0" w:color="auto"/>
              <w:bottom w:val="single" w:sz="4" w:space="0" w:color="auto"/>
              <w:right w:val="nil"/>
            </w:tcBorders>
            <w:noWrap/>
            <w:vAlign w:val="bottom"/>
            <w:hideMark/>
          </w:tcPr>
          <w:p>
            <w:pPr>
              <w:pStyle w:val="style0"/>
              <w:jc w:val="right"/>
              <w:rPr>
                <w:color w:val="000000"/>
              </w:rPr>
            </w:pPr>
            <w:r>
              <w:rPr>
                <w:color w:val="000000"/>
              </w:rPr>
              <w:t>27</w:t>
            </w:r>
          </w:p>
        </w:tc>
      </w:tr>
    </w:tbl>
    <w:p>
      <w:pPr>
        <w:pStyle w:val="style0"/>
        <w:rPr>
          <w:lang w:val="en-US"/>
        </w:rPr>
      </w:pPr>
    </w:p>
    <w:p>
      <w:pPr>
        <w:pStyle w:val="style0"/>
        <w:jc w:val="both"/>
        <w:rPr>
          <w:lang w:val="en-US"/>
        </w:rPr>
      </w:pPr>
      <w:r>
        <w:rPr>
          <w:lang w:val="en-US"/>
        </w:rPr>
        <w:t>You are required to determine the share exchange ratio to be offered to the shareholders of B Ltd. Based on</w:t>
      </w:r>
      <w:r>
        <w:rPr>
          <w:lang w:val="en-US"/>
        </w:rPr>
        <w:t>:</w:t>
      </w:r>
    </w:p>
    <w:p>
      <w:pPr>
        <w:pStyle w:val="style179"/>
        <w:numPr>
          <w:ilvl w:val="0"/>
          <w:numId w:val="1"/>
        </w:numPr>
        <w:jc w:val="both"/>
        <w:rPr>
          <w:lang w:val="en-US"/>
        </w:rPr>
      </w:pPr>
      <w:r>
        <w:rPr>
          <w:lang w:val="en-US"/>
        </w:rPr>
        <w:t>N</w:t>
      </w:r>
      <w:r>
        <w:rPr>
          <w:lang w:val="en-US"/>
        </w:rPr>
        <w:t>et assets value,</w:t>
      </w:r>
    </w:p>
    <w:p>
      <w:pPr>
        <w:pStyle w:val="style179"/>
        <w:numPr>
          <w:ilvl w:val="0"/>
          <w:numId w:val="1"/>
        </w:numPr>
        <w:jc w:val="both"/>
        <w:rPr>
          <w:lang w:val="en-US"/>
        </w:rPr>
      </w:pPr>
      <w:r>
        <w:rPr>
          <w:lang w:val="en-US"/>
        </w:rPr>
        <w:t xml:space="preserve">EPS, and </w:t>
      </w:r>
    </w:p>
    <w:p>
      <w:pPr>
        <w:pStyle w:val="style179"/>
        <w:numPr>
          <w:ilvl w:val="0"/>
          <w:numId w:val="1"/>
        </w:numPr>
        <w:jc w:val="both"/>
        <w:rPr>
          <w:lang w:val="en-US"/>
        </w:rPr>
      </w:pPr>
      <w:r>
        <w:rPr>
          <w:lang w:val="en-US"/>
        </w:rPr>
        <w:t>M</w:t>
      </w:r>
      <w:r>
        <w:rPr>
          <w:lang w:val="en-US"/>
        </w:rPr>
        <w:t>arket price.</w:t>
      </w:r>
    </w:p>
    <w:p>
      <w:pPr>
        <w:pStyle w:val="style0"/>
        <w:jc w:val="both"/>
        <w:rPr>
          <w:lang w:val="en-US"/>
        </w:rPr>
      </w:pPr>
    </w:p>
    <w:p>
      <w:pPr>
        <w:pStyle w:val="style0"/>
        <w:jc w:val="both"/>
        <w:rPr>
          <w:lang w:val="en-US"/>
        </w:rPr>
      </w:pPr>
      <w:r>
        <w:rPr>
          <w:lang w:val="en-US"/>
        </w:rPr>
        <w:t>Which should be preferred from the point of view of A Ltd.?</w:t>
      </w:r>
    </w:p>
    <w:p>
      <w:pPr>
        <w:pStyle w:val="style0"/>
        <w:rPr>
          <w:lang w:val="en-US"/>
        </w:rPr>
      </w:pPr>
    </w:p>
    <w:p>
      <w:pPr>
        <w:pStyle w:val="style0"/>
        <w:rPr>
          <w:lang w:val="en-US"/>
        </w:rPr>
      </w:pPr>
    </w:p>
    <w:p>
      <w:pPr>
        <w:pStyle w:val="style0"/>
        <w:spacing w:after="160" w:lineRule="auto" w:line="278"/>
        <w:rPr>
          <w:b/>
          <w:bCs/>
          <w:u w:val="single"/>
          <w:lang w:val="en-US"/>
        </w:rPr>
      </w:pPr>
      <w:r>
        <w:rPr>
          <w:b/>
          <w:bCs/>
          <w:u w:val="single"/>
          <w:lang w:val="en-US"/>
        </w:rPr>
        <w:br w:type="page"/>
      </w:r>
    </w:p>
    <w:p>
      <w:pPr>
        <w:pStyle w:val="style0"/>
        <w:rPr>
          <w:b/>
          <w:bCs/>
          <w:u w:val="single"/>
          <w:lang w:val="en-US"/>
        </w:rPr>
      </w:pPr>
      <w:r>
        <w:rPr>
          <w:b/>
          <w:bCs/>
          <w:u w:val="single"/>
          <w:lang w:val="en-US"/>
        </w:rPr>
        <w:t>Solution:</w:t>
      </w:r>
    </w:p>
    <w:p>
      <w:pPr>
        <w:pStyle w:val="style0"/>
        <w:rPr>
          <w:lang w:val="en-US"/>
        </w:rPr>
      </w:pPr>
      <w:r>
        <w:rPr>
          <w:lang w:val="en-US"/>
        </w:rPr>
        <w:t>(</w:t>
      </w:r>
      <w:r>
        <w:rPr>
          <w:lang w:val="en-US"/>
        </w:rPr>
        <w:t>i</w:t>
      </w:r>
      <w:r>
        <w:rPr>
          <w:lang w:val="en-US"/>
        </w:rPr>
        <w:t>) Calculation of share exchange ratio based on net assets value:</w:t>
      </w:r>
    </w:p>
    <w:p>
      <w:pPr>
        <w:pStyle w:val="style0"/>
        <w:rPr>
          <w:lang w:val="en-US"/>
        </w:rPr>
      </w:pPr>
    </w:p>
    <w:tbl>
      <w:tblPr>
        <w:tblStyle w:val="style154"/>
        <w:tblW w:w="9209" w:type="dxa"/>
        <w:tblLayout w:type="fixed"/>
        <w:tblLook w:val="04A0" w:firstRow="1" w:lastRow="0" w:firstColumn="1" w:lastColumn="0" w:noHBand="0" w:noVBand="1"/>
      </w:tblPr>
      <w:tblGrid>
        <w:gridCol w:w="2547"/>
        <w:gridCol w:w="3685"/>
        <w:gridCol w:w="1560"/>
        <w:gridCol w:w="1417"/>
      </w:tblGrid>
      <w:tr>
        <w:trPr>
          <w:trHeight w:val="320" w:hRule="atLeast"/>
        </w:trPr>
        <w:tc>
          <w:tcPr>
            <w:tcW w:w="2547" w:type="dxa"/>
            <w:tcBorders/>
            <w:noWrap/>
            <w:hideMark/>
          </w:tcPr>
          <w:p>
            <w:pPr>
              <w:pStyle w:val="style0"/>
              <w:rPr/>
            </w:pPr>
          </w:p>
        </w:tc>
        <w:tc>
          <w:tcPr>
            <w:tcW w:w="3685" w:type="dxa"/>
            <w:tcBorders/>
            <w:noWrap/>
            <w:hideMark/>
          </w:tcPr>
          <w:p>
            <w:pPr>
              <w:pStyle w:val="style0"/>
              <w:rPr>
                <w:rFonts w:ascii="Aptos Narrow" w:hAnsi="Aptos Narrow"/>
                <w:b/>
                <w:bCs/>
                <w:color w:val="000000"/>
              </w:rPr>
            </w:pPr>
            <w:r>
              <w:rPr>
                <w:rFonts w:ascii="Aptos Narrow" w:hAnsi="Aptos Narrow"/>
                <w:b/>
                <w:bCs/>
                <w:color w:val="000000"/>
              </w:rPr>
              <w:t>Calculation</w:t>
            </w:r>
          </w:p>
        </w:tc>
        <w:tc>
          <w:tcPr>
            <w:tcW w:w="1560" w:type="dxa"/>
            <w:tcBorders/>
            <w:noWrap/>
            <w:hideMark/>
          </w:tcPr>
          <w:p>
            <w:pPr>
              <w:pStyle w:val="style0"/>
              <w:rPr>
                <w:rFonts w:ascii="Aptos Narrow" w:hAnsi="Aptos Narrow"/>
                <w:b/>
                <w:bCs/>
                <w:color w:val="000000"/>
              </w:rPr>
            </w:pPr>
            <w:r>
              <w:rPr>
                <w:rFonts w:ascii="Aptos Narrow" w:hAnsi="Aptos Narrow"/>
                <w:b/>
                <w:bCs/>
                <w:color w:val="000000"/>
              </w:rPr>
              <w:t>A Ltd.</w:t>
            </w:r>
          </w:p>
        </w:tc>
        <w:tc>
          <w:tcPr>
            <w:tcW w:w="1417" w:type="dxa"/>
            <w:tcBorders/>
            <w:noWrap/>
            <w:hideMark/>
          </w:tcPr>
          <w:p>
            <w:pPr>
              <w:pStyle w:val="style0"/>
              <w:rPr>
                <w:rFonts w:ascii="Aptos Narrow" w:hAnsi="Aptos Narrow"/>
                <w:b/>
                <w:bCs/>
                <w:color w:val="000000"/>
              </w:rPr>
            </w:pPr>
            <w:r>
              <w:rPr>
                <w:rFonts w:ascii="Aptos Narrow" w:hAnsi="Aptos Narrow"/>
                <w:b/>
                <w:bCs/>
                <w:color w:val="000000"/>
              </w:rPr>
              <w:t>B Ltd.</w:t>
            </w: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Total assets</w:t>
            </w:r>
          </w:p>
        </w:tc>
        <w:tc>
          <w:tcPr>
            <w:tcW w:w="3685" w:type="dxa"/>
            <w:tcBorders/>
            <w:noWrap/>
            <w:hideMark/>
          </w:tcPr>
          <w:p>
            <w:pPr>
              <w:pStyle w:val="style0"/>
              <w:rPr>
                <w:rFonts w:ascii="Aptos Narrow" w:hAnsi="Aptos Narrow"/>
                <w:color w:val="000000"/>
              </w:rPr>
            </w:pPr>
          </w:p>
        </w:tc>
        <w:tc>
          <w:tcPr>
            <w:tcW w:w="1560" w:type="dxa"/>
            <w:tcBorders/>
            <w:noWrap/>
            <w:hideMark/>
          </w:tcPr>
          <w:p>
            <w:pPr>
              <w:pStyle w:val="style0"/>
              <w:jc w:val="right"/>
              <w:rPr>
                <w:rFonts w:ascii="Aptos Narrow" w:hAnsi="Aptos Narrow"/>
                <w:color w:val="000000"/>
              </w:rPr>
            </w:pPr>
            <w:r>
              <w:rPr>
                <w:rFonts w:ascii="Aptos Narrow" w:hAnsi="Aptos Narrow"/>
                <w:color w:val="000000"/>
              </w:rPr>
              <w:t>3,46,000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1,22,000</w:t>
            </w: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Less: 10% Debentures</w:t>
            </w:r>
          </w:p>
        </w:tc>
        <w:tc>
          <w:tcPr>
            <w:tcW w:w="3685" w:type="dxa"/>
            <w:tcBorders/>
            <w:noWrap/>
            <w:hideMark/>
          </w:tcPr>
          <w:p>
            <w:pPr>
              <w:pStyle w:val="style0"/>
              <w:rPr>
                <w:rFonts w:ascii="Aptos Narrow" w:hAnsi="Aptos Narrow"/>
                <w:color w:val="000000"/>
              </w:rPr>
            </w:pPr>
          </w:p>
        </w:tc>
        <w:tc>
          <w:tcPr>
            <w:tcW w:w="1560" w:type="dxa"/>
            <w:tcBorders/>
            <w:noWrap/>
            <w:hideMark/>
          </w:tcPr>
          <w:p>
            <w:pPr>
              <w:pStyle w:val="style0"/>
              <w:jc w:val="right"/>
              <w:rPr>
                <w:rFonts w:ascii="Aptos Narrow" w:hAnsi="Aptos Narrow"/>
                <w:color w:val="000000"/>
              </w:rPr>
            </w:pPr>
            <w:r>
              <w:rPr>
                <w:rFonts w:ascii="Aptos Narrow" w:hAnsi="Aptos Narrow"/>
                <w:color w:val="000000"/>
              </w:rPr>
              <w:t>-30,000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-10,000</w:t>
            </w: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Less: Preference share capital</w:t>
            </w:r>
          </w:p>
        </w:tc>
        <w:tc>
          <w:tcPr>
            <w:tcW w:w="3685" w:type="dxa"/>
            <w:tcBorders/>
            <w:noWrap/>
            <w:hideMark/>
          </w:tcPr>
          <w:p>
            <w:pPr>
              <w:pStyle w:val="style0"/>
              <w:rPr>
                <w:rFonts w:ascii="Aptos Narrow" w:hAnsi="Aptos Narrow"/>
                <w:color w:val="000000"/>
              </w:rPr>
            </w:pPr>
          </w:p>
        </w:tc>
        <w:tc>
          <w:tcPr>
            <w:tcW w:w="1560" w:type="dxa"/>
            <w:tcBorders/>
            <w:noWrap/>
            <w:hideMark/>
          </w:tcPr>
          <w:p>
            <w:pPr>
              <w:pStyle w:val="style0"/>
              <w:jc w:val="right"/>
              <w:rPr>
                <w:rFonts w:ascii="Aptos Narrow" w:hAnsi="Aptos Narrow"/>
                <w:color w:val="000000"/>
              </w:rPr>
            </w:pPr>
            <w:r>
              <w:rPr>
                <w:rFonts w:ascii="Aptos Narrow" w:hAnsi="Aptos Narrow"/>
                <w:color w:val="000000"/>
              </w:rPr>
              <w:t>-40,000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0</w:t>
            </w: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Net worth (Net assets value)</w:t>
            </w:r>
          </w:p>
        </w:tc>
        <w:tc>
          <w:tcPr>
            <w:tcW w:w="3685" w:type="dxa"/>
            <w:tcBorders/>
            <w:noWrap/>
            <w:hideMark/>
          </w:tcPr>
          <w:p>
            <w:pPr>
              <w:pStyle w:val="style0"/>
              <w:rPr>
                <w:rFonts w:ascii="Aptos Narrow" w:hAnsi="Aptos Narrow"/>
                <w:b/>
                <w:bCs/>
                <w:color w:val="000000"/>
              </w:rPr>
            </w:pP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2,76,000</w:t>
            </w:r>
          </w:p>
        </w:tc>
        <w:tc>
          <w:tcPr>
            <w:tcW w:w="1417" w:type="dxa"/>
            <w:tcBorders/>
            <w:noWrap/>
            <w:hideMark/>
          </w:tcPr>
          <w:p>
            <w:pPr>
              <w:pStyle w:val="style0"/>
              <w:jc w:val="right"/>
              <w:rPr>
                <w:rFonts w:ascii="Aptos Narrow" w:hAnsi="Aptos Narrow"/>
                <w:b/>
                <w:bCs/>
                <w:color w:val="000000"/>
              </w:rPr>
            </w:pPr>
            <w:r>
              <w:rPr>
                <w:rFonts w:ascii="Aptos Narrow" w:hAnsi="Aptos Narrow"/>
                <w:b/>
                <w:bCs/>
                <w:color w:val="000000"/>
              </w:rPr>
              <w:t>1,12,000</w:t>
            </w:r>
          </w:p>
        </w:tc>
      </w:tr>
      <w:tr>
        <w:tblPrEx/>
        <w:trPr>
          <w:trHeight w:val="340" w:hRule="atLeast"/>
        </w:trPr>
        <w:tc>
          <w:tcPr>
            <w:tcW w:w="2547" w:type="dxa"/>
            <w:tcBorders/>
            <w:noWrap/>
            <w:hideMark/>
          </w:tcPr>
          <w:p>
            <w:pPr>
              <w:pStyle w:val="style0"/>
              <w:jc w:val="right"/>
              <w:rPr>
                <w:rFonts w:ascii="Aptos Narrow" w:hAnsi="Aptos Narrow"/>
                <w:b/>
                <w:bCs/>
                <w:color w:val="00000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Number of equity shares</w:t>
            </w:r>
          </w:p>
        </w:tc>
        <w:tc>
          <w:tcPr>
            <w:tcW w:w="3685" w:type="dxa"/>
            <w:tcBorders/>
            <w:noWrap/>
            <w:hideMark/>
          </w:tcPr>
          <w:p>
            <w:pPr>
              <w:pStyle w:val="style0"/>
              <w:rPr>
                <w:rFonts w:ascii="Aptos Narrow" w:hAnsi="Aptos Narrow"/>
                <w:color w:val="000000"/>
              </w:rPr>
            </w:pPr>
            <w:r>
              <w:rPr>
                <w:rFonts w:ascii="Aptos Narrow" w:hAnsi="Aptos Narrow"/>
                <w:color w:val="000000"/>
              </w:rPr>
              <w:t>Equity share capital / Price per share</w:t>
            </w:r>
          </w:p>
        </w:tc>
        <w:tc>
          <w:tcPr>
            <w:tcW w:w="1560" w:type="dxa"/>
            <w:tcBorders/>
            <w:noWrap/>
            <w:hideMark/>
          </w:tcPr>
          <w:p>
            <w:pPr>
              <w:pStyle w:val="style0"/>
              <w:jc w:val="right"/>
              <w:rPr>
                <w:rFonts w:ascii="Aptos Narrow" w:hAnsi="Aptos Narrow"/>
                <w:color w:val="000000"/>
              </w:rPr>
            </w:pPr>
            <w:r>
              <w:rPr>
                <w:rFonts w:ascii="Aptos Narrow" w:hAnsi="Aptos Narrow"/>
                <w:color w:val="000000"/>
              </w:rPr>
              <w:t>20,000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10,000</w:t>
            </w: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Net worth (assets) per share</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Net worth / Number of shares</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13.80</w:t>
            </w:r>
          </w:p>
        </w:tc>
        <w:tc>
          <w:tcPr>
            <w:tcW w:w="1417" w:type="dxa"/>
            <w:tcBorders/>
            <w:noWrap/>
            <w:hideMark/>
          </w:tcPr>
          <w:p>
            <w:pPr>
              <w:pStyle w:val="style0"/>
              <w:jc w:val="right"/>
              <w:rPr>
                <w:rFonts w:ascii="Aptos Narrow" w:hAnsi="Aptos Narrow"/>
                <w:b/>
                <w:bCs/>
                <w:color w:val="000000"/>
              </w:rPr>
            </w:pPr>
            <w:r>
              <w:rPr>
                <w:rFonts w:ascii="Aptos Narrow" w:hAnsi="Aptos Narrow"/>
                <w:b/>
                <w:bCs/>
                <w:color w:val="000000"/>
              </w:rPr>
              <w:t>11.20</w:t>
            </w:r>
          </w:p>
        </w:tc>
      </w:tr>
      <w:tr>
        <w:tblPrEx/>
        <w:trPr>
          <w:trHeight w:val="320" w:hRule="atLeast"/>
        </w:trPr>
        <w:tc>
          <w:tcPr>
            <w:tcW w:w="2547" w:type="dxa"/>
            <w:tcBorders/>
            <w:noWrap/>
            <w:hideMark/>
          </w:tcPr>
          <w:p>
            <w:pPr>
              <w:pStyle w:val="style0"/>
              <w:jc w:val="right"/>
              <w:rPr>
                <w:rFonts w:ascii="Aptos Narrow" w:hAnsi="Aptos Narrow"/>
                <w:b/>
                <w:bCs/>
                <w:color w:val="00000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4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Share Exchange Ratio</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 xml:space="preserve">= </w:t>
            </w:r>
            <w:r>
              <w:rPr>
                <w:rFonts w:ascii="Aptos Narrow" w:hAnsi="Aptos Narrow"/>
                <w:b/>
                <w:bCs/>
                <w:color w:val="000000"/>
              </w:rPr>
              <w:t>11.20 / 13.80</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0.81</w:t>
            </w:r>
          </w:p>
        </w:tc>
        <w:tc>
          <w:tcPr>
            <w:tcW w:w="1417" w:type="dxa"/>
            <w:tcBorders/>
            <w:noWrap/>
            <w:hideMark/>
          </w:tcPr>
          <w:p>
            <w:pPr>
              <w:pStyle w:val="style0"/>
              <w:jc w:val="right"/>
              <w:rPr>
                <w:rFonts w:ascii="Aptos Narrow" w:hAnsi="Aptos Narrow"/>
                <w:b/>
                <w:bCs/>
                <w:color w:val="000000"/>
              </w:rPr>
            </w:pPr>
          </w:p>
        </w:tc>
      </w:tr>
      <w:tr>
        <w:tblPrEx/>
        <w:trPr>
          <w:trHeight w:val="320" w:hRule="atLeast"/>
        </w:trPr>
        <w:tc>
          <w:tcPr>
            <w:tcW w:w="2547" w:type="dxa"/>
            <w:tcBorders/>
            <w:noWrap/>
            <w:hideMark/>
          </w:tcPr>
          <w:p>
            <w:pPr>
              <w:pStyle w:val="style0"/>
              <w:rPr>
                <w:sz w:val="20"/>
                <w:szCs w:val="2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Number of shares to be issued by A Ltd.</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 xml:space="preserve">= </w:t>
            </w:r>
            <w:r>
              <w:rPr>
                <w:rFonts w:ascii="Aptos Narrow" w:hAnsi="Aptos Narrow"/>
                <w:b/>
                <w:bCs/>
                <w:color w:val="000000"/>
              </w:rPr>
              <w:t>0.81 x 10,000</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8,100</w:t>
            </w:r>
          </w:p>
        </w:tc>
        <w:tc>
          <w:tcPr>
            <w:tcW w:w="1417" w:type="dxa"/>
            <w:tcBorders/>
            <w:noWrap/>
            <w:hideMark/>
          </w:tcPr>
          <w:p>
            <w:pPr>
              <w:pStyle w:val="style0"/>
              <w:jc w:val="right"/>
              <w:rPr>
                <w:rFonts w:ascii="Aptos Narrow" w:hAnsi="Aptos Narrow"/>
                <w:b/>
                <w:bCs/>
                <w:color w:val="000000"/>
              </w:rPr>
            </w:pPr>
          </w:p>
        </w:tc>
      </w:tr>
    </w:tbl>
    <w:p>
      <w:pPr>
        <w:pStyle w:val="style0"/>
        <w:rPr>
          <w:lang w:val="en-US"/>
        </w:rPr>
      </w:pPr>
    </w:p>
    <w:p>
      <w:pPr>
        <w:pStyle w:val="style0"/>
        <w:rPr>
          <w:lang w:val="en-US"/>
        </w:rPr>
      </w:pPr>
      <w:r>
        <w:rPr>
          <w:lang w:val="en-US"/>
        </w:rPr>
        <w:t>(</w:t>
      </w:r>
      <w:r>
        <w:rPr>
          <w:lang w:val="en-US"/>
        </w:rPr>
        <w:t>ii</w:t>
      </w:r>
      <w:r>
        <w:rPr>
          <w:lang w:val="en-US"/>
        </w:rPr>
        <w:t>) Calculation of share exchange ratio based on EPS:</w:t>
      </w:r>
    </w:p>
    <w:p>
      <w:pPr>
        <w:pStyle w:val="style0"/>
        <w:rPr>
          <w:lang w:val="en-US"/>
        </w:rPr>
      </w:pPr>
    </w:p>
    <w:tbl>
      <w:tblPr>
        <w:tblStyle w:val="style154"/>
        <w:tblW w:w="9209" w:type="dxa"/>
        <w:tblLayout w:type="fixed"/>
        <w:tblLook w:val="04A0" w:firstRow="1" w:lastRow="0" w:firstColumn="1" w:lastColumn="0" w:noHBand="0" w:noVBand="1"/>
      </w:tblPr>
      <w:tblGrid>
        <w:gridCol w:w="2547"/>
        <w:gridCol w:w="3685"/>
        <w:gridCol w:w="1560"/>
        <w:gridCol w:w="1417"/>
      </w:tblGrid>
      <w:tr>
        <w:trPr>
          <w:trHeight w:val="320" w:hRule="atLeast"/>
        </w:trPr>
        <w:tc>
          <w:tcPr>
            <w:tcW w:w="2547" w:type="dxa"/>
            <w:tcBorders/>
            <w:noWrap/>
            <w:hideMark/>
          </w:tcPr>
          <w:p>
            <w:pPr>
              <w:pStyle w:val="style0"/>
              <w:rPr/>
            </w:pPr>
          </w:p>
        </w:tc>
        <w:tc>
          <w:tcPr>
            <w:tcW w:w="3685" w:type="dxa"/>
            <w:tcBorders/>
            <w:noWrap/>
            <w:hideMark/>
          </w:tcPr>
          <w:p>
            <w:pPr>
              <w:pStyle w:val="style0"/>
              <w:rPr>
                <w:sz w:val="20"/>
                <w:szCs w:val="20"/>
              </w:rPr>
            </w:pPr>
            <w:r>
              <w:rPr>
                <w:rFonts w:ascii="Aptos Narrow" w:hAnsi="Aptos Narrow"/>
                <w:b/>
                <w:bCs/>
                <w:color w:val="000000"/>
              </w:rPr>
              <w:t>Calculation</w:t>
            </w:r>
          </w:p>
        </w:tc>
        <w:tc>
          <w:tcPr>
            <w:tcW w:w="1560" w:type="dxa"/>
            <w:tcBorders/>
            <w:noWrap/>
            <w:hideMark/>
          </w:tcPr>
          <w:p>
            <w:pPr>
              <w:pStyle w:val="style0"/>
              <w:rPr>
                <w:rFonts w:ascii="Aptos Narrow" w:hAnsi="Aptos Narrow"/>
                <w:b/>
                <w:bCs/>
                <w:color w:val="000000"/>
              </w:rPr>
            </w:pPr>
            <w:r>
              <w:rPr>
                <w:rFonts w:ascii="Aptos Narrow" w:hAnsi="Aptos Narrow"/>
                <w:b/>
                <w:bCs/>
                <w:color w:val="000000"/>
              </w:rPr>
              <w:t>A Ltd.</w:t>
            </w:r>
          </w:p>
        </w:tc>
        <w:tc>
          <w:tcPr>
            <w:tcW w:w="1417" w:type="dxa"/>
            <w:tcBorders/>
            <w:noWrap/>
            <w:hideMark/>
          </w:tcPr>
          <w:p>
            <w:pPr>
              <w:pStyle w:val="style0"/>
              <w:rPr>
                <w:rFonts w:ascii="Aptos Narrow" w:hAnsi="Aptos Narrow"/>
                <w:b/>
                <w:bCs/>
                <w:color w:val="000000"/>
              </w:rPr>
            </w:pPr>
            <w:r>
              <w:rPr>
                <w:rFonts w:ascii="Aptos Narrow" w:hAnsi="Aptos Narrow"/>
                <w:b/>
                <w:bCs/>
                <w:color w:val="000000"/>
              </w:rPr>
              <w:t>B Ltd.</w:t>
            </w: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Profit after tax and preference dividend</w:t>
            </w:r>
          </w:p>
        </w:tc>
        <w:tc>
          <w:tcPr>
            <w:tcW w:w="3685" w:type="dxa"/>
            <w:tcBorders/>
            <w:noWrap/>
            <w:hideMark/>
          </w:tcPr>
          <w:p>
            <w:pPr>
              <w:pStyle w:val="style0"/>
              <w:rPr>
                <w:rFonts w:ascii="Aptos Narrow" w:hAnsi="Aptos Narrow"/>
                <w:color w:val="000000"/>
              </w:rPr>
            </w:pPr>
          </w:p>
        </w:tc>
        <w:tc>
          <w:tcPr>
            <w:tcW w:w="1560" w:type="dxa"/>
            <w:tcBorders/>
            <w:noWrap/>
            <w:hideMark/>
          </w:tcPr>
          <w:p>
            <w:pPr>
              <w:pStyle w:val="style0"/>
              <w:jc w:val="right"/>
              <w:rPr>
                <w:rFonts w:ascii="Aptos Narrow" w:hAnsi="Aptos Narrow"/>
                <w:color w:val="000000"/>
              </w:rPr>
            </w:pPr>
            <w:r>
              <w:rPr>
                <w:rFonts w:ascii="Aptos Narrow" w:hAnsi="Aptos Narrow"/>
                <w:color w:val="000000"/>
              </w:rPr>
              <w:t>48,000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30,000</w:t>
            </w: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Number of equity shares</w:t>
            </w:r>
          </w:p>
        </w:tc>
        <w:tc>
          <w:tcPr>
            <w:tcW w:w="3685" w:type="dxa"/>
            <w:tcBorders/>
            <w:noWrap/>
            <w:hideMark/>
          </w:tcPr>
          <w:p>
            <w:pPr>
              <w:pStyle w:val="style0"/>
              <w:rPr>
                <w:rFonts w:ascii="Aptos Narrow" w:hAnsi="Aptos Narrow"/>
                <w:color w:val="000000"/>
              </w:rPr>
            </w:pPr>
          </w:p>
        </w:tc>
        <w:tc>
          <w:tcPr>
            <w:tcW w:w="1560" w:type="dxa"/>
            <w:tcBorders/>
            <w:noWrap/>
            <w:hideMark/>
          </w:tcPr>
          <w:p>
            <w:pPr>
              <w:pStyle w:val="style0"/>
              <w:jc w:val="right"/>
              <w:rPr>
                <w:rFonts w:ascii="Aptos Narrow" w:hAnsi="Aptos Narrow"/>
                <w:color w:val="000000"/>
              </w:rPr>
            </w:pPr>
            <w:r>
              <w:rPr>
                <w:rFonts w:ascii="Aptos Narrow" w:hAnsi="Aptos Narrow"/>
                <w:color w:val="000000"/>
              </w:rPr>
              <w:t>20,000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10,000</w:t>
            </w: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Earnings per share (EPS)</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Profit after tax / Number of shares</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2.40</w:t>
            </w:r>
          </w:p>
        </w:tc>
        <w:tc>
          <w:tcPr>
            <w:tcW w:w="1417" w:type="dxa"/>
            <w:tcBorders/>
            <w:noWrap/>
            <w:hideMark/>
          </w:tcPr>
          <w:p>
            <w:pPr>
              <w:pStyle w:val="style0"/>
              <w:jc w:val="right"/>
              <w:rPr>
                <w:rFonts w:ascii="Aptos Narrow" w:hAnsi="Aptos Narrow"/>
                <w:b/>
                <w:bCs/>
                <w:color w:val="000000"/>
              </w:rPr>
            </w:pPr>
            <w:r>
              <w:rPr>
                <w:rFonts w:ascii="Aptos Narrow" w:hAnsi="Aptos Narrow"/>
                <w:b/>
                <w:bCs/>
                <w:color w:val="000000"/>
              </w:rPr>
              <w:t>3.00</w:t>
            </w:r>
          </w:p>
        </w:tc>
      </w:tr>
      <w:tr>
        <w:tblPrEx/>
        <w:trPr>
          <w:trHeight w:val="320" w:hRule="atLeast"/>
        </w:trPr>
        <w:tc>
          <w:tcPr>
            <w:tcW w:w="2547" w:type="dxa"/>
            <w:tcBorders/>
            <w:noWrap/>
            <w:hideMark/>
          </w:tcPr>
          <w:p>
            <w:pPr>
              <w:pStyle w:val="style0"/>
              <w:jc w:val="right"/>
              <w:rPr>
                <w:rFonts w:ascii="Aptos Narrow" w:hAnsi="Aptos Narrow"/>
                <w:b/>
                <w:bCs/>
                <w:color w:val="00000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Share Exchange Ratio</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 xml:space="preserve">= </w:t>
            </w:r>
            <w:r>
              <w:rPr>
                <w:rFonts w:ascii="Aptos Narrow" w:hAnsi="Aptos Narrow"/>
                <w:b/>
                <w:bCs/>
                <w:color w:val="000000"/>
              </w:rPr>
              <w:t>3.00 / 2.40</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1.25</w:t>
            </w:r>
          </w:p>
        </w:tc>
        <w:tc>
          <w:tcPr>
            <w:tcW w:w="1417" w:type="dxa"/>
            <w:tcBorders/>
            <w:noWrap/>
            <w:hideMark/>
          </w:tcPr>
          <w:p>
            <w:pPr>
              <w:pStyle w:val="style0"/>
              <w:jc w:val="right"/>
              <w:rPr>
                <w:rFonts w:ascii="Aptos Narrow" w:hAnsi="Aptos Narrow"/>
                <w:b/>
                <w:bCs/>
                <w:color w:val="000000"/>
              </w:rPr>
            </w:pPr>
          </w:p>
        </w:tc>
      </w:tr>
      <w:tr>
        <w:tblPrEx/>
        <w:trPr>
          <w:trHeight w:val="320" w:hRule="atLeast"/>
        </w:trPr>
        <w:tc>
          <w:tcPr>
            <w:tcW w:w="2547" w:type="dxa"/>
            <w:tcBorders/>
            <w:noWrap/>
            <w:hideMark/>
          </w:tcPr>
          <w:p>
            <w:pPr>
              <w:pStyle w:val="style0"/>
              <w:rPr>
                <w:sz w:val="20"/>
                <w:szCs w:val="2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Number of shares to be issued by A Ltd.</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 xml:space="preserve">= </w:t>
            </w:r>
            <w:r>
              <w:rPr>
                <w:rFonts w:ascii="Aptos Narrow" w:hAnsi="Aptos Narrow"/>
                <w:b/>
                <w:bCs/>
                <w:color w:val="000000"/>
              </w:rPr>
              <w:t>1.25 x 10,000</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12,500</w:t>
            </w:r>
          </w:p>
        </w:tc>
        <w:tc>
          <w:tcPr>
            <w:tcW w:w="1417" w:type="dxa"/>
            <w:tcBorders/>
            <w:noWrap/>
            <w:hideMark/>
          </w:tcPr>
          <w:p>
            <w:pPr>
              <w:pStyle w:val="style0"/>
              <w:jc w:val="right"/>
              <w:rPr>
                <w:rFonts w:ascii="Aptos Narrow" w:hAnsi="Aptos Narrow"/>
                <w:b/>
                <w:bCs/>
                <w:color w:val="000000"/>
              </w:rPr>
            </w:pPr>
          </w:p>
        </w:tc>
      </w:tr>
    </w:tbl>
    <w:p>
      <w:pPr>
        <w:pStyle w:val="style0"/>
        <w:rPr>
          <w:lang w:val="en-US"/>
        </w:rPr>
      </w:pPr>
    </w:p>
    <w:p>
      <w:pPr>
        <w:pStyle w:val="style0"/>
        <w:rPr>
          <w:lang w:val="en-US"/>
        </w:rPr>
      </w:pPr>
      <w:r>
        <w:rPr>
          <w:lang w:val="en-US"/>
        </w:rPr>
        <w:t xml:space="preserve">(iii) </w:t>
      </w:r>
      <w:r>
        <w:rPr>
          <w:lang w:val="en-US"/>
        </w:rPr>
        <w:t>Calculation of share exchange ratio based on Market Price:</w:t>
      </w:r>
    </w:p>
    <w:p>
      <w:pPr>
        <w:pStyle w:val="style0"/>
        <w:rPr>
          <w:lang w:val="en-US"/>
        </w:rPr>
      </w:pPr>
    </w:p>
    <w:tbl>
      <w:tblPr>
        <w:tblStyle w:val="style154"/>
        <w:tblW w:w="9209" w:type="dxa"/>
        <w:tblLayout w:type="fixed"/>
        <w:tblLook w:val="04A0" w:firstRow="1" w:lastRow="0" w:firstColumn="1" w:lastColumn="0" w:noHBand="0" w:noVBand="1"/>
      </w:tblPr>
      <w:tblGrid>
        <w:gridCol w:w="2547"/>
        <w:gridCol w:w="3685"/>
        <w:gridCol w:w="1560"/>
        <w:gridCol w:w="1417"/>
      </w:tblGrid>
      <w:tr>
        <w:trPr>
          <w:trHeight w:val="320" w:hRule="atLeast"/>
        </w:trPr>
        <w:tc>
          <w:tcPr>
            <w:tcW w:w="2547" w:type="dxa"/>
            <w:tcBorders/>
            <w:noWrap/>
            <w:hideMark/>
          </w:tcPr>
          <w:p>
            <w:pPr>
              <w:pStyle w:val="style0"/>
              <w:rPr/>
            </w:pPr>
          </w:p>
        </w:tc>
        <w:tc>
          <w:tcPr>
            <w:tcW w:w="3685" w:type="dxa"/>
            <w:tcBorders/>
            <w:noWrap/>
            <w:hideMark/>
          </w:tcPr>
          <w:p>
            <w:pPr>
              <w:pStyle w:val="style0"/>
              <w:rPr>
                <w:sz w:val="20"/>
                <w:szCs w:val="20"/>
              </w:rPr>
            </w:pPr>
            <w:r>
              <w:rPr>
                <w:rFonts w:ascii="Aptos Narrow" w:hAnsi="Aptos Narrow"/>
                <w:b/>
                <w:bCs/>
                <w:color w:val="000000"/>
              </w:rPr>
              <w:t>Calculation</w:t>
            </w:r>
          </w:p>
        </w:tc>
        <w:tc>
          <w:tcPr>
            <w:tcW w:w="1560" w:type="dxa"/>
            <w:tcBorders/>
            <w:noWrap/>
            <w:hideMark/>
          </w:tcPr>
          <w:p>
            <w:pPr>
              <w:pStyle w:val="style0"/>
              <w:rPr>
                <w:rFonts w:ascii="Aptos Narrow" w:hAnsi="Aptos Narrow"/>
                <w:b/>
                <w:bCs/>
                <w:color w:val="000000"/>
              </w:rPr>
            </w:pPr>
            <w:r>
              <w:rPr>
                <w:rFonts w:ascii="Aptos Narrow" w:hAnsi="Aptos Narrow"/>
                <w:b/>
                <w:bCs/>
                <w:color w:val="000000"/>
              </w:rPr>
              <w:t>A Ltd.</w:t>
            </w:r>
          </w:p>
        </w:tc>
        <w:tc>
          <w:tcPr>
            <w:tcW w:w="1417" w:type="dxa"/>
            <w:tcBorders/>
            <w:noWrap/>
            <w:hideMark/>
          </w:tcPr>
          <w:p>
            <w:pPr>
              <w:pStyle w:val="style0"/>
              <w:rPr>
                <w:rFonts w:ascii="Aptos Narrow" w:hAnsi="Aptos Narrow"/>
                <w:b/>
                <w:bCs/>
                <w:color w:val="000000"/>
              </w:rPr>
            </w:pPr>
            <w:r>
              <w:rPr>
                <w:rFonts w:ascii="Aptos Narrow" w:hAnsi="Aptos Narrow"/>
                <w:b/>
                <w:bCs/>
                <w:color w:val="000000"/>
              </w:rPr>
              <w:t>B Ltd.</w:t>
            </w:r>
          </w:p>
        </w:tc>
      </w:tr>
      <w:tr>
        <w:tblPrEx/>
        <w:trPr>
          <w:trHeight w:val="320" w:hRule="atLeast"/>
        </w:trPr>
        <w:tc>
          <w:tcPr>
            <w:tcW w:w="2547" w:type="dxa"/>
            <w:tcBorders/>
            <w:noWrap/>
            <w:hideMark/>
          </w:tcPr>
          <w:p>
            <w:pPr>
              <w:pStyle w:val="style0"/>
              <w:rPr>
                <w:rFonts w:ascii="Aptos Narrow" w:hAnsi="Aptos Narrow"/>
                <w:color w:val="000000"/>
              </w:rPr>
            </w:pPr>
            <w:r>
              <w:rPr>
                <w:rFonts w:ascii="Aptos Narrow" w:hAnsi="Aptos Narrow"/>
                <w:color w:val="000000"/>
              </w:rPr>
              <w:t>Number of equity shares</w:t>
            </w:r>
          </w:p>
        </w:tc>
        <w:tc>
          <w:tcPr>
            <w:tcW w:w="3685" w:type="dxa"/>
            <w:tcBorders/>
            <w:noWrap/>
            <w:hideMark/>
          </w:tcPr>
          <w:p>
            <w:pPr>
              <w:pStyle w:val="style0"/>
              <w:rPr>
                <w:rFonts w:ascii="Aptos Narrow" w:hAnsi="Aptos Narrow"/>
                <w:color w:val="000000"/>
              </w:rPr>
            </w:pPr>
          </w:p>
        </w:tc>
        <w:tc>
          <w:tcPr>
            <w:tcW w:w="1560" w:type="dxa"/>
            <w:tcBorders/>
            <w:noWrap/>
            <w:hideMark/>
          </w:tcPr>
          <w:p>
            <w:pPr>
              <w:pStyle w:val="style0"/>
              <w:jc w:val="right"/>
              <w:rPr>
                <w:rFonts w:ascii="Aptos Narrow" w:hAnsi="Aptos Narrow"/>
                <w:color w:val="000000"/>
              </w:rPr>
            </w:pPr>
            <w:r>
              <w:rPr>
                <w:rFonts w:ascii="Aptos Narrow" w:hAnsi="Aptos Narrow"/>
                <w:color w:val="000000"/>
              </w:rPr>
              <w:t>20,000</w:t>
            </w:r>
          </w:p>
        </w:tc>
        <w:tc>
          <w:tcPr>
            <w:tcW w:w="1417" w:type="dxa"/>
            <w:tcBorders/>
            <w:noWrap/>
            <w:hideMark/>
          </w:tcPr>
          <w:p>
            <w:pPr>
              <w:pStyle w:val="style0"/>
              <w:jc w:val="right"/>
              <w:rPr>
                <w:rFonts w:ascii="Aptos Narrow" w:hAnsi="Aptos Narrow"/>
                <w:color w:val="000000"/>
              </w:rPr>
            </w:pPr>
            <w:r>
              <w:rPr>
                <w:rFonts w:ascii="Aptos Narrow" w:hAnsi="Aptos Narrow"/>
                <w:color w:val="000000"/>
              </w:rPr>
              <w:t>10,000</w:t>
            </w: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Market price per share</w:t>
            </w:r>
          </w:p>
        </w:tc>
        <w:tc>
          <w:tcPr>
            <w:tcW w:w="3685" w:type="dxa"/>
            <w:tcBorders/>
            <w:noWrap/>
            <w:hideMark/>
          </w:tcPr>
          <w:p>
            <w:pPr>
              <w:pStyle w:val="style0"/>
              <w:rPr>
                <w:rFonts w:ascii="Aptos Narrow" w:hAnsi="Aptos Narrow"/>
                <w:b/>
                <w:bCs/>
                <w:color w:val="000000"/>
              </w:rPr>
            </w:pP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24.00</w:t>
            </w:r>
          </w:p>
        </w:tc>
        <w:tc>
          <w:tcPr>
            <w:tcW w:w="1417" w:type="dxa"/>
            <w:tcBorders/>
            <w:noWrap/>
            <w:hideMark/>
          </w:tcPr>
          <w:p>
            <w:pPr>
              <w:pStyle w:val="style0"/>
              <w:jc w:val="right"/>
              <w:rPr>
                <w:rFonts w:ascii="Aptos Narrow" w:hAnsi="Aptos Narrow"/>
                <w:b/>
                <w:bCs/>
                <w:color w:val="000000"/>
              </w:rPr>
            </w:pPr>
            <w:r>
              <w:rPr>
                <w:rFonts w:ascii="Aptos Narrow" w:hAnsi="Aptos Narrow"/>
                <w:b/>
                <w:bCs/>
                <w:color w:val="000000"/>
              </w:rPr>
              <w:t>27.00</w:t>
            </w:r>
          </w:p>
        </w:tc>
      </w:tr>
      <w:tr>
        <w:tblPrEx/>
        <w:trPr>
          <w:trHeight w:val="320" w:hRule="atLeast"/>
        </w:trPr>
        <w:tc>
          <w:tcPr>
            <w:tcW w:w="2547" w:type="dxa"/>
            <w:tcBorders/>
            <w:noWrap/>
            <w:hideMark/>
          </w:tcPr>
          <w:p>
            <w:pPr>
              <w:pStyle w:val="style0"/>
              <w:jc w:val="right"/>
              <w:rPr>
                <w:rFonts w:ascii="Aptos Narrow" w:hAnsi="Aptos Narrow"/>
                <w:b/>
                <w:bCs/>
                <w:color w:val="00000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Share Exchange Ratio</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 xml:space="preserve">= </w:t>
            </w:r>
            <w:r>
              <w:rPr>
                <w:rFonts w:ascii="Aptos Narrow" w:hAnsi="Aptos Narrow"/>
                <w:b/>
                <w:bCs/>
                <w:color w:val="000000"/>
              </w:rPr>
              <w:t>27.00 / 24.00</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1.125</w:t>
            </w:r>
          </w:p>
        </w:tc>
        <w:tc>
          <w:tcPr>
            <w:tcW w:w="1417" w:type="dxa"/>
            <w:tcBorders/>
            <w:noWrap/>
            <w:hideMark/>
          </w:tcPr>
          <w:p>
            <w:pPr>
              <w:pStyle w:val="style0"/>
              <w:jc w:val="right"/>
              <w:rPr>
                <w:rFonts w:ascii="Aptos Narrow" w:hAnsi="Aptos Narrow"/>
                <w:b/>
                <w:bCs/>
                <w:color w:val="000000"/>
              </w:rPr>
            </w:pPr>
          </w:p>
        </w:tc>
      </w:tr>
      <w:tr>
        <w:tblPrEx/>
        <w:trPr>
          <w:trHeight w:val="320" w:hRule="atLeast"/>
        </w:trPr>
        <w:tc>
          <w:tcPr>
            <w:tcW w:w="2547" w:type="dxa"/>
            <w:tcBorders/>
            <w:noWrap/>
            <w:hideMark/>
          </w:tcPr>
          <w:p>
            <w:pPr>
              <w:pStyle w:val="style0"/>
              <w:rPr>
                <w:sz w:val="20"/>
                <w:szCs w:val="20"/>
              </w:rPr>
            </w:pPr>
          </w:p>
        </w:tc>
        <w:tc>
          <w:tcPr>
            <w:tcW w:w="3685" w:type="dxa"/>
            <w:tcBorders/>
            <w:noWrap/>
            <w:hideMark/>
          </w:tcPr>
          <w:p>
            <w:pPr>
              <w:pStyle w:val="style0"/>
              <w:rPr>
                <w:sz w:val="20"/>
                <w:szCs w:val="20"/>
              </w:rPr>
            </w:pPr>
          </w:p>
        </w:tc>
        <w:tc>
          <w:tcPr>
            <w:tcW w:w="1560" w:type="dxa"/>
            <w:tcBorders/>
            <w:noWrap/>
            <w:hideMark/>
          </w:tcPr>
          <w:p>
            <w:pPr>
              <w:pStyle w:val="style0"/>
              <w:rPr>
                <w:sz w:val="20"/>
                <w:szCs w:val="20"/>
              </w:rPr>
            </w:pPr>
          </w:p>
        </w:tc>
        <w:tc>
          <w:tcPr>
            <w:tcW w:w="1417" w:type="dxa"/>
            <w:tcBorders/>
            <w:noWrap/>
            <w:hideMark/>
          </w:tcPr>
          <w:p>
            <w:pPr>
              <w:pStyle w:val="style0"/>
              <w:rPr>
                <w:sz w:val="20"/>
                <w:szCs w:val="20"/>
              </w:rPr>
            </w:pPr>
          </w:p>
        </w:tc>
      </w:tr>
      <w:tr>
        <w:tblPrEx/>
        <w:trPr>
          <w:trHeight w:val="320" w:hRule="atLeast"/>
        </w:trPr>
        <w:tc>
          <w:tcPr>
            <w:tcW w:w="2547" w:type="dxa"/>
            <w:tcBorders/>
            <w:noWrap/>
            <w:hideMark/>
          </w:tcPr>
          <w:p>
            <w:pPr>
              <w:pStyle w:val="style0"/>
              <w:rPr>
                <w:rFonts w:ascii="Aptos Narrow" w:hAnsi="Aptos Narrow"/>
                <w:b/>
                <w:bCs/>
                <w:color w:val="000000"/>
              </w:rPr>
            </w:pPr>
            <w:r>
              <w:rPr>
                <w:rFonts w:ascii="Aptos Narrow" w:hAnsi="Aptos Narrow"/>
                <w:b/>
                <w:bCs/>
                <w:color w:val="000000"/>
              </w:rPr>
              <w:t>Number of shares to be issued by A Ltd.</w:t>
            </w:r>
          </w:p>
        </w:tc>
        <w:tc>
          <w:tcPr>
            <w:tcW w:w="3685" w:type="dxa"/>
            <w:tcBorders/>
            <w:noWrap/>
            <w:hideMark/>
          </w:tcPr>
          <w:p>
            <w:pPr>
              <w:pStyle w:val="style0"/>
              <w:rPr>
                <w:rFonts w:ascii="Aptos Narrow" w:hAnsi="Aptos Narrow"/>
                <w:b/>
                <w:bCs/>
                <w:color w:val="000000"/>
              </w:rPr>
            </w:pPr>
            <w:r>
              <w:rPr>
                <w:rFonts w:ascii="Aptos Narrow" w:hAnsi="Aptos Narrow"/>
                <w:b/>
                <w:bCs/>
                <w:color w:val="000000"/>
              </w:rPr>
              <w:t xml:space="preserve">= </w:t>
            </w:r>
            <w:r>
              <w:rPr>
                <w:rFonts w:ascii="Aptos Narrow" w:hAnsi="Aptos Narrow"/>
                <w:b/>
                <w:bCs/>
                <w:color w:val="000000"/>
              </w:rPr>
              <w:t>1.125 x 10,000</w:t>
            </w:r>
          </w:p>
        </w:tc>
        <w:tc>
          <w:tcPr>
            <w:tcW w:w="1560" w:type="dxa"/>
            <w:tcBorders/>
            <w:noWrap/>
            <w:hideMark/>
          </w:tcPr>
          <w:p>
            <w:pPr>
              <w:pStyle w:val="style0"/>
              <w:jc w:val="right"/>
              <w:rPr>
                <w:rFonts w:ascii="Aptos Narrow" w:hAnsi="Aptos Narrow"/>
                <w:b/>
                <w:bCs/>
                <w:color w:val="000000"/>
              </w:rPr>
            </w:pPr>
            <w:r>
              <w:rPr>
                <w:rFonts w:ascii="Aptos Narrow" w:hAnsi="Aptos Narrow"/>
                <w:b/>
                <w:bCs/>
                <w:color w:val="000000"/>
              </w:rPr>
              <w:t>11,250</w:t>
            </w:r>
          </w:p>
        </w:tc>
        <w:tc>
          <w:tcPr>
            <w:tcW w:w="1417" w:type="dxa"/>
            <w:tcBorders/>
            <w:noWrap/>
            <w:hideMark/>
          </w:tcPr>
          <w:p>
            <w:pPr>
              <w:pStyle w:val="style0"/>
              <w:jc w:val="right"/>
              <w:rPr>
                <w:rFonts w:ascii="Aptos Narrow" w:hAnsi="Aptos Narrow"/>
                <w:b/>
                <w:bCs/>
                <w:color w:val="000000"/>
              </w:rPr>
            </w:pPr>
          </w:p>
        </w:tc>
      </w:tr>
    </w:tbl>
    <w:p>
      <w:pPr>
        <w:pStyle w:val="style0"/>
        <w:spacing w:after="160" w:lineRule="auto" w:line="278"/>
        <w:rPr>
          <w:b/>
          <w:bCs/>
          <w:u w:val="single"/>
          <w:lang w:val="en-US"/>
        </w:rPr>
      </w:pPr>
      <w:r>
        <w:rPr>
          <w:b/>
          <w:bCs/>
          <w:u w:val="single"/>
          <w:lang w:val="en-US"/>
        </w:rPr>
        <w:br w:type="page"/>
      </w:r>
    </w:p>
    <w:p>
      <w:pPr>
        <w:pStyle w:val="style0"/>
        <w:rPr>
          <w:b/>
          <w:bCs/>
          <w:u w:val="single"/>
          <w:lang w:val="en-US"/>
        </w:rPr>
      </w:pPr>
      <w:r>
        <w:rPr>
          <w:b/>
          <w:bCs/>
          <w:u w:val="single"/>
          <w:lang w:val="en-US"/>
        </w:rPr>
        <w:t>Question 2:</w:t>
      </w:r>
    </w:p>
    <w:p>
      <w:pPr>
        <w:pStyle w:val="style0"/>
        <w:rPr>
          <w:b/>
          <w:bCs/>
          <w:u w:val="single"/>
          <w:lang w:val="en-US"/>
        </w:rPr>
      </w:pPr>
    </w:p>
    <w:p>
      <w:pPr>
        <w:pStyle w:val="style0"/>
        <w:jc w:val="both"/>
        <w:rPr>
          <w:lang w:val="en-US"/>
        </w:rPr>
      </w:pPr>
      <w:r>
        <w:rPr>
          <w:lang w:val="en-US"/>
        </w:rPr>
        <w:t xml:space="preserve">Company </w:t>
      </w:r>
      <w:r>
        <w:rPr>
          <w:lang w:val="en-US"/>
        </w:rPr>
        <w:t>X</w:t>
      </w:r>
      <w:r>
        <w:rPr>
          <w:lang w:val="en-US"/>
        </w:rPr>
        <w:t xml:space="preserve"> is considering the purchase of company Y. The following are the financial data of the two companies:</w:t>
      </w:r>
    </w:p>
    <w:tbl>
      <w:tblPr>
        <w:tblW w:w="5000" w:type="pct"/>
        <w:tblLook w:val="04A0" w:firstRow="1" w:lastRow="0" w:firstColumn="1" w:lastColumn="0" w:noHBand="0" w:noVBand="1"/>
      </w:tblPr>
      <w:tblGrid>
        <w:gridCol w:w="5656"/>
        <w:gridCol w:w="1957"/>
        <w:gridCol w:w="1413"/>
      </w:tblGrid>
      <w:tr>
        <w:trPr>
          <w:trHeight w:val="320" w:hRule="atLeast"/>
        </w:trPr>
        <w:tc>
          <w:tcPr>
            <w:tcW w:w="3133" w:type="pct"/>
            <w:tcBorders>
              <w:top w:val="single" w:sz="4" w:space="0" w:color="auto"/>
              <w:left w:val="nil"/>
              <w:bottom w:val="single" w:sz="4" w:space="0" w:color="auto"/>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 </w:t>
            </w:r>
          </w:p>
        </w:tc>
        <w:tc>
          <w:tcPr>
            <w:tcW w:w="1084" w:type="pct"/>
            <w:tcBorders>
              <w:top w:val="single" w:sz="4" w:space="0" w:color="auto"/>
              <w:left w:val="single" w:sz="4" w:space="0" w:color="auto"/>
              <w:bottom w:val="single" w:sz="4" w:space="0" w:color="auto"/>
              <w:right w:val="single" w:sz="4" w:space="0" w:color="auto"/>
            </w:tcBorders>
            <w:noWrap/>
            <w:vAlign w:val="bottom"/>
            <w:hideMark/>
          </w:tcPr>
          <w:p>
            <w:pPr>
              <w:pStyle w:val="style0"/>
              <w:rPr>
                <w:rFonts w:ascii="Aptos Narrow" w:hAnsi="Aptos Narrow"/>
                <w:b/>
                <w:bCs/>
                <w:color w:val="000000"/>
              </w:rPr>
            </w:pPr>
            <w:r>
              <w:rPr>
                <w:rFonts w:ascii="Aptos Narrow" w:hAnsi="Aptos Narrow"/>
                <w:b/>
                <w:bCs/>
                <w:color w:val="000000"/>
              </w:rPr>
              <w:t>Company X</w:t>
            </w:r>
          </w:p>
        </w:tc>
        <w:tc>
          <w:tcPr>
            <w:tcW w:w="783" w:type="pct"/>
            <w:tcBorders>
              <w:top w:val="single" w:sz="4" w:space="0" w:color="auto"/>
              <w:left w:val="single" w:sz="4" w:space="0" w:color="auto"/>
              <w:bottom w:val="single" w:sz="4" w:space="0" w:color="auto"/>
              <w:right w:val="nil"/>
            </w:tcBorders>
            <w:noWrap/>
            <w:vAlign w:val="bottom"/>
            <w:hideMark/>
          </w:tcPr>
          <w:p>
            <w:pPr>
              <w:pStyle w:val="style0"/>
              <w:rPr>
                <w:rFonts w:ascii="Aptos Narrow" w:hAnsi="Aptos Narrow"/>
                <w:b/>
                <w:bCs/>
                <w:color w:val="000000"/>
              </w:rPr>
            </w:pPr>
            <w:r>
              <w:rPr>
                <w:rFonts w:ascii="Aptos Narrow" w:hAnsi="Aptos Narrow"/>
                <w:b/>
                <w:bCs/>
                <w:color w:val="000000"/>
              </w:rPr>
              <w:t>Company Y</w:t>
            </w:r>
          </w:p>
        </w:tc>
      </w:tr>
      <w:tr>
        <w:tblPrEx/>
        <w:trPr>
          <w:trHeight w:val="320" w:hRule="atLeast"/>
        </w:trPr>
        <w:tc>
          <w:tcPr>
            <w:tcW w:w="3133"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Number of shares</w:t>
            </w:r>
          </w:p>
        </w:tc>
        <w:tc>
          <w:tcPr>
            <w:tcW w:w="1084"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4,00,000</w:t>
            </w:r>
          </w:p>
        </w:tc>
        <w:tc>
          <w:tcPr>
            <w:tcW w:w="78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1,00,000</w:t>
            </w:r>
          </w:p>
        </w:tc>
      </w:tr>
      <w:tr>
        <w:tblPrEx/>
        <w:trPr>
          <w:trHeight w:val="320" w:hRule="atLeast"/>
        </w:trPr>
        <w:tc>
          <w:tcPr>
            <w:tcW w:w="3133"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Earnings per share (EPS)</w:t>
            </w:r>
          </w:p>
        </w:tc>
        <w:tc>
          <w:tcPr>
            <w:tcW w:w="1084"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6</w:t>
            </w:r>
          </w:p>
        </w:tc>
        <w:tc>
          <w:tcPr>
            <w:tcW w:w="78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4.5</w:t>
            </w:r>
          </w:p>
        </w:tc>
      </w:tr>
      <w:tr>
        <w:tblPrEx/>
        <w:trPr>
          <w:trHeight w:val="320" w:hRule="atLeast"/>
        </w:trPr>
        <w:tc>
          <w:tcPr>
            <w:tcW w:w="3133" w:type="pct"/>
            <w:tcBorders>
              <w:top w:val="nil"/>
              <w:left w:val="nil"/>
              <w:bottom w:val="single" w:sz="4" w:space="0" w:color="auto"/>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Market Value per share</w:t>
            </w:r>
          </w:p>
        </w:tc>
        <w:tc>
          <w:tcPr>
            <w:tcW w:w="1084" w:type="pct"/>
            <w:tcBorders>
              <w:top w:val="nil"/>
              <w:left w:val="single" w:sz="4" w:space="0" w:color="auto"/>
              <w:bottom w:val="single" w:sz="4" w:space="0" w:color="auto"/>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30</w:t>
            </w:r>
          </w:p>
        </w:tc>
        <w:tc>
          <w:tcPr>
            <w:tcW w:w="783" w:type="pct"/>
            <w:tcBorders>
              <w:top w:val="nil"/>
              <w:left w:val="single" w:sz="4" w:space="0" w:color="auto"/>
              <w:bottom w:val="single" w:sz="4" w:space="0" w:color="auto"/>
              <w:right w:val="nil"/>
            </w:tcBorders>
            <w:noWrap/>
            <w:vAlign w:val="bottom"/>
            <w:hideMark/>
          </w:tcPr>
          <w:p>
            <w:pPr>
              <w:pStyle w:val="style0"/>
              <w:jc w:val="right"/>
              <w:rPr>
                <w:rFonts w:ascii="Aptos Narrow" w:hAnsi="Aptos Narrow"/>
                <w:color w:val="000000"/>
              </w:rPr>
            </w:pPr>
            <w:r>
              <w:rPr>
                <w:rFonts w:ascii="Aptos Narrow" w:hAnsi="Aptos Narrow"/>
                <w:color w:val="000000"/>
              </w:rPr>
              <w:t>20</w:t>
            </w:r>
          </w:p>
        </w:tc>
      </w:tr>
    </w:tbl>
    <w:p>
      <w:pPr>
        <w:pStyle w:val="style0"/>
        <w:rPr>
          <w:lang w:val="en-US"/>
        </w:rPr>
      </w:pPr>
    </w:p>
    <w:p>
      <w:pPr>
        <w:pStyle w:val="style0"/>
        <w:jc w:val="both"/>
        <w:rPr>
          <w:lang w:val="en-US"/>
        </w:rPr>
      </w:pPr>
      <w:r>
        <w:rPr>
          <w:lang w:val="en-US"/>
        </w:rPr>
        <w:t>Assuming that the management of the two companies have agreed to exchange shares in proportion to:</w:t>
      </w:r>
    </w:p>
    <w:p>
      <w:pPr>
        <w:pStyle w:val="style179"/>
        <w:numPr>
          <w:ilvl w:val="0"/>
          <w:numId w:val="2"/>
        </w:numPr>
        <w:jc w:val="both"/>
        <w:rPr>
          <w:lang w:val="en-US"/>
        </w:rPr>
      </w:pPr>
      <w:r>
        <w:rPr>
          <w:lang w:val="en-US"/>
        </w:rPr>
        <w:t>The relative earnings per share of the two firms;</w:t>
      </w:r>
    </w:p>
    <w:p>
      <w:pPr>
        <w:pStyle w:val="style179"/>
        <w:numPr>
          <w:ilvl w:val="0"/>
          <w:numId w:val="2"/>
        </w:numPr>
        <w:jc w:val="both"/>
        <w:rPr>
          <w:lang w:val="en-US"/>
        </w:rPr>
      </w:pPr>
      <w:r>
        <w:rPr>
          <w:lang w:val="en-US"/>
        </w:rPr>
        <w:t>4 shares of company X for every 5 shares held in company Y.</w:t>
      </w:r>
    </w:p>
    <w:p>
      <w:pPr>
        <w:pStyle w:val="style0"/>
        <w:jc w:val="both"/>
        <w:rPr>
          <w:lang w:val="en-US"/>
        </w:rPr>
      </w:pPr>
    </w:p>
    <w:p>
      <w:pPr>
        <w:pStyle w:val="style0"/>
        <w:jc w:val="both"/>
        <w:rPr>
          <w:lang w:val="en-US"/>
        </w:rPr>
      </w:pPr>
      <w:r>
        <w:rPr>
          <w:lang w:val="en-US"/>
        </w:rPr>
        <w:t>You are required to illustrate and comment on the impact of merger on the EPS.</w:t>
      </w:r>
    </w:p>
    <w:p>
      <w:pPr>
        <w:pStyle w:val="style0"/>
        <w:rPr>
          <w:b/>
          <w:bCs/>
          <w:u w:val="single"/>
          <w:lang w:val="en-US"/>
        </w:rPr>
      </w:pPr>
    </w:p>
    <w:p>
      <w:pPr>
        <w:pStyle w:val="style0"/>
        <w:spacing w:after="160" w:lineRule="auto" w:line="278"/>
        <w:rPr>
          <w:b/>
          <w:bCs/>
          <w:u w:val="single"/>
          <w:lang w:val="en-US"/>
        </w:rPr>
      </w:pPr>
      <w:r>
        <w:rPr>
          <w:b/>
          <w:bCs/>
          <w:u w:val="single"/>
          <w:lang w:val="en-US"/>
        </w:rPr>
        <w:br w:type="page"/>
      </w:r>
    </w:p>
    <w:p>
      <w:pPr>
        <w:pStyle w:val="style0"/>
        <w:rPr>
          <w:b/>
          <w:bCs/>
          <w:u w:val="single"/>
          <w:lang w:val="en-US"/>
        </w:rPr>
      </w:pPr>
      <w:r>
        <w:rPr>
          <w:b/>
          <w:bCs/>
          <w:u w:val="single"/>
          <w:lang w:val="en-US"/>
        </w:rPr>
        <w:t>Solution:</w:t>
      </w:r>
    </w:p>
    <w:p>
      <w:pPr>
        <w:pStyle w:val="style0"/>
        <w:rPr>
          <w:b/>
          <w:bCs/>
          <w:u w:val="single"/>
          <w:lang w:val="en-US"/>
        </w:rPr>
      </w:pPr>
    </w:p>
    <w:p>
      <w:pPr>
        <w:pStyle w:val="style0"/>
        <w:rPr>
          <w:lang w:val="en-US"/>
        </w:rPr>
      </w:pPr>
      <w:r>
        <w:rPr>
          <w:lang w:val="en-US"/>
        </w:rPr>
        <w:t>(i) Effect of Merger on EPS when the Exchange Ratio is in proportion to Relative Earnings per share:</w:t>
      </w:r>
    </w:p>
    <w:tbl>
      <w:tblPr>
        <w:tblStyle w:val="style154"/>
        <w:tblW w:w="0" w:type="auto"/>
        <w:tblLayout w:type="fixed"/>
        <w:tblLook w:val="04A0" w:firstRow="1" w:lastRow="0" w:firstColumn="1" w:lastColumn="0" w:noHBand="0" w:noVBand="1"/>
      </w:tblPr>
      <w:tblGrid>
        <w:gridCol w:w="3539"/>
        <w:gridCol w:w="3827"/>
        <w:gridCol w:w="1650"/>
      </w:tblGrid>
      <w:tr>
        <w:trPr>
          <w:trHeight w:val="320" w:hRule="atLeast"/>
        </w:trPr>
        <w:tc>
          <w:tcPr>
            <w:tcW w:w="3539" w:type="dxa"/>
            <w:tcBorders/>
            <w:noWrap/>
            <w:hideMark/>
          </w:tcPr>
          <w:p>
            <w:pPr>
              <w:pStyle w:val="style0"/>
              <w:rPr>
                <w:b/>
                <w:bCs/>
              </w:rPr>
            </w:pPr>
          </w:p>
        </w:tc>
        <w:tc>
          <w:tcPr>
            <w:tcW w:w="3827" w:type="dxa"/>
            <w:tcBorders/>
            <w:noWrap/>
            <w:hideMark/>
          </w:tcPr>
          <w:p>
            <w:pPr>
              <w:pStyle w:val="style0"/>
              <w:rPr>
                <w:rFonts w:ascii="Aptos Narrow" w:hAnsi="Aptos Narrow"/>
                <w:b/>
                <w:bCs/>
                <w:color w:val="000000"/>
              </w:rPr>
            </w:pPr>
            <w:r>
              <w:rPr>
                <w:rFonts w:ascii="Aptos Narrow" w:hAnsi="Aptos Narrow"/>
                <w:b/>
                <w:bCs/>
                <w:color w:val="000000"/>
              </w:rPr>
              <w:t>Calculation</w:t>
            </w:r>
          </w:p>
        </w:tc>
        <w:tc>
          <w:tcPr>
            <w:tcW w:w="1650" w:type="dxa"/>
            <w:tcBorders/>
            <w:noWrap/>
            <w:hideMark/>
          </w:tcPr>
          <w:p>
            <w:pPr>
              <w:pStyle w:val="style0"/>
              <w:rPr>
                <w:rFonts w:ascii="Aptos Narrow" w:hAnsi="Aptos Narrow"/>
                <w:b/>
                <w:bCs/>
                <w:color w:val="000000"/>
              </w:rPr>
            </w:pPr>
            <w:r>
              <w:rPr>
                <w:rFonts w:ascii="Aptos Narrow" w:hAnsi="Aptos Narrow"/>
                <w:b/>
                <w:bCs/>
                <w:color w:val="000000"/>
              </w:rPr>
              <w:t>Amount</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Earnings of Company X (No. of shares x EPS)</w:t>
            </w:r>
          </w:p>
        </w:tc>
        <w:tc>
          <w:tcPr>
            <w:tcW w:w="3827" w:type="dxa"/>
            <w:tcBorders/>
            <w:noWrap/>
            <w:hideMark/>
          </w:tcPr>
          <w:p>
            <w:pPr>
              <w:pStyle w:val="style0"/>
              <w:rPr>
                <w:rFonts w:ascii="Aptos Narrow" w:hAnsi="Aptos Narrow"/>
                <w:color w:val="000000"/>
              </w:rPr>
            </w:pPr>
            <w:r>
              <w:rPr>
                <w:rFonts w:ascii="Aptos Narrow" w:hAnsi="Aptos Narrow"/>
                <w:color w:val="000000"/>
              </w:rPr>
              <w:t xml:space="preserve">= 4,00,000 </w:t>
            </w:r>
            <w:r>
              <w:rPr>
                <w:rFonts w:ascii="Aptos Narrow" w:hAnsi="Aptos Narrow"/>
                <w:color w:val="000000"/>
              </w:rPr>
              <w:t>x</w:t>
            </w:r>
            <w:r>
              <w:rPr>
                <w:rFonts w:ascii="Aptos Narrow" w:hAnsi="Aptos Narrow"/>
                <w:color w:val="000000"/>
              </w:rPr>
              <w:t xml:space="preserve"> 6</w:t>
            </w:r>
          </w:p>
        </w:tc>
        <w:tc>
          <w:tcPr>
            <w:tcW w:w="1650" w:type="dxa"/>
            <w:tcBorders/>
            <w:noWrap/>
            <w:hideMark/>
          </w:tcPr>
          <w:p>
            <w:pPr>
              <w:pStyle w:val="style0"/>
              <w:jc w:val="right"/>
              <w:rPr>
                <w:rFonts w:ascii="Aptos Narrow" w:hAnsi="Aptos Narrow"/>
                <w:color w:val="000000"/>
              </w:rPr>
            </w:pPr>
            <w:r>
              <w:rPr>
                <w:rFonts w:ascii="Aptos Narrow" w:hAnsi="Aptos Narrow"/>
                <w:color w:val="000000"/>
              </w:rPr>
              <w:t>24,00,000</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Earnings of Company Y (No. of shares x EPS)</w:t>
            </w:r>
          </w:p>
        </w:tc>
        <w:tc>
          <w:tcPr>
            <w:tcW w:w="3827" w:type="dxa"/>
            <w:tcBorders/>
            <w:noWrap/>
            <w:hideMark/>
          </w:tcPr>
          <w:p>
            <w:pPr>
              <w:pStyle w:val="style0"/>
              <w:rPr>
                <w:rFonts w:ascii="Aptos Narrow" w:hAnsi="Aptos Narrow"/>
                <w:color w:val="000000"/>
              </w:rPr>
            </w:pPr>
            <w:r>
              <w:rPr>
                <w:rFonts w:ascii="Aptos Narrow" w:hAnsi="Aptos Narrow"/>
                <w:color w:val="000000"/>
              </w:rPr>
              <w:t xml:space="preserve">= 100000 </w:t>
            </w:r>
            <w:r>
              <w:rPr>
                <w:rFonts w:ascii="Aptos Narrow" w:hAnsi="Aptos Narrow"/>
                <w:color w:val="000000"/>
              </w:rPr>
              <w:t>x</w:t>
            </w:r>
            <w:r>
              <w:rPr>
                <w:rFonts w:ascii="Aptos Narrow" w:hAnsi="Aptos Narrow"/>
                <w:color w:val="000000"/>
              </w:rPr>
              <w:t xml:space="preserve"> </w:t>
            </w:r>
            <w:r>
              <w:rPr>
                <w:rFonts w:ascii="Aptos Narrow" w:hAnsi="Aptos Narrow"/>
                <w:color w:val="000000"/>
              </w:rPr>
              <w:t>4.5</w:t>
            </w:r>
          </w:p>
        </w:tc>
        <w:tc>
          <w:tcPr>
            <w:tcW w:w="1650" w:type="dxa"/>
            <w:tcBorders/>
            <w:noWrap/>
            <w:hideMark/>
          </w:tcPr>
          <w:p>
            <w:pPr>
              <w:pStyle w:val="style0"/>
              <w:jc w:val="right"/>
              <w:rPr>
                <w:rFonts w:ascii="Aptos Narrow" w:hAnsi="Aptos Narrow"/>
                <w:color w:val="000000"/>
              </w:rPr>
            </w:pPr>
            <w:r>
              <w:rPr>
                <w:rFonts w:ascii="Aptos Narrow" w:hAnsi="Aptos Narrow"/>
                <w:color w:val="000000"/>
              </w:rPr>
              <w:t>4,50,000</w:t>
            </w:r>
          </w:p>
        </w:tc>
      </w:tr>
      <w:tr>
        <w:tblPrEx/>
        <w:trPr>
          <w:trHeight w:val="320" w:hRule="atLeast"/>
        </w:trPr>
        <w:tc>
          <w:tcPr>
            <w:tcW w:w="3539" w:type="dxa"/>
            <w:tcBorders/>
            <w:noWrap/>
            <w:hideMark/>
          </w:tcPr>
          <w:p>
            <w:pPr>
              <w:pStyle w:val="style0"/>
              <w:rPr>
                <w:rFonts w:ascii="Aptos Narrow" w:hAnsi="Aptos Narrow"/>
                <w:b/>
                <w:bCs/>
                <w:color w:val="000000"/>
              </w:rPr>
            </w:pPr>
            <w:r>
              <w:rPr>
                <w:rFonts w:ascii="Aptos Narrow" w:hAnsi="Aptos Narrow"/>
                <w:b/>
                <w:bCs/>
                <w:color w:val="000000"/>
              </w:rPr>
              <w:t>Total earnings after the merger</w:t>
            </w:r>
          </w:p>
        </w:tc>
        <w:tc>
          <w:tcPr>
            <w:tcW w:w="3827" w:type="dxa"/>
            <w:tcBorders/>
            <w:noWrap/>
            <w:hideMark/>
          </w:tcPr>
          <w:p>
            <w:pPr>
              <w:pStyle w:val="style0"/>
              <w:rPr>
                <w:rFonts w:ascii="Aptos Narrow" w:hAnsi="Aptos Narrow"/>
                <w:b/>
                <w:bCs/>
                <w:color w:val="000000"/>
              </w:rPr>
            </w:pPr>
          </w:p>
        </w:tc>
        <w:tc>
          <w:tcPr>
            <w:tcW w:w="1650" w:type="dxa"/>
            <w:tcBorders/>
            <w:noWrap/>
            <w:hideMark/>
          </w:tcPr>
          <w:p>
            <w:pPr>
              <w:pStyle w:val="style0"/>
              <w:jc w:val="right"/>
              <w:rPr>
                <w:rFonts w:ascii="Aptos Narrow" w:hAnsi="Aptos Narrow"/>
                <w:b/>
                <w:bCs/>
                <w:color w:val="000000"/>
              </w:rPr>
            </w:pPr>
            <w:r>
              <w:rPr>
                <w:rFonts w:ascii="Aptos Narrow" w:hAnsi="Aptos Narrow"/>
                <w:b/>
                <w:bCs/>
                <w:color w:val="000000"/>
              </w:rPr>
              <w:t>28,50,000</w:t>
            </w:r>
          </w:p>
        </w:tc>
      </w:tr>
      <w:tr>
        <w:tblPrEx/>
        <w:trPr>
          <w:trHeight w:val="320" w:hRule="atLeast"/>
        </w:trPr>
        <w:tc>
          <w:tcPr>
            <w:tcW w:w="3539" w:type="dxa"/>
            <w:tcBorders/>
            <w:noWrap/>
            <w:hideMark/>
          </w:tcPr>
          <w:p>
            <w:pPr>
              <w:pStyle w:val="style0"/>
              <w:jc w:val="right"/>
              <w:rPr>
                <w:rFonts w:ascii="Aptos Narrow" w:hAnsi="Aptos Narrow"/>
                <w:b/>
                <w:bCs/>
                <w:color w:val="000000"/>
              </w:rPr>
            </w:pPr>
          </w:p>
        </w:tc>
        <w:tc>
          <w:tcPr>
            <w:tcW w:w="3827" w:type="dxa"/>
            <w:tcBorders/>
            <w:noWrap/>
            <w:hideMark/>
          </w:tcPr>
          <w:p>
            <w:pPr>
              <w:pStyle w:val="style0"/>
              <w:rPr>
                <w:sz w:val="20"/>
                <w:szCs w:val="20"/>
              </w:rPr>
            </w:pPr>
          </w:p>
        </w:tc>
        <w:tc>
          <w:tcPr>
            <w:tcW w:w="1650" w:type="dxa"/>
            <w:tcBorders/>
            <w:noWrap/>
            <w:hideMark/>
          </w:tcPr>
          <w:p>
            <w:pPr>
              <w:pStyle w:val="style0"/>
              <w:rPr>
                <w:sz w:val="20"/>
                <w:szCs w:val="20"/>
              </w:rPr>
            </w:pP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Number of shares after the merger</w:t>
            </w:r>
          </w:p>
        </w:tc>
        <w:tc>
          <w:tcPr>
            <w:tcW w:w="3827" w:type="dxa"/>
            <w:tcBorders/>
            <w:noWrap/>
            <w:hideMark/>
          </w:tcPr>
          <w:p>
            <w:pPr>
              <w:pStyle w:val="style0"/>
              <w:rPr>
                <w:rFonts w:ascii="Aptos Narrow" w:hAnsi="Aptos Narrow"/>
                <w:color w:val="000000"/>
              </w:rPr>
            </w:pPr>
            <w:r>
              <w:rPr>
                <w:rFonts w:ascii="Aptos Narrow" w:hAnsi="Aptos Narrow"/>
                <w:color w:val="000000"/>
              </w:rPr>
              <w:t>= 4,00,000 + (1,00,000 x 4.5 / 6.0)</w:t>
            </w:r>
          </w:p>
        </w:tc>
        <w:tc>
          <w:tcPr>
            <w:tcW w:w="1650" w:type="dxa"/>
            <w:tcBorders/>
            <w:noWrap/>
            <w:hideMark/>
          </w:tcPr>
          <w:p>
            <w:pPr>
              <w:pStyle w:val="style0"/>
              <w:jc w:val="right"/>
              <w:rPr>
                <w:rFonts w:ascii="Aptos Narrow" w:hAnsi="Aptos Narrow"/>
                <w:color w:val="000000"/>
              </w:rPr>
            </w:pPr>
            <w:r>
              <w:rPr>
                <w:rFonts w:ascii="Aptos Narrow" w:hAnsi="Aptos Narrow"/>
                <w:color w:val="000000"/>
              </w:rPr>
              <w:t>4,75,000</w:t>
            </w:r>
          </w:p>
        </w:tc>
      </w:tr>
      <w:tr>
        <w:tblPrEx/>
        <w:trPr>
          <w:trHeight w:val="320" w:hRule="atLeast"/>
        </w:trPr>
        <w:tc>
          <w:tcPr>
            <w:tcW w:w="3539" w:type="dxa"/>
            <w:tcBorders/>
            <w:noWrap/>
            <w:hideMark/>
          </w:tcPr>
          <w:p>
            <w:pPr>
              <w:pStyle w:val="style0"/>
              <w:rPr>
                <w:rFonts w:ascii="Aptos Narrow" w:hAnsi="Aptos Narrow"/>
                <w:b/>
                <w:bCs/>
                <w:color w:val="000000"/>
              </w:rPr>
            </w:pPr>
            <w:r>
              <w:rPr>
                <w:rFonts w:ascii="Aptos Narrow" w:hAnsi="Aptos Narrow"/>
                <w:b/>
                <w:bCs/>
                <w:color w:val="000000"/>
              </w:rPr>
              <w:t>Earnings per share (EPS) after the merger</w:t>
            </w:r>
          </w:p>
        </w:tc>
        <w:tc>
          <w:tcPr>
            <w:tcW w:w="3827" w:type="dxa"/>
            <w:tcBorders/>
            <w:noWrap/>
            <w:hideMark/>
          </w:tcPr>
          <w:p>
            <w:pPr>
              <w:pStyle w:val="style0"/>
              <w:rPr>
                <w:rFonts w:ascii="Aptos Narrow" w:hAnsi="Aptos Narrow"/>
                <w:b/>
                <w:bCs/>
                <w:color w:val="000000"/>
              </w:rPr>
            </w:pPr>
            <w:r>
              <w:rPr>
                <w:rFonts w:ascii="Aptos Narrow" w:hAnsi="Aptos Narrow"/>
                <w:b/>
                <w:bCs/>
                <w:color w:val="000000"/>
              </w:rPr>
              <w:t>Total earnings / Number of share</w:t>
            </w:r>
            <w:r>
              <w:rPr>
                <w:rFonts w:ascii="Aptos Narrow" w:hAnsi="Aptos Narrow"/>
                <w:b/>
                <w:bCs/>
                <w:color w:val="000000"/>
              </w:rPr>
              <w:t>s</w:t>
            </w:r>
          </w:p>
          <w:p>
            <w:pPr>
              <w:pStyle w:val="style0"/>
              <w:rPr>
                <w:rFonts w:ascii="Aptos Narrow" w:hAnsi="Aptos Narrow"/>
                <w:b/>
                <w:bCs/>
                <w:color w:val="000000"/>
              </w:rPr>
            </w:pPr>
            <w:r>
              <w:rPr>
                <w:rFonts w:ascii="Aptos Narrow" w:hAnsi="Aptos Narrow"/>
                <w:b/>
                <w:bCs/>
                <w:color w:val="000000"/>
              </w:rPr>
              <w:t>= 28,50,000 / 4,75,000</w:t>
            </w:r>
          </w:p>
        </w:tc>
        <w:tc>
          <w:tcPr>
            <w:tcW w:w="1650" w:type="dxa"/>
            <w:tcBorders/>
            <w:noWrap/>
            <w:hideMark/>
          </w:tcPr>
          <w:p>
            <w:pPr>
              <w:pStyle w:val="style0"/>
              <w:jc w:val="right"/>
              <w:rPr>
                <w:rFonts w:ascii="Aptos Narrow" w:hAnsi="Aptos Narrow"/>
                <w:b/>
                <w:bCs/>
                <w:color w:val="000000"/>
              </w:rPr>
            </w:pPr>
            <w:r>
              <w:rPr>
                <w:rFonts w:ascii="Aptos Narrow" w:hAnsi="Aptos Narrow"/>
                <w:b/>
                <w:bCs/>
                <w:color w:val="000000"/>
              </w:rPr>
              <w:t>6</w:t>
            </w:r>
          </w:p>
        </w:tc>
      </w:tr>
      <w:tr>
        <w:tblPrEx/>
        <w:trPr>
          <w:trHeight w:val="320" w:hRule="atLeast"/>
        </w:trPr>
        <w:tc>
          <w:tcPr>
            <w:tcW w:w="3539" w:type="dxa"/>
            <w:tcBorders/>
            <w:noWrap/>
            <w:hideMark/>
          </w:tcPr>
          <w:p>
            <w:pPr>
              <w:pStyle w:val="style0"/>
              <w:jc w:val="right"/>
              <w:rPr>
                <w:rFonts w:ascii="Aptos Narrow" w:hAnsi="Aptos Narrow"/>
                <w:b/>
                <w:bCs/>
                <w:color w:val="000000"/>
              </w:rPr>
            </w:pPr>
          </w:p>
        </w:tc>
        <w:tc>
          <w:tcPr>
            <w:tcW w:w="3827" w:type="dxa"/>
            <w:tcBorders/>
            <w:noWrap/>
            <w:hideMark/>
          </w:tcPr>
          <w:p>
            <w:pPr>
              <w:pStyle w:val="style0"/>
              <w:rPr>
                <w:sz w:val="20"/>
                <w:szCs w:val="20"/>
              </w:rPr>
            </w:pPr>
          </w:p>
        </w:tc>
        <w:tc>
          <w:tcPr>
            <w:tcW w:w="1650" w:type="dxa"/>
            <w:tcBorders/>
            <w:noWrap/>
            <w:hideMark/>
          </w:tcPr>
          <w:p>
            <w:pPr>
              <w:pStyle w:val="style0"/>
              <w:rPr>
                <w:sz w:val="20"/>
                <w:szCs w:val="20"/>
              </w:rPr>
            </w:pPr>
          </w:p>
        </w:tc>
      </w:tr>
      <w:tr>
        <w:tblPrEx/>
        <w:trPr>
          <w:trHeight w:val="320" w:hRule="atLeast"/>
        </w:trPr>
        <w:tc>
          <w:tcPr>
            <w:tcW w:w="3539" w:type="dxa"/>
            <w:tcBorders/>
            <w:noWrap/>
            <w:hideMark/>
          </w:tcPr>
          <w:p>
            <w:pPr>
              <w:pStyle w:val="style0"/>
              <w:rPr>
                <w:rFonts w:ascii="Aptos Narrow" w:hAnsi="Aptos Narrow"/>
                <w:b/>
                <w:bCs/>
                <w:color w:val="000000"/>
              </w:rPr>
            </w:pPr>
            <w:r>
              <w:rPr>
                <w:rFonts w:ascii="Aptos Narrow" w:hAnsi="Aptos Narrow"/>
                <w:b/>
                <w:bCs/>
                <w:color w:val="000000"/>
              </w:rPr>
              <w:t>Equivalent EPS of Company Y after merger</w:t>
            </w:r>
          </w:p>
        </w:tc>
        <w:tc>
          <w:tcPr>
            <w:tcW w:w="3827" w:type="dxa"/>
            <w:tcBorders/>
            <w:noWrap/>
            <w:hideMark/>
          </w:tcPr>
          <w:p>
            <w:pPr>
              <w:pStyle w:val="style0"/>
              <w:rPr>
                <w:rFonts w:ascii="Aptos Narrow" w:hAnsi="Aptos Narrow"/>
                <w:b/>
                <w:bCs/>
                <w:color w:val="000000"/>
              </w:rPr>
            </w:pPr>
            <w:r>
              <w:rPr>
                <w:rFonts w:ascii="Aptos Narrow" w:hAnsi="Aptos Narrow"/>
                <w:b/>
                <w:bCs/>
                <w:color w:val="000000"/>
              </w:rPr>
              <w:t>= 6 x 4.5 / 6</w:t>
            </w:r>
          </w:p>
        </w:tc>
        <w:tc>
          <w:tcPr>
            <w:tcW w:w="1650" w:type="dxa"/>
            <w:tcBorders/>
            <w:noWrap/>
            <w:hideMark/>
          </w:tcPr>
          <w:p>
            <w:pPr>
              <w:pStyle w:val="style0"/>
              <w:jc w:val="right"/>
              <w:rPr>
                <w:rFonts w:ascii="Aptos Narrow" w:hAnsi="Aptos Narrow"/>
                <w:b/>
                <w:bCs/>
                <w:color w:val="000000"/>
              </w:rPr>
            </w:pPr>
            <w:r>
              <w:rPr>
                <w:rFonts w:ascii="Aptos Narrow" w:hAnsi="Aptos Narrow"/>
                <w:b/>
                <w:bCs/>
                <w:color w:val="000000"/>
              </w:rPr>
              <w:t>4.5</w:t>
            </w:r>
          </w:p>
        </w:tc>
      </w:tr>
    </w:tbl>
    <w:p>
      <w:pPr>
        <w:pStyle w:val="style0"/>
        <w:rPr>
          <w:lang w:val="en-US"/>
        </w:rPr>
      </w:pPr>
    </w:p>
    <w:p>
      <w:pPr>
        <w:pStyle w:val="style0"/>
        <w:rPr>
          <w:lang w:val="en-US"/>
        </w:rPr>
      </w:pPr>
    </w:p>
    <w:p>
      <w:pPr>
        <w:pStyle w:val="style0"/>
        <w:rPr>
          <w:lang w:val="en-US"/>
        </w:rPr>
      </w:pPr>
      <w:r>
        <w:rPr>
          <w:lang w:val="en-US"/>
        </w:rPr>
        <w:t>(ii) Effect of Merger on EPS when the Exchange Ratio is 4:5</w:t>
      </w:r>
      <w:r>
        <w:rPr>
          <w:lang w:val="en-US"/>
        </w:rPr>
        <w:t>:</w:t>
      </w:r>
    </w:p>
    <w:tbl>
      <w:tblPr>
        <w:tblStyle w:val="style154"/>
        <w:tblW w:w="0" w:type="auto"/>
        <w:tblLayout w:type="fixed"/>
        <w:tblLook w:val="04A0" w:firstRow="1" w:lastRow="0" w:firstColumn="1" w:lastColumn="0" w:noHBand="0" w:noVBand="1"/>
      </w:tblPr>
      <w:tblGrid>
        <w:gridCol w:w="3539"/>
        <w:gridCol w:w="3827"/>
        <w:gridCol w:w="1650"/>
      </w:tblGrid>
      <w:tr>
        <w:trPr>
          <w:trHeight w:val="320" w:hRule="atLeast"/>
        </w:trPr>
        <w:tc>
          <w:tcPr>
            <w:tcW w:w="3539" w:type="dxa"/>
            <w:tcBorders/>
            <w:noWrap/>
            <w:hideMark/>
          </w:tcPr>
          <w:p>
            <w:pPr>
              <w:pStyle w:val="style0"/>
              <w:rPr>
                <w:b/>
                <w:bCs/>
              </w:rPr>
            </w:pPr>
          </w:p>
        </w:tc>
        <w:tc>
          <w:tcPr>
            <w:tcW w:w="3827" w:type="dxa"/>
            <w:tcBorders/>
            <w:noWrap/>
            <w:hideMark/>
          </w:tcPr>
          <w:p>
            <w:pPr>
              <w:pStyle w:val="style0"/>
              <w:rPr>
                <w:rFonts w:ascii="Aptos Narrow" w:hAnsi="Aptos Narrow"/>
                <w:b/>
                <w:bCs/>
                <w:color w:val="000000"/>
              </w:rPr>
            </w:pPr>
            <w:r>
              <w:rPr>
                <w:rFonts w:ascii="Aptos Narrow" w:hAnsi="Aptos Narrow"/>
                <w:b/>
                <w:bCs/>
                <w:color w:val="000000"/>
              </w:rPr>
              <w:t>Calculation</w:t>
            </w:r>
          </w:p>
        </w:tc>
        <w:tc>
          <w:tcPr>
            <w:tcW w:w="1650" w:type="dxa"/>
            <w:tcBorders/>
            <w:noWrap/>
            <w:hideMark/>
          </w:tcPr>
          <w:p>
            <w:pPr>
              <w:pStyle w:val="style0"/>
              <w:rPr>
                <w:rFonts w:ascii="Aptos Narrow" w:hAnsi="Aptos Narrow"/>
                <w:b/>
                <w:bCs/>
                <w:color w:val="000000"/>
              </w:rPr>
            </w:pPr>
            <w:r>
              <w:rPr>
                <w:rFonts w:ascii="Aptos Narrow" w:hAnsi="Aptos Narrow"/>
                <w:b/>
                <w:bCs/>
                <w:color w:val="000000"/>
              </w:rPr>
              <w:t>Amount</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Total Earnings after the merger</w:t>
            </w:r>
          </w:p>
        </w:tc>
        <w:tc>
          <w:tcPr>
            <w:tcW w:w="3827" w:type="dxa"/>
            <w:tcBorders/>
            <w:noWrap/>
            <w:hideMark/>
          </w:tcPr>
          <w:p>
            <w:pPr>
              <w:pStyle w:val="style0"/>
              <w:rPr>
                <w:rFonts w:ascii="Aptos Narrow" w:hAnsi="Aptos Narrow"/>
                <w:color w:val="000000"/>
              </w:rPr>
            </w:pPr>
          </w:p>
        </w:tc>
        <w:tc>
          <w:tcPr>
            <w:tcW w:w="1650" w:type="dxa"/>
            <w:tcBorders/>
            <w:noWrap/>
            <w:hideMark/>
          </w:tcPr>
          <w:p>
            <w:pPr>
              <w:pStyle w:val="style0"/>
              <w:jc w:val="right"/>
              <w:rPr>
                <w:rFonts w:ascii="Aptos Narrow" w:hAnsi="Aptos Narrow"/>
                <w:color w:val="000000"/>
              </w:rPr>
            </w:pPr>
            <w:r>
              <w:rPr>
                <w:rFonts w:ascii="Aptos Narrow" w:hAnsi="Aptos Narrow"/>
                <w:color w:val="000000"/>
              </w:rPr>
              <w:t>28,50,000</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Number of shares after the merger</w:t>
            </w:r>
          </w:p>
        </w:tc>
        <w:tc>
          <w:tcPr>
            <w:tcW w:w="3827" w:type="dxa"/>
            <w:tcBorders/>
            <w:noWrap/>
            <w:hideMark/>
          </w:tcPr>
          <w:p>
            <w:pPr>
              <w:pStyle w:val="style0"/>
              <w:rPr>
                <w:rFonts w:ascii="Aptos Narrow" w:hAnsi="Aptos Narrow"/>
                <w:color w:val="000000"/>
              </w:rPr>
            </w:pPr>
            <w:r>
              <w:rPr>
                <w:rFonts w:ascii="Aptos Narrow" w:hAnsi="Aptos Narrow"/>
                <w:color w:val="000000"/>
              </w:rPr>
              <w:t>= 4,00,000 + 1,00,000 x (4 / 5)</w:t>
            </w:r>
          </w:p>
        </w:tc>
        <w:tc>
          <w:tcPr>
            <w:tcW w:w="1650" w:type="dxa"/>
            <w:tcBorders/>
            <w:noWrap/>
            <w:hideMark/>
          </w:tcPr>
          <w:p>
            <w:pPr>
              <w:pStyle w:val="style0"/>
              <w:jc w:val="right"/>
              <w:rPr>
                <w:rFonts w:ascii="Aptos Narrow" w:hAnsi="Aptos Narrow"/>
                <w:color w:val="000000"/>
              </w:rPr>
            </w:pPr>
            <w:r>
              <w:rPr>
                <w:rFonts w:ascii="Aptos Narrow" w:hAnsi="Aptos Narrow"/>
                <w:color w:val="000000"/>
              </w:rPr>
              <w:t>4,80,000</w:t>
            </w:r>
          </w:p>
        </w:tc>
      </w:tr>
      <w:tr>
        <w:tblPrEx/>
        <w:trPr>
          <w:trHeight w:val="320" w:hRule="atLeast"/>
        </w:trPr>
        <w:tc>
          <w:tcPr>
            <w:tcW w:w="3539" w:type="dxa"/>
            <w:tcBorders/>
            <w:noWrap/>
            <w:hideMark/>
          </w:tcPr>
          <w:p>
            <w:pPr>
              <w:pStyle w:val="style0"/>
              <w:rPr>
                <w:rFonts w:ascii="Aptos Narrow" w:hAnsi="Aptos Narrow"/>
                <w:b/>
                <w:bCs/>
                <w:color w:val="000000"/>
              </w:rPr>
            </w:pPr>
            <w:r>
              <w:rPr>
                <w:rFonts w:ascii="Aptos Narrow" w:hAnsi="Aptos Narrow"/>
                <w:b/>
                <w:bCs/>
                <w:color w:val="000000"/>
              </w:rPr>
              <w:t>EPS after the merger</w:t>
            </w:r>
          </w:p>
        </w:tc>
        <w:tc>
          <w:tcPr>
            <w:tcW w:w="3827" w:type="dxa"/>
            <w:tcBorders/>
            <w:noWrap/>
            <w:hideMark/>
          </w:tcPr>
          <w:p>
            <w:pPr>
              <w:pStyle w:val="style0"/>
              <w:rPr>
                <w:rFonts w:ascii="Aptos Narrow" w:hAnsi="Aptos Narrow"/>
                <w:b/>
                <w:bCs/>
                <w:color w:val="000000"/>
              </w:rPr>
            </w:pPr>
            <w:r>
              <w:rPr>
                <w:rFonts w:ascii="Aptos Narrow" w:hAnsi="Aptos Narrow"/>
                <w:b/>
                <w:bCs/>
                <w:color w:val="000000"/>
              </w:rPr>
              <w:t>= 28,50,000 / 4,80,000</w:t>
            </w:r>
          </w:p>
        </w:tc>
        <w:tc>
          <w:tcPr>
            <w:tcW w:w="1650" w:type="dxa"/>
            <w:tcBorders/>
            <w:noWrap/>
            <w:hideMark/>
          </w:tcPr>
          <w:p>
            <w:pPr>
              <w:pStyle w:val="style0"/>
              <w:jc w:val="right"/>
              <w:rPr>
                <w:rFonts w:ascii="Aptos Narrow" w:hAnsi="Aptos Narrow"/>
                <w:b/>
                <w:bCs/>
                <w:color w:val="000000"/>
              </w:rPr>
            </w:pPr>
            <w:r>
              <w:rPr>
                <w:rFonts w:ascii="Aptos Narrow" w:hAnsi="Aptos Narrow"/>
                <w:b/>
                <w:bCs/>
                <w:color w:val="000000"/>
              </w:rPr>
              <w:t>5.9375</w:t>
            </w:r>
          </w:p>
        </w:tc>
      </w:tr>
    </w:tbl>
    <w:p>
      <w:pPr>
        <w:pStyle w:val="style0"/>
        <w:rPr/>
      </w:pPr>
    </w:p>
    <w:p>
      <w:pPr>
        <w:pStyle w:val="style0"/>
        <w:rPr/>
      </w:pPr>
      <w:r>
        <w:t>Impact of EPS of Company X's Shareholders</w:t>
      </w:r>
      <w:r>
        <w:t>:</w:t>
      </w:r>
    </w:p>
    <w:tbl>
      <w:tblPr>
        <w:tblStyle w:val="style154"/>
        <w:tblW w:w="0" w:type="auto"/>
        <w:tblLayout w:type="fixed"/>
        <w:tblLook w:val="04A0" w:firstRow="1" w:lastRow="0" w:firstColumn="1" w:lastColumn="0" w:noHBand="0" w:noVBand="1"/>
      </w:tblPr>
      <w:tblGrid>
        <w:gridCol w:w="3539"/>
        <w:gridCol w:w="3827"/>
        <w:gridCol w:w="1650"/>
      </w:tblGrid>
      <w:tr>
        <w:trPr>
          <w:trHeight w:val="320" w:hRule="atLeast"/>
        </w:trPr>
        <w:tc>
          <w:tcPr>
            <w:tcW w:w="3539" w:type="dxa"/>
            <w:tcBorders/>
            <w:noWrap/>
            <w:hideMark/>
          </w:tcPr>
          <w:p>
            <w:pPr>
              <w:pStyle w:val="style0"/>
              <w:rPr>
                <w:rFonts w:ascii="Aptos Narrow" w:hAnsi="Aptos Narrow"/>
                <w:b/>
                <w:bCs/>
                <w:color w:val="000000"/>
              </w:rPr>
            </w:pPr>
          </w:p>
        </w:tc>
        <w:tc>
          <w:tcPr>
            <w:tcW w:w="3827" w:type="dxa"/>
            <w:tcBorders/>
            <w:noWrap/>
            <w:hideMark/>
          </w:tcPr>
          <w:p>
            <w:pPr>
              <w:pStyle w:val="style0"/>
              <w:rPr>
                <w:rFonts w:ascii="Aptos Narrow" w:hAnsi="Aptos Narrow"/>
                <w:b/>
                <w:bCs/>
                <w:color w:val="000000"/>
              </w:rPr>
            </w:pPr>
            <w:r>
              <w:rPr>
                <w:rFonts w:ascii="Aptos Narrow" w:hAnsi="Aptos Narrow"/>
                <w:b/>
                <w:bCs/>
                <w:color w:val="000000"/>
              </w:rPr>
              <w:t>Calculation</w:t>
            </w:r>
          </w:p>
        </w:tc>
        <w:tc>
          <w:tcPr>
            <w:tcW w:w="1650" w:type="dxa"/>
            <w:tcBorders/>
            <w:noWrap/>
            <w:hideMark/>
          </w:tcPr>
          <w:p>
            <w:pPr>
              <w:pStyle w:val="style0"/>
              <w:rPr>
                <w:rFonts w:ascii="Aptos Narrow" w:hAnsi="Aptos Narrow"/>
                <w:b/>
                <w:bCs/>
                <w:color w:val="000000"/>
              </w:rPr>
            </w:pPr>
            <w:r>
              <w:rPr>
                <w:rFonts w:ascii="Aptos Narrow" w:hAnsi="Aptos Narrow"/>
                <w:b/>
                <w:bCs/>
                <w:color w:val="000000"/>
              </w:rPr>
              <w:t>Amount</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EPS before merger</w:t>
            </w:r>
          </w:p>
        </w:tc>
        <w:tc>
          <w:tcPr>
            <w:tcW w:w="3827" w:type="dxa"/>
            <w:tcBorders/>
            <w:noWrap/>
            <w:hideMark/>
          </w:tcPr>
          <w:p>
            <w:pPr>
              <w:pStyle w:val="style0"/>
              <w:rPr>
                <w:rFonts w:ascii="Aptos Narrow" w:hAnsi="Aptos Narrow"/>
                <w:color w:val="000000"/>
              </w:rPr>
            </w:pPr>
          </w:p>
        </w:tc>
        <w:tc>
          <w:tcPr>
            <w:tcW w:w="1650" w:type="dxa"/>
            <w:tcBorders/>
            <w:noWrap/>
            <w:hideMark/>
          </w:tcPr>
          <w:p>
            <w:pPr>
              <w:pStyle w:val="style0"/>
              <w:jc w:val="right"/>
              <w:rPr>
                <w:rFonts w:ascii="Aptos Narrow" w:hAnsi="Aptos Narrow"/>
                <w:color w:val="000000"/>
              </w:rPr>
            </w:pPr>
            <w:r>
              <w:rPr>
                <w:rFonts w:ascii="Aptos Narrow" w:hAnsi="Aptos Narrow"/>
                <w:color w:val="000000"/>
              </w:rPr>
              <w:t>6</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EPS after merger</w:t>
            </w:r>
          </w:p>
        </w:tc>
        <w:tc>
          <w:tcPr>
            <w:tcW w:w="3827" w:type="dxa"/>
            <w:tcBorders/>
            <w:noWrap/>
            <w:hideMark/>
          </w:tcPr>
          <w:p>
            <w:pPr>
              <w:pStyle w:val="style0"/>
              <w:rPr>
                <w:rFonts w:ascii="Aptos Narrow" w:hAnsi="Aptos Narrow"/>
                <w:color w:val="000000"/>
              </w:rPr>
            </w:pPr>
          </w:p>
        </w:tc>
        <w:tc>
          <w:tcPr>
            <w:tcW w:w="1650" w:type="dxa"/>
            <w:tcBorders/>
            <w:noWrap/>
            <w:hideMark/>
          </w:tcPr>
          <w:p>
            <w:pPr>
              <w:pStyle w:val="style0"/>
              <w:jc w:val="right"/>
              <w:rPr>
                <w:rFonts w:ascii="Aptos Narrow" w:hAnsi="Aptos Narrow"/>
                <w:color w:val="000000"/>
              </w:rPr>
            </w:pPr>
            <w:r>
              <w:rPr>
                <w:rFonts w:ascii="Aptos Narrow" w:hAnsi="Aptos Narrow"/>
                <w:color w:val="000000"/>
              </w:rPr>
              <w:t>5.9375</w:t>
            </w:r>
          </w:p>
        </w:tc>
      </w:tr>
      <w:tr>
        <w:tblPrEx/>
        <w:trPr>
          <w:trHeight w:val="320" w:hRule="atLeast"/>
        </w:trPr>
        <w:tc>
          <w:tcPr>
            <w:tcW w:w="3539" w:type="dxa"/>
            <w:tcBorders/>
            <w:noWrap/>
            <w:hideMark/>
          </w:tcPr>
          <w:p>
            <w:pPr>
              <w:pStyle w:val="style0"/>
              <w:rPr>
                <w:rFonts w:ascii="Aptos Narrow" w:hAnsi="Aptos Narrow"/>
                <w:b/>
                <w:bCs/>
                <w:color w:val="000000"/>
              </w:rPr>
            </w:pPr>
            <w:r>
              <w:rPr>
                <w:rFonts w:ascii="Aptos Narrow" w:hAnsi="Aptos Narrow"/>
                <w:b/>
                <w:bCs/>
                <w:color w:val="000000"/>
              </w:rPr>
              <w:t>Dilution in EPS</w:t>
            </w:r>
          </w:p>
        </w:tc>
        <w:tc>
          <w:tcPr>
            <w:tcW w:w="3827" w:type="dxa"/>
            <w:tcBorders/>
            <w:noWrap/>
            <w:hideMark/>
          </w:tcPr>
          <w:p>
            <w:pPr>
              <w:pStyle w:val="style0"/>
              <w:rPr>
                <w:rFonts w:ascii="Aptos Narrow" w:hAnsi="Aptos Narrow"/>
                <w:b/>
                <w:bCs/>
                <w:color w:val="000000"/>
              </w:rPr>
            </w:pPr>
            <w:r>
              <w:rPr>
                <w:rFonts w:ascii="Aptos Narrow" w:hAnsi="Aptos Narrow"/>
                <w:b/>
                <w:bCs/>
                <w:color w:val="000000"/>
              </w:rPr>
              <w:t>= 6 - 5.9375</w:t>
            </w:r>
          </w:p>
        </w:tc>
        <w:tc>
          <w:tcPr>
            <w:tcW w:w="1650" w:type="dxa"/>
            <w:tcBorders/>
            <w:noWrap/>
            <w:hideMark/>
          </w:tcPr>
          <w:p>
            <w:pPr>
              <w:pStyle w:val="style0"/>
              <w:jc w:val="right"/>
              <w:rPr>
                <w:rFonts w:ascii="Aptos Narrow" w:hAnsi="Aptos Narrow"/>
                <w:b/>
                <w:bCs/>
                <w:color w:val="000000"/>
              </w:rPr>
            </w:pPr>
            <w:r>
              <w:rPr>
                <w:rFonts w:ascii="Aptos Narrow" w:hAnsi="Aptos Narrow"/>
                <w:b/>
                <w:bCs/>
                <w:color w:val="000000"/>
              </w:rPr>
              <w:t>0.0625</w:t>
            </w:r>
          </w:p>
        </w:tc>
      </w:tr>
    </w:tbl>
    <w:p>
      <w:pPr>
        <w:pStyle w:val="style0"/>
        <w:rPr/>
      </w:pPr>
    </w:p>
    <w:p>
      <w:pPr>
        <w:pStyle w:val="style0"/>
        <w:rPr/>
      </w:pPr>
      <w:r>
        <w:t>Impact of EPS of Company Y's Shareholders</w:t>
      </w:r>
      <w:r>
        <w:t>:</w:t>
      </w:r>
    </w:p>
    <w:tbl>
      <w:tblPr>
        <w:tblStyle w:val="style154"/>
        <w:tblW w:w="0" w:type="auto"/>
        <w:tblLayout w:type="fixed"/>
        <w:tblLook w:val="04A0" w:firstRow="1" w:lastRow="0" w:firstColumn="1" w:lastColumn="0" w:noHBand="0" w:noVBand="1"/>
      </w:tblPr>
      <w:tblGrid>
        <w:gridCol w:w="3539"/>
        <w:gridCol w:w="3827"/>
        <w:gridCol w:w="1650"/>
      </w:tblGrid>
      <w:tr>
        <w:trPr>
          <w:trHeight w:val="320" w:hRule="atLeast"/>
        </w:trPr>
        <w:tc>
          <w:tcPr>
            <w:tcW w:w="3539" w:type="dxa"/>
            <w:tcBorders/>
            <w:noWrap/>
            <w:hideMark/>
          </w:tcPr>
          <w:p>
            <w:pPr>
              <w:pStyle w:val="style0"/>
              <w:rPr>
                <w:rFonts w:ascii="Aptos Narrow" w:hAnsi="Aptos Narrow"/>
                <w:b/>
                <w:bCs/>
                <w:color w:val="000000"/>
              </w:rPr>
            </w:pPr>
          </w:p>
        </w:tc>
        <w:tc>
          <w:tcPr>
            <w:tcW w:w="3827" w:type="dxa"/>
            <w:tcBorders/>
            <w:noWrap/>
            <w:hideMark/>
          </w:tcPr>
          <w:p>
            <w:pPr>
              <w:pStyle w:val="style0"/>
              <w:rPr>
                <w:rFonts w:ascii="Aptos Narrow" w:hAnsi="Aptos Narrow"/>
                <w:b/>
                <w:bCs/>
                <w:color w:val="000000"/>
              </w:rPr>
            </w:pPr>
            <w:r>
              <w:rPr>
                <w:rFonts w:ascii="Aptos Narrow" w:hAnsi="Aptos Narrow"/>
                <w:b/>
                <w:bCs/>
                <w:color w:val="000000"/>
              </w:rPr>
              <w:t>Calculation</w:t>
            </w:r>
          </w:p>
        </w:tc>
        <w:tc>
          <w:tcPr>
            <w:tcW w:w="1650" w:type="dxa"/>
            <w:tcBorders/>
            <w:noWrap/>
            <w:hideMark/>
          </w:tcPr>
          <w:p>
            <w:pPr>
              <w:pStyle w:val="style0"/>
              <w:rPr>
                <w:rFonts w:ascii="Aptos Narrow" w:hAnsi="Aptos Narrow"/>
                <w:b/>
                <w:bCs/>
                <w:color w:val="000000"/>
              </w:rPr>
            </w:pPr>
            <w:r>
              <w:rPr>
                <w:rFonts w:ascii="Aptos Narrow" w:hAnsi="Aptos Narrow"/>
                <w:b/>
                <w:bCs/>
                <w:color w:val="000000"/>
              </w:rPr>
              <w:t>Amount</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Equivalent EPS before merger</w:t>
            </w:r>
          </w:p>
        </w:tc>
        <w:tc>
          <w:tcPr>
            <w:tcW w:w="3827" w:type="dxa"/>
            <w:tcBorders/>
            <w:noWrap/>
            <w:hideMark/>
          </w:tcPr>
          <w:p>
            <w:pPr>
              <w:pStyle w:val="style0"/>
              <w:rPr>
                <w:rFonts w:ascii="Aptos Narrow" w:hAnsi="Aptos Narrow"/>
                <w:color w:val="000000"/>
              </w:rPr>
            </w:pPr>
            <w:r>
              <w:rPr>
                <w:rFonts w:ascii="Aptos Narrow" w:hAnsi="Aptos Narrow"/>
                <w:color w:val="000000"/>
              </w:rPr>
              <w:t>= 4.5 x (4 / 5)</w:t>
            </w:r>
          </w:p>
        </w:tc>
        <w:tc>
          <w:tcPr>
            <w:tcW w:w="1650" w:type="dxa"/>
            <w:tcBorders/>
            <w:noWrap/>
            <w:hideMark/>
          </w:tcPr>
          <w:p>
            <w:pPr>
              <w:pStyle w:val="style0"/>
              <w:jc w:val="right"/>
              <w:rPr>
                <w:rFonts w:ascii="Aptos Narrow" w:hAnsi="Aptos Narrow"/>
                <w:color w:val="000000"/>
              </w:rPr>
            </w:pPr>
            <w:r>
              <w:rPr>
                <w:rFonts w:ascii="Aptos Narrow" w:hAnsi="Aptos Narrow"/>
                <w:color w:val="000000"/>
              </w:rPr>
              <w:t>5.625</w:t>
            </w:r>
          </w:p>
        </w:tc>
      </w:tr>
      <w:tr>
        <w:tblPrEx/>
        <w:trPr>
          <w:trHeight w:val="320" w:hRule="atLeast"/>
        </w:trPr>
        <w:tc>
          <w:tcPr>
            <w:tcW w:w="3539" w:type="dxa"/>
            <w:tcBorders/>
            <w:noWrap/>
            <w:hideMark/>
          </w:tcPr>
          <w:p>
            <w:pPr>
              <w:pStyle w:val="style0"/>
              <w:rPr>
                <w:rFonts w:ascii="Aptos Narrow" w:hAnsi="Aptos Narrow"/>
                <w:color w:val="000000"/>
              </w:rPr>
            </w:pPr>
            <w:r>
              <w:rPr>
                <w:rFonts w:ascii="Aptos Narrow" w:hAnsi="Aptos Narrow"/>
                <w:color w:val="000000"/>
              </w:rPr>
              <w:t>EPS after merger</w:t>
            </w:r>
          </w:p>
        </w:tc>
        <w:tc>
          <w:tcPr>
            <w:tcW w:w="3827" w:type="dxa"/>
            <w:tcBorders/>
            <w:noWrap/>
            <w:hideMark/>
          </w:tcPr>
          <w:p>
            <w:pPr>
              <w:pStyle w:val="style0"/>
              <w:rPr>
                <w:rFonts w:ascii="Aptos Narrow" w:hAnsi="Aptos Narrow"/>
                <w:color w:val="000000"/>
              </w:rPr>
            </w:pPr>
          </w:p>
        </w:tc>
        <w:tc>
          <w:tcPr>
            <w:tcW w:w="1650" w:type="dxa"/>
            <w:tcBorders/>
            <w:noWrap/>
            <w:hideMark/>
          </w:tcPr>
          <w:p>
            <w:pPr>
              <w:pStyle w:val="style0"/>
              <w:jc w:val="right"/>
              <w:rPr>
                <w:rFonts w:ascii="Aptos Narrow" w:hAnsi="Aptos Narrow"/>
                <w:color w:val="000000"/>
              </w:rPr>
            </w:pPr>
            <w:r>
              <w:rPr>
                <w:rFonts w:ascii="Aptos Narrow" w:hAnsi="Aptos Narrow"/>
                <w:color w:val="000000"/>
              </w:rPr>
              <w:t>5.9375</w:t>
            </w:r>
          </w:p>
        </w:tc>
      </w:tr>
      <w:tr>
        <w:tblPrEx/>
        <w:trPr>
          <w:trHeight w:val="320" w:hRule="atLeast"/>
        </w:trPr>
        <w:tc>
          <w:tcPr>
            <w:tcW w:w="3539" w:type="dxa"/>
            <w:tcBorders/>
            <w:noWrap/>
            <w:hideMark/>
          </w:tcPr>
          <w:p>
            <w:pPr>
              <w:pStyle w:val="style0"/>
              <w:rPr>
                <w:rFonts w:ascii="Aptos Narrow" w:hAnsi="Aptos Narrow"/>
                <w:b/>
                <w:bCs/>
                <w:color w:val="000000"/>
              </w:rPr>
            </w:pPr>
            <w:r>
              <w:rPr>
                <w:rFonts w:ascii="Aptos Narrow" w:hAnsi="Aptos Narrow"/>
                <w:b/>
                <w:bCs/>
                <w:color w:val="000000"/>
              </w:rPr>
              <w:t>Accretion (Increase) in EPS</w:t>
            </w:r>
          </w:p>
        </w:tc>
        <w:tc>
          <w:tcPr>
            <w:tcW w:w="3827" w:type="dxa"/>
            <w:tcBorders/>
            <w:noWrap/>
            <w:hideMark/>
          </w:tcPr>
          <w:p>
            <w:pPr>
              <w:pStyle w:val="style0"/>
              <w:rPr>
                <w:rFonts w:ascii="Aptos Narrow" w:hAnsi="Aptos Narrow"/>
                <w:b/>
                <w:bCs/>
                <w:color w:val="000000"/>
              </w:rPr>
            </w:pPr>
            <w:r>
              <w:rPr>
                <w:rFonts w:ascii="Aptos Narrow" w:hAnsi="Aptos Narrow"/>
                <w:b/>
                <w:bCs/>
                <w:color w:val="000000"/>
              </w:rPr>
              <w:t>= 5.9375 - 5.625</w:t>
            </w:r>
          </w:p>
        </w:tc>
        <w:tc>
          <w:tcPr>
            <w:tcW w:w="1650" w:type="dxa"/>
            <w:tcBorders/>
            <w:noWrap/>
            <w:hideMark/>
          </w:tcPr>
          <w:p>
            <w:pPr>
              <w:pStyle w:val="style0"/>
              <w:jc w:val="right"/>
              <w:rPr>
                <w:rFonts w:ascii="Aptos Narrow" w:hAnsi="Aptos Narrow"/>
                <w:b/>
                <w:bCs/>
                <w:color w:val="000000"/>
              </w:rPr>
            </w:pPr>
            <w:r>
              <w:rPr>
                <w:rFonts w:ascii="Aptos Narrow" w:hAnsi="Aptos Narrow"/>
                <w:b/>
                <w:bCs/>
                <w:color w:val="000000"/>
              </w:rPr>
              <w:t>0.3125</w:t>
            </w:r>
          </w:p>
        </w:tc>
      </w:tr>
    </w:tbl>
    <w:p>
      <w:pPr>
        <w:pStyle w:val="style0"/>
        <w:rPr>
          <w:b/>
          <w:bCs/>
          <w:u w:val="single"/>
          <w:lang w:val="en-US"/>
        </w:rPr>
      </w:pPr>
    </w:p>
    <w:p>
      <w:pPr>
        <w:pStyle w:val="style0"/>
        <w:rPr>
          <w:b/>
          <w:bCs/>
          <w:u w:val="single"/>
          <w:lang w:val="en-US"/>
        </w:rPr>
      </w:pPr>
    </w:p>
    <w:p>
      <w:pPr>
        <w:pStyle w:val="style0"/>
        <w:rPr>
          <w:b/>
          <w:bCs/>
          <w:u w:val="single"/>
          <w:lang w:val="en-US"/>
        </w:rPr>
      </w:pPr>
    </w:p>
    <w:p>
      <w:pPr>
        <w:pStyle w:val="style0"/>
        <w:spacing w:after="160" w:lineRule="auto" w:line="278"/>
        <w:rPr>
          <w:b/>
          <w:bCs/>
          <w:u w:val="single"/>
          <w:lang w:val="en-US"/>
        </w:rPr>
      </w:pPr>
      <w:r>
        <w:rPr>
          <w:b/>
          <w:bCs/>
          <w:u w:val="single"/>
          <w:lang w:val="en-US"/>
        </w:rPr>
        <w:br w:type="page"/>
      </w:r>
    </w:p>
    <w:p>
      <w:pPr>
        <w:pStyle w:val="style0"/>
        <w:rPr>
          <w:b/>
          <w:bCs/>
          <w:u w:val="single"/>
          <w:lang w:val="en-US"/>
        </w:rPr>
      </w:pPr>
      <w:r>
        <w:rPr>
          <w:b/>
          <w:bCs/>
          <w:u w:val="single"/>
          <w:lang w:val="en-US"/>
        </w:rPr>
        <w:t>Question 3:</w:t>
      </w:r>
    </w:p>
    <w:p>
      <w:pPr>
        <w:pStyle w:val="style0"/>
        <w:rPr>
          <w:b/>
          <w:bCs/>
          <w:u w:val="single"/>
          <w:lang w:val="en-US"/>
        </w:rPr>
      </w:pPr>
    </w:p>
    <w:p>
      <w:pPr>
        <w:pStyle w:val="style0"/>
        <w:jc w:val="both"/>
        <w:rPr>
          <w:lang w:val="en-US"/>
        </w:rPr>
      </w:pPr>
      <w:r>
        <w:rPr>
          <w:lang w:val="en-US"/>
        </w:rPr>
        <w:t xml:space="preserve">Sunny Lamps Ltd. </w:t>
      </w:r>
      <w:r>
        <w:rPr>
          <w:lang w:val="en-US"/>
        </w:rPr>
        <w:t>i</w:t>
      </w:r>
      <w:r>
        <w:rPr>
          <w:lang w:val="en-US"/>
        </w:rPr>
        <w:t>s taking over Moon Lamps Ltd. As per the understanding between the managements of the two companies, shareholders of Moon Lamps Ltd. would receive 0.7 shares of Sunny Lamps Ltd. for each share held by them. The relevant data for the two companies are as follows:</w:t>
      </w:r>
    </w:p>
    <w:p>
      <w:pPr>
        <w:pStyle w:val="style0"/>
        <w:jc w:val="both"/>
        <w:rPr>
          <w:lang w:val="en-US"/>
        </w:rPr>
      </w:pPr>
    </w:p>
    <w:tbl>
      <w:tblPr>
        <w:tblW w:w="5000" w:type="pct"/>
        <w:tblLook w:val="04A0" w:firstRow="1" w:lastRow="0" w:firstColumn="1" w:lastColumn="0" w:noHBand="0" w:noVBand="1"/>
      </w:tblPr>
      <w:tblGrid>
        <w:gridCol w:w="4598"/>
        <w:gridCol w:w="2238"/>
        <w:gridCol w:w="2190"/>
      </w:tblGrid>
      <w:tr>
        <w:trPr>
          <w:trHeight w:val="320" w:hRule="atLeast"/>
        </w:trPr>
        <w:tc>
          <w:tcPr>
            <w:tcW w:w="2547" w:type="pct"/>
            <w:tcBorders>
              <w:top w:val="single" w:sz="4" w:space="0" w:color="auto"/>
              <w:left w:val="nil"/>
              <w:bottom w:val="single" w:sz="4" w:space="0" w:color="auto"/>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 </w:t>
            </w:r>
          </w:p>
        </w:tc>
        <w:tc>
          <w:tcPr>
            <w:tcW w:w="1240" w:type="pct"/>
            <w:tcBorders>
              <w:top w:val="single" w:sz="4" w:space="0" w:color="auto"/>
              <w:left w:val="single" w:sz="4" w:space="0" w:color="auto"/>
              <w:bottom w:val="single" w:sz="4" w:space="0" w:color="auto"/>
              <w:right w:val="single" w:sz="4" w:space="0" w:color="auto"/>
            </w:tcBorders>
            <w:noWrap/>
            <w:vAlign w:val="bottom"/>
            <w:hideMark/>
          </w:tcPr>
          <w:p>
            <w:pPr>
              <w:pStyle w:val="style0"/>
              <w:rPr>
                <w:rFonts w:ascii="Aptos Narrow" w:hAnsi="Aptos Narrow"/>
                <w:b/>
                <w:bCs/>
                <w:color w:val="000000"/>
              </w:rPr>
            </w:pPr>
            <w:r>
              <w:rPr>
                <w:rFonts w:ascii="Aptos Narrow" w:hAnsi="Aptos Narrow"/>
                <w:b/>
                <w:bCs/>
                <w:color w:val="000000"/>
              </w:rPr>
              <w:t>Sunny Lamps Ltd.</w:t>
            </w:r>
          </w:p>
        </w:tc>
        <w:tc>
          <w:tcPr>
            <w:tcW w:w="1213" w:type="pct"/>
            <w:tcBorders>
              <w:top w:val="single" w:sz="4" w:space="0" w:color="auto"/>
              <w:left w:val="single" w:sz="4" w:space="0" w:color="auto"/>
              <w:bottom w:val="single" w:sz="4" w:space="0" w:color="auto"/>
              <w:right w:val="nil"/>
            </w:tcBorders>
            <w:noWrap/>
            <w:vAlign w:val="bottom"/>
            <w:hideMark/>
          </w:tcPr>
          <w:p>
            <w:pPr>
              <w:pStyle w:val="style0"/>
              <w:rPr>
                <w:rFonts w:ascii="Aptos Narrow" w:hAnsi="Aptos Narrow"/>
                <w:b/>
                <w:bCs/>
                <w:color w:val="000000"/>
              </w:rPr>
            </w:pPr>
            <w:r>
              <w:rPr>
                <w:rFonts w:ascii="Aptos Narrow" w:hAnsi="Aptos Narrow"/>
                <w:b/>
                <w:bCs/>
                <w:color w:val="000000"/>
              </w:rPr>
              <w:t>Moon Lamps Ltd.</w:t>
            </w:r>
          </w:p>
        </w:tc>
      </w:tr>
      <w:tr>
        <w:tblPrEx/>
        <w:trPr>
          <w:trHeight w:val="320" w:hRule="atLeast"/>
        </w:trPr>
        <w:tc>
          <w:tcPr>
            <w:tcW w:w="2547"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Net Sales (in lakhs)</w:t>
            </w:r>
          </w:p>
        </w:tc>
        <w:tc>
          <w:tcPr>
            <w:tcW w:w="1240"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80</w:t>
            </w:r>
          </w:p>
        </w:tc>
        <w:tc>
          <w:tcPr>
            <w:tcW w:w="121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30</w:t>
            </w:r>
          </w:p>
        </w:tc>
      </w:tr>
      <w:tr>
        <w:tblPrEx/>
        <w:trPr>
          <w:trHeight w:val="320" w:hRule="atLeast"/>
        </w:trPr>
        <w:tc>
          <w:tcPr>
            <w:tcW w:w="2547"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Profit after tax (in lakhs)</w:t>
            </w:r>
          </w:p>
        </w:tc>
        <w:tc>
          <w:tcPr>
            <w:tcW w:w="1240"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16</w:t>
            </w:r>
          </w:p>
        </w:tc>
        <w:tc>
          <w:tcPr>
            <w:tcW w:w="121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4</w:t>
            </w:r>
          </w:p>
        </w:tc>
      </w:tr>
      <w:tr>
        <w:tblPrEx/>
        <w:trPr>
          <w:trHeight w:val="320" w:hRule="atLeast"/>
        </w:trPr>
        <w:tc>
          <w:tcPr>
            <w:tcW w:w="2547"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Number of Shares (in lakhs)</w:t>
            </w:r>
          </w:p>
        </w:tc>
        <w:tc>
          <w:tcPr>
            <w:tcW w:w="1240"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3.2</w:t>
            </w:r>
          </w:p>
        </w:tc>
        <w:tc>
          <w:tcPr>
            <w:tcW w:w="121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1</w:t>
            </w:r>
          </w:p>
        </w:tc>
      </w:tr>
      <w:tr>
        <w:tblPrEx/>
        <w:trPr>
          <w:trHeight w:val="320" w:hRule="atLeast"/>
        </w:trPr>
        <w:tc>
          <w:tcPr>
            <w:tcW w:w="2547"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Earnings per share (in lakhs)</w:t>
            </w:r>
          </w:p>
        </w:tc>
        <w:tc>
          <w:tcPr>
            <w:tcW w:w="1240"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5</w:t>
            </w:r>
          </w:p>
        </w:tc>
        <w:tc>
          <w:tcPr>
            <w:tcW w:w="121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4</w:t>
            </w:r>
          </w:p>
        </w:tc>
      </w:tr>
      <w:tr>
        <w:tblPrEx/>
        <w:trPr>
          <w:trHeight w:val="320" w:hRule="atLeast"/>
        </w:trPr>
        <w:tc>
          <w:tcPr>
            <w:tcW w:w="2547" w:type="pct"/>
            <w:tcBorders>
              <w:top w:val="nil"/>
              <w:left w:val="nil"/>
              <w:bottom w:val="nil"/>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Market value per share (in lakhs)</w:t>
            </w:r>
          </w:p>
        </w:tc>
        <w:tc>
          <w:tcPr>
            <w:tcW w:w="1240" w:type="pct"/>
            <w:tcBorders>
              <w:top w:val="nil"/>
              <w:left w:val="single" w:sz="4" w:space="0" w:color="auto"/>
              <w:bottom w:val="nil"/>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30</w:t>
            </w:r>
          </w:p>
        </w:tc>
        <w:tc>
          <w:tcPr>
            <w:tcW w:w="1213" w:type="pct"/>
            <w:tcBorders>
              <w:top w:val="nil"/>
              <w:left w:val="single" w:sz="4" w:space="0" w:color="auto"/>
              <w:bottom w:val="nil"/>
              <w:right w:val="nil"/>
            </w:tcBorders>
            <w:noWrap/>
            <w:vAlign w:val="bottom"/>
            <w:hideMark/>
          </w:tcPr>
          <w:p>
            <w:pPr>
              <w:pStyle w:val="style0"/>
              <w:jc w:val="right"/>
              <w:rPr>
                <w:rFonts w:ascii="Aptos Narrow" w:hAnsi="Aptos Narrow"/>
                <w:color w:val="000000"/>
              </w:rPr>
            </w:pPr>
            <w:r>
              <w:rPr>
                <w:rFonts w:ascii="Aptos Narrow" w:hAnsi="Aptos Narrow"/>
                <w:color w:val="000000"/>
              </w:rPr>
              <w:t>20</w:t>
            </w:r>
          </w:p>
        </w:tc>
      </w:tr>
      <w:tr>
        <w:tblPrEx/>
        <w:trPr>
          <w:trHeight w:val="320" w:hRule="atLeast"/>
        </w:trPr>
        <w:tc>
          <w:tcPr>
            <w:tcW w:w="2547" w:type="pct"/>
            <w:tcBorders>
              <w:top w:val="nil"/>
              <w:left w:val="nil"/>
              <w:bottom w:val="single" w:sz="4" w:space="0" w:color="auto"/>
              <w:right w:val="single" w:sz="4" w:space="0" w:color="auto"/>
            </w:tcBorders>
            <w:noWrap/>
            <w:vAlign w:val="bottom"/>
            <w:hideMark/>
          </w:tcPr>
          <w:p>
            <w:pPr>
              <w:pStyle w:val="style0"/>
              <w:rPr>
                <w:rFonts w:ascii="Aptos Narrow" w:hAnsi="Aptos Narrow"/>
                <w:color w:val="000000"/>
              </w:rPr>
            </w:pPr>
            <w:r>
              <w:rPr>
                <w:rFonts w:ascii="Aptos Narrow" w:hAnsi="Aptos Narrow"/>
                <w:color w:val="000000"/>
              </w:rPr>
              <w:t>Price-Earning Ratio (P/E)</w:t>
            </w:r>
          </w:p>
        </w:tc>
        <w:tc>
          <w:tcPr>
            <w:tcW w:w="1240" w:type="pct"/>
            <w:tcBorders>
              <w:top w:val="nil"/>
              <w:left w:val="single" w:sz="4" w:space="0" w:color="auto"/>
              <w:bottom w:val="single" w:sz="4" w:space="0" w:color="auto"/>
              <w:right w:val="single" w:sz="4" w:space="0" w:color="auto"/>
            </w:tcBorders>
            <w:noWrap/>
            <w:vAlign w:val="bottom"/>
            <w:hideMark/>
          </w:tcPr>
          <w:p>
            <w:pPr>
              <w:pStyle w:val="style0"/>
              <w:jc w:val="right"/>
              <w:rPr>
                <w:rFonts w:ascii="Aptos Narrow" w:hAnsi="Aptos Narrow"/>
                <w:color w:val="000000"/>
              </w:rPr>
            </w:pPr>
            <w:r>
              <w:rPr>
                <w:rFonts w:ascii="Aptos Narrow" w:hAnsi="Aptos Narrow"/>
                <w:color w:val="000000"/>
              </w:rPr>
              <w:t>6</w:t>
            </w:r>
          </w:p>
        </w:tc>
        <w:tc>
          <w:tcPr>
            <w:tcW w:w="1213" w:type="pct"/>
            <w:tcBorders>
              <w:top w:val="nil"/>
              <w:left w:val="single" w:sz="4" w:space="0" w:color="auto"/>
              <w:bottom w:val="single" w:sz="4" w:space="0" w:color="auto"/>
              <w:right w:val="nil"/>
            </w:tcBorders>
            <w:noWrap/>
            <w:vAlign w:val="bottom"/>
            <w:hideMark/>
          </w:tcPr>
          <w:p>
            <w:pPr>
              <w:pStyle w:val="style0"/>
              <w:jc w:val="right"/>
              <w:rPr>
                <w:rFonts w:ascii="Aptos Narrow" w:hAnsi="Aptos Narrow"/>
                <w:color w:val="000000"/>
              </w:rPr>
            </w:pPr>
            <w:r>
              <w:rPr>
                <w:rFonts w:ascii="Aptos Narrow" w:hAnsi="Aptos Narrow"/>
                <w:color w:val="000000"/>
              </w:rPr>
              <w:t>5</w:t>
            </w:r>
          </w:p>
        </w:tc>
      </w:tr>
    </w:tbl>
    <w:p>
      <w:pPr>
        <w:pStyle w:val="style0"/>
        <w:rPr>
          <w:lang w:val="en-US"/>
        </w:rPr>
      </w:pPr>
    </w:p>
    <w:p>
      <w:pPr>
        <w:pStyle w:val="style0"/>
        <w:jc w:val="both"/>
        <w:rPr>
          <w:lang w:val="en-US"/>
        </w:rPr>
      </w:pPr>
      <w:r>
        <w:rPr>
          <w:lang w:val="en-US"/>
        </w:rPr>
        <w:t>Ignoring the economies of scale and the operating synergy, you are required to calculate</w:t>
      </w:r>
      <w:r>
        <w:rPr>
          <w:lang w:val="en-US"/>
        </w:rPr>
        <w:t>:</w:t>
      </w:r>
    </w:p>
    <w:p>
      <w:pPr>
        <w:pStyle w:val="style179"/>
        <w:numPr>
          <w:ilvl w:val="0"/>
          <w:numId w:val="3"/>
        </w:numPr>
        <w:jc w:val="both"/>
        <w:rPr>
          <w:lang w:val="en-US"/>
        </w:rPr>
      </w:pPr>
      <w:r>
        <w:rPr>
          <w:lang w:val="en-US"/>
        </w:rPr>
        <w:t>Premium paid by Sunny Lamps Ltd. to the shareholders of Moon Lamps Ltd;</w:t>
      </w:r>
    </w:p>
    <w:p>
      <w:pPr>
        <w:pStyle w:val="style179"/>
        <w:numPr>
          <w:ilvl w:val="0"/>
          <w:numId w:val="3"/>
        </w:numPr>
        <w:jc w:val="both"/>
        <w:rPr>
          <w:lang w:val="en-US"/>
        </w:rPr>
      </w:pPr>
      <w:r>
        <w:rPr>
          <w:lang w:val="en-US"/>
        </w:rPr>
        <w:t>Number of shares after the merger;</w:t>
      </w:r>
    </w:p>
    <w:p>
      <w:pPr>
        <w:pStyle w:val="style179"/>
        <w:numPr>
          <w:ilvl w:val="0"/>
          <w:numId w:val="3"/>
        </w:numPr>
        <w:jc w:val="both"/>
        <w:rPr>
          <w:lang w:val="en-US"/>
        </w:rPr>
      </w:pPr>
      <w:r>
        <w:rPr>
          <w:lang w:val="en-US"/>
        </w:rPr>
        <w:t>Combined EPS;</w:t>
      </w:r>
    </w:p>
    <w:p>
      <w:pPr>
        <w:pStyle w:val="style179"/>
        <w:numPr>
          <w:ilvl w:val="0"/>
          <w:numId w:val="3"/>
        </w:numPr>
        <w:jc w:val="both"/>
        <w:rPr>
          <w:lang w:val="en-US"/>
        </w:rPr>
      </w:pPr>
      <w:r>
        <w:rPr>
          <w:lang w:val="en-US"/>
        </w:rPr>
        <w:t>Combined P/E ratio;</w:t>
      </w:r>
    </w:p>
    <w:p>
      <w:pPr>
        <w:pStyle w:val="style179"/>
        <w:numPr>
          <w:ilvl w:val="0"/>
          <w:numId w:val="3"/>
        </w:numPr>
        <w:jc w:val="both"/>
        <w:rPr>
          <w:lang w:val="en-US"/>
        </w:rPr>
      </w:pPr>
      <w:r>
        <w:rPr>
          <w:lang w:val="en-US"/>
        </w:rPr>
        <w:t>Market value per share; and</w:t>
      </w:r>
    </w:p>
    <w:p>
      <w:pPr>
        <w:pStyle w:val="style179"/>
        <w:numPr>
          <w:ilvl w:val="0"/>
          <w:numId w:val="3"/>
        </w:numPr>
        <w:jc w:val="both"/>
        <w:rPr>
          <w:lang w:val="en-US"/>
        </w:rPr>
      </w:pPr>
      <w:r>
        <w:rPr>
          <w:lang w:val="en-US"/>
        </w:rPr>
        <w:t>Total market capitalization after the merger.</w:t>
      </w:r>
    </w:p>
    <w:p>
      <w:pPr>
        <w:pStyle w:val="style0"/>
        <w:rPr>
          <w:lang w:val="en-US"/>
        </w:rPr>
      </w:pPr>
    </w:p>
    <w:p>
      <w:pPr>
        <w:pStyle w:val="style0"/>
        <w:spacing w:after="160" w:lineRule="auto" w:line="278"/>
        <w:rPr>
          <w:b/>
          <w:bCs/>
          <w:u w:val="single"/>
          <w:lang w:val="en-US"/>
        </w:rPr>
      </w:pPr>
      <w:r>
        <w:rPr>
          <w:b/>
          <w:bCs/>
          <w:u w:val="single"/>
          <w:lang w:val="en-US"/>
        </w:rPr>
        <w:br w:type="page"/>
      </w:r>
    </w:p>
    <w:p>
      <w:pPr>
        <w:pStyle w:val="style0"/>
        <w:rPr>
          <w:b/>
          <w:bCs/>
          <w:u w:val="single"/>
          <w:lang w:val="en-US"/>
        </w:rPr>
      </w:pPr>
      <w:r>
        <w:rPr>
          <w:b/>
          <w:bCs/>
          <w:u w:val="single"/>
          <w:lang w:val="en-US"/>
        </w:rPr>
        <w:t>Solution:</w:t>
      </w:r>
    </w:p>
    <w:p>
      <w:pPr>
        <w:pStyle w:val="style0"/>
        <w:rPr>
          <w:lang w:val="en-US"/>
        </w:rPr>
      </w:pPr>
    </w:p>
    <w:p>
      <w:pPr>
        <w:pStyle w:val="style0"/>
        <w:rPr>
          <w:lang w:val="en-US"/>
        </w:rPr>
      </w:pPr>
      <w:r>
        <w:rPr>
          <w:lang w:val="en-US"/>
        </w:rPr>
        <w:t>(i) Premium paid by Sunny Lamps Ltd. To shareholder of Moon Lamps Ltd.:</w:t>
      </w:r>
    </w:p>
    <w:p>
      <w:pPr>
        <w:pStyle w:val="style0"/>
        <w:rPr>
          <w:lang w:val="en-US"/>
        </w:rPr>
      </w:pPr>
    </w:p>
    <w:tbl>
      <w:tblPr>
        <w:tblStyle w:val="style154"/>
        <w:tblW w:w="5000" w:type="pct"/>
        <w:tblLook w:val="04A0" w:firstRow="1" w:lastRow="0" w:firstColumn="1" w:lastColumn="0" w:noHBand="0" w:noVBand="1"/>
      </w:tblPr>
      <w:tblGrid>
        <w:gridCol w:w="4248"/>
        <w:gridCol w:w="3118"/>
        <w:gridCol w:w="1650"/>
      </w:tblGrid>
      <w:tr>
        <w:trPr>
          <w:trHeight w:val="320" w:hRule="atLeast"/>
        </w:trPr>
        <w:tc>
          <w:tcPr>
            <w:tcW w:w="2356" w:type="pct"/>
            <w:tcBorders/>
            <w:noWrap/>
            <w:hideMark/>
          </w:tcPr>
          <w:p>
            <w:pPr>
              <w:pStyle w:val="style0"/>
              <w:rPr>
                <w:rFonts w:ascii="Aptos Narrow" w:hAnsi="Aptos Narrow"/>
                <w:color w:val="000000"/>
              </w:rPr>
            </w:pPr>
            <w:r>
              <w:rPr>
                <w:rFonts w:ascii="Aptos Narrow" w:hAnsi="Aptos Narrow"/>
                <w:color w:val="000000"/>
              </w:rPr>
              <w:t>Value of each share of Sunny Lamps Ltd.</w:t>
            </w:r>
          </w:p>
        </w:tc>
        <w:tc>
          <w:tcPr>
            <w:tcW w:w="1729" w:type="pct"/>
            <w:tcBorders/>
            <w:noWrap/>
            <w:hideMark/>
          </w:tcPr>
          <w:p>
            <w:pPr>
              <w:pStyle w:val="style0"/>
              <w:rPr>
                <w:rFonts w:ascii="Aptos Narrow" w:hAnsi="Aptos Narrow"/>
                <w:color w:val="000000"/>
              </w:rPr>
            </w:pPr>
            <w:r>
              <w:rPr>
                <w:rFonts w:ascii="Aptos Narrow" w:hAnsi="Aptos Narrow"/>
                <w:color w:val="000000"/>
              </w:rPr>
              <w:t>=</w:t>
            </w:r>
            <w:r>
              <w:rPr>
                <w:rFonts w:ascii="Aptos Narrow" w:hAnsi="Aptos Narrow"/>
                <w:color w:val="000000"/>
              </w:rPr>
              <w:t xml:space="preserve"> </w:t>
            </w:r>
            <w:r>
              <w:rPr>
                <w:rFonts w:ascii="Aptos Narrow" w:hAnsi="Aptos Narrow"/>
                <w:color w:val="000000"/>
              </w:rPr>
              <w:t>30 x 0.7</w:t>
            </w:r>
          </w:p>
        </w:tc>
        <w:tc>
          <w:tcPr>
            <w:tcW w:w="915" w:type="pct"/>
            <w:tcBorders/>
            <w:noWrap/>
            <w:hideMark/>
          </w:tcPr>
          <w:p>
            <w:pPr>
              <w:pStyle w:val="style0"/>
              <w:jc w:val="right"/>
              <w:rPr>
                <w:rFonts w:ascii="Aptos Narrow" w:hAnsi="Aptos Narrow"/>
                <w:color w:val="000000"/>
              </w:rPr>
            </w:pPr>
            <w:r>
              <w:rPr>
                <w:rFonts w:ascii="Aptos Narrow" w:hAnsi="Aptos Narrow"/>
                <w:color w:val="000000"/>
              </w:rPr>
              <w:t>21</w:t>
            </w:r>
          </w:p>
        </w:tc>
      </w:tr>
      <w:tr>
        <w:tblPrEx/>
        <w:trPr>
          <w:trHeight w:val="320" w:hRule="atLeast"/>
        </w:trPr>
        <w:tc>
          <w:tcPr>
            <w:tcW w:w="2356" w:type="pct"/>
            <w:tcBorders/>
            <w:noWrap/>
            <w:hideMark/>
          </w:tcPr>
          <w:p>
            <w:pPr>
              <w:pStyle w:val="style0"/>
              <w:rPr>
                <w:rFonts w:ascii="Aptos Narrow" w:hAnsi="Aptos Narrow"/>
                <w:color w:val="000000"/>
              </w:rPr>
            </w:pPr>
            <w:r>
              <w:rPr>
                <w:rFonts w:ascii="Aptos Narrow" w:hAnsi="Aptos Narrow"/>
                <w:color w:val="000000"/>
              </w:rPr>
              <w:t>Value of each share of Moon Lamps Ltd.</w:t>
            </w:r>
          </w:p>
        </w:tc>
        <w:tc>
          <w:tcPr>
            <w:tcW w:w="1729" w:type="pct"/>
            <w:tcBorders/>
            <w:noWrap/>
            <w:hideMark/>
          </w:tcPr>
          <w:p>
            <w:pPr>
              <w:pStyle w:val="style0"/>
              <w:rPr>
                <w:rFonts w:ascii="Aptos Narrow" w:hAnsi="Aptos Narrow"/>
                <w:color w:val="000000"/>
              </w:rPr>
            </w:pPr>
          </w:p>
        </w:tc>
        <w:tc>
          <w:tcPr>
            <w:tcW w:w="915" w:type="pct"/>
            <w:tcBorders/>
            <w:noWrap/>
            <w:hideMark/>
          </w:tcPr>
          <w:p>
            <w:pPr>
              <w:pStyle w:val="style0"/>
              <w:jc w:val="right"/>
              <w:rPr>
                <w:rFonts w:ascii="Aptos Narrow" w:hAnsi="Aptos Narrow"/>
                <w:color w:val="000000"/>
              </w:rPr>
            </w:pPr>
            <w:r>
              <w:rPr>
                <w:rFonts w:ascii="Aptos Narrow" w:hAnsi="Aptos Narrow"/>
                <w:color w:val="000000"/>
              </w:rPr>
              <w:t>20</w:t>
            </w:r>
          </w:p>
        </w:tc>
      </w:tr>
      <w:tr>
        <w:tblPrEx/>
        <w:trPr>
          <w:trHeight w:val="320" w:hRule="atLeast"/>
        </w:trPr>
        <w:tc>
          <w:tcPr>
            <w:tcW w:w="2356" w:type="pct"/>
            <w:tcBorders/>
            <w:noWrap/>
            <w:hideMark/>
          </w:tcPr>
          <w:p>
            <w:pPr>
              <w:pStyle w:val="style0"/>
              <w:rPr>
                <w:rFonts w:ascii="Aptos Narrow" w:hAnsi="Aptos Narrow"/>
                <w:color w:val="000000"/>
              </w:rPr>
            </w:pPr>
            <w:r>
              <w:rPr>
                <w:rFonts w:ascii="Aptos Narrow" w:hAnsi="Aptos Narrow"/>
                <w:color w:val="000000"/>
              </w:rPr>
              <w:t>Premium paid per share</w:t>
            </w:r>
          </w:p>
        </w:tc>
        <w:tc>
          <w:tcPr>
            <w:tcW w:w="1729" w:type="pct"/>
            <w:tcBorders/>
            <w:noWrap/>
            <w:hideMark/>
          </w:tcPr>
          <w:p>
            <w:pPr>
              <w:pStyle w:val="style0"/>
              <w:rPr>
                <w:rFonts w:ascii="Aptos Narrow" w:hAnsi="Aptos Narrow"/>
                <w:color w:val="000000"/>
              </w:rPr>
            </w:pPr>
            <w:r>
              <w:rPr>
                <w:rFonts w:ascii="Aptos Narrow" w:hAnsi="Aptos Narrow"/>
                <w:color w:val="000000"/>
              </w:rPr>
              <w:t>= 21 - 20</w:t>
            </w:r>
          </w:p>
        </w:tc>
        <w:tc>
          <w:tcPr>
            <w:tcW w:w="915" w:type="pct"/>
            <w:tcBorders/>
            <w:noWrap/>
            <w:hideMark/>
          </w:tcPr>
          <w:p>
            <w:pPr>
              <w:pStyle w:val="style0"/>
              <w:jc w:val="right"/>
              <w:rPr>
                <w:rFonts w:ascii="Aptos Narrow" w:hAnsi="Aptos Narrow"/>
                <w:color w:val="000000"/>
              </w:rPr>
            </w:pPr>
            <w:r>
              <w:rPr>
                <w:rFonts w:ascii="Aptos Narrow" w:hAnsi="Aptos Narrow"/>
                <w:color w:val="000000"/>
              </w:rPr>
              <w:t>1</w:t>
            </w:r>
          </w:p>
        </w:tc>
      </w:tr>
      <w:tr>
        <w:tblPrEx/>
        <w:trPr>
          <w:trHeight w:val="320" w:hRule="atLeast"/>
        </w:trPr>
        <w:tc>
          <w:tcPr>
            <w:tcW w:w="2356" w:type="pct"/>
            <w:tcBorders/>
            <w:noWrap/>
            <w:hideMark/>
          </w:tcPr>
          <w:p>
            <w:pPr>
              <w:pStyle w:val="style0"/>
              <w:rPr>
                <w:rFonts w:ascii="Aptos Narrow" w:hAnsi="Aptos Narrow"/>
                <w:b/>
                <w:bCs/>
                <w:color w:val="000000"/>
              </w:rPr>
            </w:pPr>
            <w:r>
              <w:rPr>
                <w:rFonts w:ascii="Aptos Narrow" w:hAnsi="Aptos Narrow"/>
                <w:b/>
                <w:bCs/>
                <w:color w:val="000000"/>
              </w:rPr>
              <w:t>Premium in percentage</w:t>
            </w:r>
          </w:p>
        </w:tc>
        <w:tc>
          <w:tcPr>
            <w:tcW w:w="1729" w:type="pct"/>
            <w:tcBorders/>
            <w:noWrap/>
            <w:hideMark/>
          </w:tcPr>
          <w:p>
            <w:pPr>
              <w:pStyle w:val="style0"/>
              <w:rPr>
                <w:rFonts w:ascii="Aptos Narrow" w:hAnsi="Aptos Narrow"/>
                <w:b/>
                <w:bCs/>
                <w:color w:val="000000"/>
              </w:rPr>
            </w:pPr>
            <w:r>
              <w:rPr>
                <w:rFonts w:ascii="Aptos Narrow" w:hAnsi="Aptos Narrow"/>
                <w:b/>
                <w:bCs/>
                <w:color w:val="000000"/>
              </w:rPr>
              <w:t>=</w:t>
            </w:r>
            <w:r>
              <w:rPr>
                <w:rFonts w:ascii="Aptos Narrow" w:hAnsi="Aptos Narrow"/>
                <w:b/>
                <w:bCs/>
                <w:color w:val="000000"/>
              </w:rPr>
              <w:t xml:space="preserve"> </w:t>
            </w:r>
            <w:r>
              <w:rPr>
                <w:rFonts w:ascii="Aptos Narrow" w:hAnsi="Aptos Narrow"/>
                <w:b/>
                <w:bCs/>
                <w:color w:val="000000"/>
              </w:rPr>
              <w:t>1/20 x 100</w:t>
            </w:r>
          </w:p>
        </w:tc>
        <w:tc>
          <w:tcPr>
            <w:tcW w:w="915" w:type="pct"/>
            <w:tcBorders/>
            <w:noWrap/>
            <w:hideMark/>
          </w:tcPr>
          <w:p>
            <w:pPr>
              <w:pStyle w:val="style0"/>
              <w:jc w:val="right"/>
              <w:rPr>
                <w:rFonts w:ascii="Aptos Narrow" w:hAnsi="Aptos Narrow"/>
                <w:b/>
                <w:bCs/>
                <w:color w:val="000000"/>
              </w:rPr>
            </w:pPr>
            <w:r>
              <w:rPr>
                <w:rFonts w:ascii="Aptos Narrow" w:hAnsi="Aptos Narrow"/>
                <w:b/>
                <w:bCs/>
                <w:color w:val="000000"/>
              </w:rPr>
              <w:t>5.0%</w:t>
            </w:r>
          </w:p>
        </w:tc>
      </w:tr>
    </w:tbl>
    <w:p>
      <w:pPr>
        <w:pStyle w:val="style0"/>
        <w:rPr>
          <w:lang w:val="en-US"/>
        </w:rPr>
      </w:pPr>
    </w:p>
    <w:p>
      <w:pPr>
        <w:pStyle w:val="style0"/>
        <w:rPr>
          <w:lang w:val="en-US"/>
        </w:rPr>
      </w:pPr>
    </w:p>
    <w:p>
      <w:pPr>
        <w:pStyle w:val="style0"/>
        <w:rPr>
          <w:lang w:val="en-US"/>
        </w:rPr>
      </w:pPr>
      <w:r>
        <w:rPr>
          <w:lang w:val="en-US"/>
        </w:rPr>
        <w:t>(ii) Number of shares after merger:</w:t>
      </w:r>
    </w:p>
    <w:p>
      <w:pPr>
        <w:pStyle w:val="style0"/>
        <w:rPr>
          <w:lang w:val="en-US"/>
        </w:rPr>
      </w:pPr>
    </w:p>
    <w:tbl>
      <w:tblPr>
        <w:tblStyle w:val="style154"/>
        <w:tblW w:w="5000" w:type="pct"/>
        <w:tblLook w:val="04A0" w:firstRow="1" w:lastRow="0" w:firstColumn="1" w:lastColumn="0" w:noHBand="0" w:noVBand="1"/>
      </w:tblPr>
      <w:tblGrid>
        <w:gridCol w:w="5833"/>
        <w:gridCol w:w="1607"/>
        <w:gridCol w:w="1576"/>
      </w:tblGrid>
      <w:tr>
        <w:trPr>
          <w:trHeight w:val="320" w:hRule="atLeast"/>
        </w:trPr>
        <w:tc>
          <w:tcPr>
            <w:tcW w:w="3235" w:type="pct"/>
            <w:tcBorders/>
            <w:noWrap/>
            <w:hideMark/>
          </w:tcPr>
          <w:p>
            <w:pPr>
              <w:pStyle w:val="style0"/>
              <w:rPr>
                <w:rFonts w:ascii="Aptos Narrow" w:hAnsi="Aptos Narrow"/>
                <w:color w:val="000000"/>
              </w:rPr>
            </w:pPr>
            <w:r>
              <w:rPr>
                <w:rFonts w:ascii="Aptos Narrow" w:hAnsi="Aptos Narrow"/>
                <w:color w:val="000000"/>
              </w:rPr>
              <w:t>Number of shares before merger in Sunny Lamps Ltd.</w:t>
            </w:r>
          </w:p>
        </w:tc>
        <w:tc>
          <w:tcPr>
            <w:tcW w:w="891" w:type="pct"/>
            <w:tcBorders/>
            <w:noWrap/>
            <w:vAlign w:val="bottom"/>
            <w:hideMark/>
          </w:tcPr>
          <w:p>
            <w:pPr>
              <w:pStyle w:val="style0"/>
              <w:rPr>
                <w:rFonts w:ascii="Aptos Narrow" w:hAnsi="Aptos Narrow"/>
                <w:color w:val="000000"/>
              </w:rPr>
            </w:pPr>
            <w:r>
              <w:rPr>
                <w:rFonts w:ascii="Aptos Narrow" w:hAnsi="Aptos Narrow"/>
                <w:color w:val="000000"/>
              </w:rPr>
              <w:t>= 3.2 x 100000</w:t>
            </w:r>
          </w:p>
        </w:tc>
        <w:tc>
          <w:tcPr>
            <w:tcW w:w="874" w:type="pct"/>
            <w:tcBorders/>
            <w:noWrap/>
            <w:hideMark/>
          </w:tcPr>
          <w:p>
            <w:pPr>
              <w:pStyle w:val="style0"/>
              <w:jc w:val="right"/>
              <w:rPr>
                <w:rFonts w:ascii="Aptos Narrow" w:hAnsi="Aptos Narrow"/>
                <w:color w:val="000000"/>
              </w:rPr>
            </w:pPr>
            <w:r>
              <w:rPr>
                <w:rFonts w:ascii="Aptos Narrow" w:hAnsi="Aptos Narrow"/>
                <w:color w:val="000000"/>
              </w:rPr>
              <w:t>3,20,000</w:t>
            </w:r>
          </w:p>
        </w:tc>
      </w:tr>
      <w:tr>
        <w:tblPrEx/>
        <w:trPr>
          <w:trHeight w:val="320" w:hRule="atLeast"/>
        </w:trPr>
        <w:tc>
          <w:tcPr>
            <w:tcW w:w="3235" w:type="pct"/>
            <w:tcBorders/>
            <w:noWrap/>
            <w:hideMark/>
          </w:tcPr>
          <w:p>
            <w:pPr>
              <w:pStyle w:val="style0"/>
              <w:rPr>
                <w:rFonts w:ascii="Aptos Narrow" w:hAnsi="Aptos Narrow"/>
                <w:color w:val="000000"/>
              </w:rPr>
            </w:pPr>
            <w:r>
              <w:rPr>
                <w:rFonts w:ascii="Aptos Narrow" w:hAnsi="Aptos Narrow"/>
                <w:color w:val="000000"/>
              </w:rPr>
              <w:t>Number of shares paid to shareholders of Moon Lamps Ltd.</w:t>
            </w:r>
          </w:p>
        </w:tc>
        <w:tc>
          <w:tcPr>
            <w:tcW w:w="891" w:type="pct"/>
            <w:tcBorders/>
            <w:noWrap/>
            <w:vAlign w:val="bottom"/>
            <w:hideMark/>
          </w:tcPr>
          <w:p>
            <w:pPr>
              <w:pStyle w:val="style0"/>
              <w:rPr>
                <w:rFonts w:ascii="Aptos Narrow" w:hAnsi="Aptos Narrow"/>
                <w:color w:val="000000"/>
              </w:rPr>
            </w:pPr>
            <w:r>
              <w:rPr>
                <w:rFonts w:ascii="Aptos Narrow" w:hAnsi="Aptos Narrow"/>
                <w:color w:val="000000"/>
              </w:rPr>
              <w:t>= 0.7 x 100000</w:t>
            </w:r>
          </w:p>
        </w:tc>
        <w:tc>
          <w:tcPr>
            <w:tcW w:w="874" w:type="pct"/>
            <w:tcBorders/>
            <w:noWrap/>
            <w:hideMark/>
          </w:tcPr>
          <w:p>
            <w:pPr>
              <w:pStyle w:val="style0"/>
              <w:jc w:val="right"/>
              <w:rPr>
                <w:rFonts w:ascii="Aptos Narrow" w:hAnsi="Aptos Narrow"/>
                <w:color w:val="000000"/>
              </w:rPr>
            </w:pPr>
            <w:r>
              <w:rPr>
                <w:rFonts w:ascii="Aptos Narrow" w:hAnsi="Aptos Narrow"/>
                <w:color w:val="000000"/>
              </w:rPr>
              <w:t>70,000</w:t>
            </w:r>
          </w:p>
        </w:tc>
      </w:tr>
      <w:tr>
        <w:tblPrEx/>
        <w:trPr>
          <w:trHeight w:val="320" w:hRule="atLeast"/>
        </w:trPr>
        <w:tc>
          <w:tcPr>
            <w:tcW w:w="3235" w:type="pct"/>
            <w:tcBorders/>
            <w:noWrap/>
            <w:hideMark/>
          </w:tcPr>
          <w:p>
            <w:pPr>
              <w:pStyle w:val="style0"/>
              <w:rPr>
                <w:rFonts w:ascii="Aptos Narrow" w:hAnsi="Aptos Narrow"/>
                <w:b/>
                <w:bCs/>
                <w:color w:val="000000"/>
              </w:rPr>
            </w:pPr>
            <w:r>
              <w:rPr>
                <w:rFonts w:ascii="Aptos Narrow" w:hAnsi="Aptos Narrow"/>
                <w:b/>
                <w:bCs/>
                <w:color w:val="000000"/>
              </w:rPr>
              <w:t>Total number of shares after merger</w:t>
            </w:r>
          </w:p>
        </w:tc>
        <w:tc>
          <w:tcPr>
            <w:tcW w:w="891" w:type="pct"/>
            <w:tcBorders/>
            <w:noWrap/>
            <w:vAlign w:val="bottom"/>
            <w:hideMark/>
          </w:tcPr>
          <w:p>
            <w:pPr>
              <w:pStyle w:val="style0"/>
              <w:rPr>
                <w:rFonts w:ascii="Aptos Narrow" w:hAnsi="Aptos Narrow"/>
                <w:b/>
                <w:bCs/>
                <w:color w:val="000000"/>
              </w:rPr>
            </w:pPr>
          </w:p>
        </w:tc>
        <w:tc>
          <w:tcPr>
            <w:tcW w:w="874" w:type="pct"/>
            <w:tcBorders/>
            <w:noWrap/>
            <w:hideMark/>
          </w:tcPr>
          <w:p>
            <w:pPr>
              <w:pStyle w:val="style0"/>
              <w:jc w:val="right"/>
              <w:rPr>
                <w:rFonts w:ascii="Aptos Narrow" w:hAnsi="Aptos Narrow"/>
                <w:b/>
                <w:bCs/>
                <w:color w:val="000000"/>
              </w:rPr>
            </w:pPr>
            <w:r>
              <w:rPr>
                <w:rFonts w:ascii="Aptos Narrow" w:hAnsi="Aptos Narrow"/>
                <w:b/>
                <w:bCs/>
                <w:color w:val="000000"/>
              </w:rPr>
              <w:t>3,90,000</w:t>
            </w:r>
          </w:p>
        </w:tc>
      </w:tr>
    </w:tbl>
    <w:p>
      <w:pPr>
        <w:pStyle w:val="style0"/>
        <w:rPr>
          <w:lang w:val="en-US"/>
        </w:rPr>
      </w:pPr>
    </w:p>
    <w:p>
      <w:pPr>
        <w:pStyle w:val="style0"/>
        <w:rPr>
          <w:lang w:val="en-US"/>
        </w:rPr>
      </w:pPr>
    </w:p>
    <w:p>
      <w:pPr>
        <w:pStyle w:val="style0"/>
        <w:rPr>
          <w:lang w:val="en-US"/>
        </w:rPr>
      </w:pPr>
      <w:r>
        <w:rPr>
          <w:lang w:val="en-US"/>
        </w:rPr>
        <w:t>(iii) Combined EPS:</w:t>
      </w:r>
    </w:p>
    <w:p>
      <w:pPr>
        <w:pStyle w:val="style0"/>
        <w:rPr>
          <w:lang w:val="en-US"/>
        </w:rPr>
      </w:pPr>
      <w:r>
        <w:rPr>
          <w:lang w:val="en-US"/>
        </w:rPr>
        <w:t>Combined Profit after tax</w:t>
      </w:r>
      <w:r>
        <w:rPr>
          <w:lang w:val="en-US"/>
        </w:rPr>
        <w:t xml:space="preserve"> (PAT)</w:t>
      </w:r>
      <w:r>
        <w:rPr>
          <w:lang w:val="en-US"/>
        </w:rPr>
        <w:t xml:space="preserve"> = </w:t>
      </w:r>
      <w:r>
        <w:rPr>
          <w:lang w:val="en-US"/>
        </w:rPr>
        <w:t>(16 + 4) x 1,00,000 = 20,00,000</w:t>
      </w:r>
    </w:p>
    <w:p>
      <w:pPr>
        <w:pStyle w:val="style0"/>
        <w:rPr>
          <w:lang w:val="en-US"/>
        </w:rPr>
      </w:pPr>
    </w:p>
    <w:p>
      <w:pPr>
        <w:pStyle w:val="style0"/>
        <w:rPr>
          <w:lang w:val="en-US"/>
        </w:rPr>
      </w:pPr>
      <w:r>
        <w:rPr>
          <w:lang w:val="en-US"/>
        </w:rPr>
        <w:t xml:space="preserve">Combined EPS </w:t>
      </w:r>
      <w:r>
        <w:rPr>
          <w:lang w:val="en-US"/>
        </w:rPr>
        <w:t>= Combined PAT / Total number of shares after merger</w:t>
      </w:r>
    </w:p>
    <w:p>
      <w:pPr>
        <w:pStyle w:val="style0"/>
        <w:rPr>
          <w:b/>
          <w:bCs/>
          <w:lang w:val="en-US"/>
        </w:rPr>
      </w:pPr>
      <w:r>
        <w:rPr>
          <w:b/>
          <w:bCs/>
          <w:lang w:val="en-US"/>
        </w:rPr>
        <w:t xml:space="preserve">Combined EPS </w:t>
      </w:r>
      <w:r>
        <w:rPr>
          <w:b/>
          <w:bCs/>
          <w:lang w:val="en-US"/>
        </w:rPr>
        <w:t>= 20,00,000 / 3,90,000 = 5.13</w:t>
      </w:r>
    </w:p>
    <w:p>
      <w:pPr>
        <w:pStyle w:val="style0"/>
        <w:rPr>
          <w:lang w:val="en-US"/>
        </w:rPr>
      </w:pPr>
    </w:p>
    <w:p>
      <w:pPr>
        <w:pStyle w:val="style0"/>
        <w:rPr>
          <w:lang w:val="en-US"/>
        </w:rPr>
      </w:pPr>
    </w:p>
    <w:p>
      <w:pPr>
        <w:pStyle w:val="style0"/>
        <w:rPr>
          <w:lang w:val="en-US"/>
        </w:rPr>
      </w:pPr>
      <w:r>
        <w:rPr>
          <w:lang w:val="en-US"/>
        </w:rPr>
        <w:t>(iv) Combined P/E Ratio:</w:t>
      </w:r>
    </w:p>
    <w:p>
      <w:pPr>
        <w:pStyle w:val="style0"/>
        <w:rPr>
          <w:lang w:val="en-US"/>
        </w:rPr>
      </w:pPr>
      <w:r>
        <w:rPr>
          <w:lang w:val="en-US"/>
        </w:rPr>
        <w:t>Combined PE Ratio</w:t>
      </w:r>
      <w:r>
        <w:rPr>
          <w:lang w:val="en-US"/>
        </w:rPr>
        <w:t xml:space="preserve"> = </w:t>
      </w:r>
      <w:r>
        <w:rPr>
          <w:lang w:val="en-US"/>
        </w:rPr>
        <w:t xml:space="preserve">6 x </w:t>
      </w:r>
      <w:r>
        <w:rPr>
          <w:lang w:val="en-US"/>
        </w:rPr>
        <w:t>(</w:t>
      </w:r>
      <w:r>
        <w:rPr>
          <w:lang w:val="en-US"/>
        </w:rPr>
        <w:t xml:space="preserve">16 </w:t>
      </w:r>
      <w:r>
        <w:rPr>
          <w:lang w:val="en-US"/>
        </w:rPr>
        <w:t>/</w:t>
      </w:r>
      <w:r>
        <w:rPr>
          <w:lang w:val="en-US"/>
        </w:rPr>
        <w:t xml:space="preserve"> </w:t>
      </w:r>
      <w:r>
        <w:rPr>
          <w:lang w:val="en-US"/>
        </w:rPr>
        <w:t>(</w:t>
      </w:r>
      <w:r>
        <w:rPr>
          <w:lang w:val="en-US"/>
        </w:rPr>
        <w:t xml:space="preserve">16 </w:t>
      </w:r>
      <w:r>
        <w:rPr>
          <w:lang w:val="en-US"/>
        </w:rPr>
        <w:t>+</w:t>
      </w:r>
      <w:r>
        <w:rPr>
          <w:lang w:val="en-US"/>
        </w:rPr>
        <w:t xml:space="preserve"> 4</w:t>
      </w:r>
      <w:r>
        <w:rPr>
          <w:lang w:val="en-US"/>
        </w:rPr>
        <w:t>)</w:t>
      </w:r>
      <w:r>
        <w:rPr>
          <w:lang w:val="en-US"/>
        </w:rPr>
        <w:t>)</w:t>
      </w:r>
      <w:r>
        <w:rPr>
          <w:lang w:val="en-US"/>
        </w:rPr>
        <w:t xml:space="preserve"> </w:t>
      </w:r>
      <w:r>
        <w:rPr>
          <w:lang w:val="en-US"/>
        </w:rPr>
        <w:t>+</w:t>
      </w:r>
      <w:r>
        <w:rPr>
          <w:lang w:val="en-US"/>
        </w:rPr>
        <w:t xml:space="preserve"> 5 x </w:t>
      </w:r>
      <w:r>
        <w:rPr>
          <w:lang w:val="en-US"/>
        </w:rPr>
        <w:t>(</w:t>
      </w:r>
      <w:r>
        <w:rPr>
          <w:lang w:val="en-US"/>
        </w:rPr>
        <w:t xml:space="preserve">4 </w:t>
      </w:r>
      <w:r>
        <w:rPr>
          <w:lang w:val="en-US"/>
        </w:rPr>
        <w:t>/</w:t>
      </w:r>
      <w:r>
        <w:rPr>
          <w:lang w:val="en-US"/>
        </w:rPr>
        <w:t xml:space="preserve"> </w:t>
      </w:r>
      <w:r>
        <w:rPr>
          <w:lang w:val="en-US"/>
        </w:rPr>
        <w:t>(</w:t>
      </w:r>
      <w:r>
        <w:rPr>
          <w:lang w:val="en-US"/>
        </w:rPr>
        <w:t xml:space="preserve">16 </w:t>
      </w:r>
      <w:r>
        <w:rPr>
          <w:lang w:val="en-US"/>
        </w:rPr>
        <w:t>+</w:t>
      </w:r>
      <w:r>
        <w:rPr>
          <w:lang w:val="en-US"/>
        </w:rPr>
        <w:t xml:space="preserve"> 4</w:t>
      </w:r>
      <w:r>
        <w:rPr>
          <w:lang w:val="en-US"/>
        </w:rPr>
        <w:t>))</w:t>
      </w:r>
    </w:p>
    <w:p>
      <w:pPr>
        <w:pStyle w:val="style0"/>
        <w:rPr>
          <w:b/>
          <w:bCs/>
          <w:lang w:val="en-US"/>
        </w:rPr>
      </w:pPr>
      <w:r>
        <w:rPr>
          <w:b/>
          <w:bCs/>
          <w:lang w:val="en-US"/>
        </w:rPr>
        <w:t>Combined PE Ratio = 5.80</w:t>
      </w:r>
    </w:p>
    <w:p>
      <w:pPr>
        <w:pStyle w:val="style0"/>
        <w:rPr>
          <w:lang w:val="en-US"/>
        </w:rPr>
      </w:pPr>
    </w:p>
    <w:p>
      <w:pPr>
        <w:pStyle w:val="style0"/>
        <w:rPr>
          <w:lang w:val="en-US"/>
        </w:rPr>
      </w:pPr>
    </w:p>
    <w:p>
      <w:pPr>
        <w:pStyle w:val="style0"/>
        <w:rPr>
          <w:lang w:val="en-US"/>
        </w:rPr>
      </w:pPr>
      <w:r>
        <w:rPr>
          <w:lang w:val="en-US"/>
        </w:rPr>
        <w:t>(v) Market value per share after merger</w:t>
      </w:r>
      <w:r>
        <w:rPr>
          <w:lang w:val="en-US"/>
        </w:rPr>
        <w:t>:</w:t>
      </w:r>
    </w:p>
    <w:p>
      <w:pPr>
        <w:pStyle w:val="style0"/>
        <w:rPr>
          <w:lang w:val="en-US"/>
        </w:rPr>
      </w:pPr>
      <w:r>
        <w:rPr>
          <w:lang w:val="en-US"/>
        </w:rPr>
        <w:t>Market value per share after merger</w:t>
      </w:r>
      <w:r>
        <w:rPr>
          <w:lang w:val="en-US"/>
        </w:rPr>
        <w:t xml:space="preserve"> = </w:t>
      </w:r>
      <w:r>
        <w:rPr>
          <w:lang w:val="en-US"/>
        </w:rPr>
        <w:t>P/E Ratio x EPS</w:t>
      </w:r>
    </w:p>
    <w:p>
      <w:pPr>
        <w:pStyle w:val="style0"/>
        <w:rPr>
          <w:lang w:val="en-US"/>
        </w:rPr>
      </w:pPr>
      <w:r>
        <w:rPr>
          <w:lang w:val="en-US"/>
        </w:rPr>
        <w:t>Market value per share after merger =</w:t>
      </w:r>
      <w:r>
        <w:rPr>
          <w:lang w:val="en-US"/>
        </w:rPr>
        <w:t xml:space="preserve"> 5.80 x 5.13</w:t>
      </w:r>
    </w:p>
    <w:p>
      <w:pPr>
        <w:pStyle w:val="style0"/>
        <w:rPr>
          <w:b/>
          <w:bCs/>
          <w:lang w:val="en-US"/>
        </w:rPr>
      </w:pPr>
      <w:r>
        <w:rPr>
          <w:b/>
          <w:bCs/>
          <w:lang w:val="en-US"/>
        </w:rPr>
        <w:t xml:space="preserve">Market value per share after merger = </w:t>
      </w:r>
      <w:r>
        <w:rPr>
          <w:b/>
          <w:bCs/>
          <w:lang w:val="en-US"/>
        </w:rPr>
        <w:t>29.754</w:t>
      </w:r>
    </w:p>
    <w:p>
      <w:pPr>
        <w:pStyle w:val="style0"/>
        <w:rPr>
          <w:lang w:val="en-US"/>
        </w:rPr>
      </w:pPr>
    </w:p>
    <w:p>
      <w:pPr>
        <w:pStyle w:val="style0"/>
        <w:rPr>
          <w:lang w:val="en-US"/>
        </w:rPr>
      </w:pPr>
    </w:p>
    <w:p>
      <w:pPr>
        <w:pStyle w:val="style0"/>
        <w:rPr>
          <w:lang w:val="en-US"/>
        </w:rPr>
      </w:pPr>
      <w:r>
        <w:rPr>
          <w:lang w:val="en-US"/>
        </w:rPr>
        <w:t>(vi) Total Market Capitalisation after merger</w:t>
      </w:r>
      <w:r>
        <w:rPr>
          <w:lang w:val="en-US"/>
        </w:rPr>
        <w:t>:</w:t>
      </w:r>
    </w:p>
    <w:p>
      <w:pPr>
        <w:pStyle w:val="style0"/>
        <w:rPr>
          <w:lang w:val="en-US"/>
        </w:rPr>
      </w:pPr>
      <w:r>
        <w:rPr>
          <w:lang w:val="en-US"/>
        </w:rPr>
        <w:t>Total Market Capitalisation after merger</w:t>
      </w:r>
      <w:r>
        <w:rPr>
          <w:lang w:val="en-US"/>
        </w:rPr>
        <w:t xml:space="preserve"> = </w:t>
      </w:r>
      <w:r>
        <w:rPr>
          <w:lang w:val="en-US"/>
        </w:rPr>
        <w:t>Market value per share x No. of shares</w:t>
      </w:r>
    </w:p>
    <w:p>
      <w:pPr>
        <w:pStyle w:val="style0"/>
        <w:rPr>
          <w:lang w:val="en-US"/>
        </w:rPr>
      </w:pPr>
      <w:r>
        <w:rPr>
          <w:lang w:val="en-US"/>
        </w:rPr>
        <w:t>Total Market Capitalisation after merger</w:t>
      </w:r>
      <w:r>
        <w:rPr>
          <w:lang w:val="en-US"/>
        </w:rPr>
        <w:t xml:space="preserve"> = 29.754 x </w:t>
      </w:r>
      <w:r>
        <w:rPr>
          <w:lang w:val="en-US"/>
        </w:rPr>
        <w:t>3</w:t>
      </w:r>
      <w:r>
        <w:rPr>
          <w:lang w:val="en-US"/>
        </w:rPr>
        <w:t>,</w:t>
      </w:r>
      <w:r>
        <w:rPr>
          <w:lang w:val="en-US"/>
        </w:rPr>
        <w:t>9</w:t>
      </w:r>
      <w:r>
        <w:rPr>
          <w:lang w:val="en-US"/>
        </w:rPr>
        <w:t>0,000</w:t>
      </w:r>
    </w:p>
    <w:p>
      <w:pPr>
        <w:pStyle w:val="style0"/>
        <w:rPr>
          <w:b/>
          <w:bCs/>
          <w:lang w:val="en-US"/>
        </w:rPr>
      </w:pPr>
      <w:r>
        <w:rPr>
          <w:b/>
          <w:bCs/>
          <w:lang w:val="en-US"/>
        </w:rPr>
        <w:t xml:space="preserve">Total Market Capitalisation after merger = </w:t>
      </w:r>
      <w:r>
        <w:rPr>
          <w:b/>
          <w:bCs/>
          <w:lang w:val="en-US"/>
        </w:rPr>
        <w:t>1,16,04,060</w:t>
      </w:r>
    </w:p>
    <w:p>
      <w:pPr>
        <w:pStyle w:val="style0"/>
        <w:rPr>
          <w:lang w:val="en-US"/>
        </w:rPr>
      </w:pPr>
    </w:p>
    <w:p>
      <w:pPr>
        <w:pStyle w:val="style0"/>
        <w:rPr>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ptos">
    <w:altName w:val="Aptos"/>
    <w:panose1 w:val="020b0004020002020204"/>
    <w:charset w:val="00"/>
    <w:family w:val="swiss"/>
    <w:pitch w:val="variable"/>
    <w:sig w:usb0="20000287" w:usb1="00000003" w:usb2="00000000" w:usb3="00000000" w:csb0="0000019F" w:csb1="00000000"/>
  </w:font>
  <w:font w:name="Aptos Display">
    <w:altName w:val="Aptos Display"/>
    <w:panose1 w:val="020b0004020002020204"/>
    <w:charset w:val="00"/>
    <w:family w:val="swiss"/>
    <w:pitch w:val="variable"/>
    <w:sig w:usb0="20000287" w:usb1="00000003" w:usb2="00000000" w:usb3="00000000" w:csb0="0000019F" w:csb1="00000000"/>
  </w:font>
  <w:font w:name="Aptos Narrow">
    <w:altName w:val="Aptos Narrow"/>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482128E"/>
    <w:lvl w:ilvl="0" w:tplc="87D20F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0000001"/>
    <w:multiLevelType w:val="hybridMultilevel"/>
    <w:tmpl w:val="760E91C8"/>
    <w:lvl w:ilvl="0" w:tplc="7438EE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0000002"/>
    <w:multiLevelType w:val="hybridMultilevel"/>
    <w:tmpl w:val="367A5900"/>
    <w:lvl w:ilvl="0" w:tplc="D6C85F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0" w:lineRule="auto" w:line="240"/>
    </w:pPr>
    <w:rPr>
      <w:rFonts w:ascii="Times New Roman" w:cs="Times New Roman" w:eastAsia="Times New Roman" w:hAnsi="Times New Roman"/>
      <w:kern w:val="0"/>
      <w:lang w:eastAsia="en-GB"/>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b46545a-4e21-442b-8b76-4f12919be61f"/>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ef163fdc-64ee-4e9d-80ed-73779f605126"/>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8ec2e9e2-c9cc-4480-b6bd-d35e3f3450cd"/>
    <w:basedOn w:val="style65"/>
    <w:next w:val="style4099"/>
    <w:link w:val="style3"/>
    <w:uiPriority w:val="9"/>
    <w:rPr>
      <w:rFonts w:cs="宋体" w:eastAsia="宋体"/>
      <w:color w:val="0f4761"/>
      <w:sz w:val="28"/>
      <w:szCs w:val="28"/>
    </w:rPr>
  </w:style>
  <w:style w:type="character" w:customStyle="1" w:styleId="style4100">
    <w:name w:val="Heading 4 Char_83035298-c71e-42b3-add7-d84b3e3f204c"/>
    <w:basedOn w:val="style65"/>
    <w:next w:val="style4100"/>
    <w:link w:val="style4"/>
    <w:uiPriority w:val="9"/>
    <w:rPr>
      <w:rFonts w:cs="宋体" w:eastAsia="宋体"/>
      <w:i/>
      <w:iCs/>
      <w:color w:val="0f4761"/>
    </w:rPr>
  </w:style>
  <w:style w:type="character" w:customStyle="1" w:styleId="style4101">
    <w:name w:val="Heading 5 Char_db854c76-5404-40f0-923e-8c0230629591"/>
    <w:basedOn w:val="style65"/>
    <w:next w:val="style4101"/>
    <w:link w:val="style5"/>
    <w:uiPriority w:val="9"/>
    <w:rPr>
      <w:rFonts w:cs="宋体" w:eastAsia="宋体"/>
      <w:color w:val="0f4761"/>
    </w:rPr>
  </w:style>
  <w:style w:type="character" w:customStyle="1" w:styleId="style4102">
    <w:name w:val="Heading 6 Char_415206ee-9431-40ca-8d1f-23a3b1ac2c5e"/>
    <w:basedOn w:val="style65"/>
    <w:next w:val="style4102"/>
    <w:link w:val="style6"/>
    <w:uiPriority w:val="9"/>
    <w:rPr>
      <w:rFonts w:cs="宋体" w:eastAsia="宋体"/>
      <w:i/>
      <w:iCs/>
      <w:color w:val="595959"/>
    </w:rPr>
  </w:style>
  <w:style w:type="character" w:customStyle="1" w:styleId="style4103">
    <w:name w:val="Heading 7 Char_138a7f55-7818-41b1-96de-a4389f0f734d"/>
    <w:basedOn w:val="style65"/>
    <w:next w:val="style4103"/>
    <w:link w:val="style7"/>
    <w:uiPriority w:val="9"/>
    <w:rPr>
      <w:rFonts w:cs="宋体" w:eastAsia="宋体"/>
      <w:color w:val="595959"/>
    </w:rPr>
  </w:style>
  <w:style w:type="character" w:customStyle="1" w:styleId="style4104">
    <w:name w:val="Heading 8 Char_f2f0b761-c152-4e26-a1bd-bd4f53b75d41"/>
    <w:basedOn w:val="style65"/>
    <w:next w:val="style4104"/>
    <w:link w:val="style8"/>
    <w:uiPriority w:val="9"/>
    <w:rPr>
      <w:rFonts w:cs="宋体" w:eastAsia="宋体"/>
      <w:i/>
      <w:iCs/>
      <w:color w:val="272727"/>
    </w:rPr>
  </w:style>
  <w:style w:type="character" w:customStyle="1" w:styleId="style4105">
    <w:name w:val="Heading 9 Char_35950038-5835-45a8-b63f-a67a286f341c"/>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bd9e5cb8-171b-4126-a5b5-2e0367e06cc4"/>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d8555fa9-af68-4eff-b020-cbc6fdf80dbc"/>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e9429cd6-5215-4aee-bf91-102ada89d43f"/>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Words>996</Words>
  <Pages>6</Pages>
  <Characters>4559</Characters>
  <Application>WPS Office</Application>
  <DocSecurity>0</DocSecurity>
  <Paragraphs>444</Paragraphs>
  <ScaleCrop>false</ScaleCrop>
  <LinksUpToDate>false</LinksUpToDate>
  <CharactersWithSpaces>5312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2024-09-15T06:29:00Z</dcterms:created>
  <dc:creator>Kushal Parwani</dc:creator>
  <lastModifiedBy>moto g31</lastModifiedBy>
  <lastPrinted>2024-09-15T08:52:00Z</lastPrinted>
  <dcterms:modified xsi:type="dcterms:W3CDTF">2026-09-20T08:43:57Z</dcterms:modified>
  <revision>247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7d9d78d28a324f10a27ad5afed0c8db6</vt:lpwstr>
  </property>
</Properties>
</file>