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Rule="exact" w:line="420"/>
        <w:jc w:val="center"/>
      </w:pPr>
      <w:r>
        <w:rPr>
          <w:rFonts w:ascii="Times New Roman" w:hAnsi="Times New Roman"/>
          <w:b/>
          <w:sz w:val="38"/>
        </w:rPr>
        <w:t>S K LOKESH</w:t>
      </w:r>
    </w:p>
    <w:p>
      <w:pPr>
        <w:spacing w:before="0" w:after="60" w:lineRule="exact" w:line="232"/>
        <w:jc w:val="center"/>
        <w:pBdr>
          <w:bottom w:val="single" w:sz="8" w:space="1" w:color="000000"/>
        </w:pBdr>
      </w:pPr>
      <w:r>
        <w:rPr>
          <w:rFonts w:ascii="Times New Roman" w:hAnsi="Times New Roman"/>
          <w:sz w:val="18"/>
        </w:rPr>
        <w:t>Bengaluru, Karnataka, India</w:t>
      </w:r>
      <w:r>
        <w:rPr>
          <w:rFonts w:ascii="Times New Roman" w:hAnsi="Times New Roman"/>
          <w:sz w:val="18"/>
        </w:rPr>
        <w:t xml:space="preserve">  ·  </w:t>
      </w:r>
      <w:hyperlink r:id="rId9">
        <w:r>
          <w:rPr>
            <w:rFonts w:ascii="Times New Roman" w:hAnsi="Times New Roman"/>
            <w:sz w:val="18"/>
            <w:color w:val="000000"/>
          </w:rPr>
          <w:t>+91 99865 78113</w:t>
        </w:r>
      </w:hyperlink>
      <w:r>
        <w:rPr>
          <w:rFonts w:ascii="Times New Roman" w:hAnsi="Times New Roman"/>
          <w:sz w:val="18"/>
        </w:rPr>
        <w:t xml:space="preserve">  ·  </w:t>
      </w:r>
      <w:hyperlink r:id="rId10">
        <w:r>
          <w:rPr>
            <w:rFonts w:ascii="Times New Roman" w:hAnsi="Times New Roman"/>
            <w:sz w:val="18"/>
            <w:color w:val="000000"/>
          </w:rPr>
          <w:t>sklokesh777@gmail.com</w:t>
        </w:r>
      </w:hyperlink>
      <w:r>
        <w:rPr>
          <w:rFonts w:ascii="Times New Roman" w:hAnsi="Times New Roman"/>
          <w:sz w:val="18"/>
        </w:rPr>
        <w:t xml:space="preserve">  ·  </w:t>
      </w:r>
      <w:hyperlink r:id="rId11">
        <w:r>
          <w:rPr>
            <w:rFonts w:ascii="Times New Roman" w:hAnsi="Times New Roman"/>
            <w:sz w:val="18"/>
            <w:color w:val="000000"/>
          </w:rPr>
          <w:t>linkedin.com/in/s-k-lokesh-a09160313</w:t>
        </w:r>
      </w:hyperlink>
    </w:p>
    <w:p>
      <w:pPr>
        <w:spacing w:before="88" w:after="0" w:lineRule="exact" w:line="220"/>
        <w:jc w:val="both"/>
      </w:pPr>
      <w:r>
        <w:rPr>
          <w:rFonts w:ascii="Times New Roman" w:hAnsi="Times New Roman"/>
          <w:b w:val="0"/>
          <w:i w:val="0"/>
          <w:color w:val="000000"/>
          <w:sz w:val="18"/>
        </w:rPr>
        <w:t>Final-year B.Com student (Class of 2027) and CFA Level I candidate applying to Commercial &amp; Investment Bank Research &amp; Analytics – Securities Services (Alternative Fund Services), Bengaluru, with the aim of building a career in fund accounting, portfolio accounting, NAV production, financial reporting and investor reporting. Delivered portfolio analytics at India’s largest listed wealth manager – rolling returns for 120+ funds automated in Python and PMS/AIF fee modelling worth INR 4.2 lakh a year to a client – and independently built, audited and remediated a 6,500-line Python trading-research platform validated across 16.5 years of market data.</w:t>
      </w:r>
    </w:p>
    <w:p>
      <w:pPr>
        <w:spacing w:before="80" w:after="52" w:lineRule="exact" w:line="234"/>
        <w:pBdr>
          <w:bottom w:val="single" w:sz="6" w:space="1" w:color="000000"/>
        </w:pBdr>
      </w:pPr>
      <w:r>
        <w:rPr>
          <w:rFonts w:ascii="Times New Roman" w:hAnsi="Times New Roman"/>
          <w:b/>
          <w:sz w:val="20"/>
        </w:rPr>
        <w:t>EDUCATION</w:t>
      </w:r>
    </w:p>
    <w:p>
      <w:pPr>
        <w:tabs>
          <w:tab w:pos="10325" w:val="right"/>
        </w:tabs>
        <w:spacing w:before="0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Bachelor of Commerce (B.Com)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 |  St. Joseph’s College of Commerce (Autonomous), Bengaluru</w:t>
      </w:r>
      <w:r>
        <w:tab/>
      </w:r>
      <w:r>
        <w:rPr>
          <w:rFonts w:ascii="Times New Roman" w:hAnsi="Times New Roman"/>
          <w:b/>
          <w:i w:val="0"/>
          <w:color w:val="000000"/>
          <w:sz w:val="18"/>
        </w:rPr>
        <w:t>2024 – 2027</w:t>
      </w:r>
    </w:p>
    <w:p>
      <w:pPr>
        <w:spacing w:before="16" w:after="0" w:lineRule="exact" w:line="218"/>
      </w:pPr>
      <w:r>
        <w:rPr>
          <w:rFonts w:ascii="Times New Roman" w:hAnsi="Times New Roman"/>
          <w:b w:val="0"/>
          <w:i/>
          <w:color w:val="000000"/>
          <w:sz w:val="17"/>
        </w:rPr>
        <w:t>Affiliated to Bengaluru City University  ·  NAAC A++ accredited  ·  Final year, expected graduation 2027</w:t>
      </w:r>
    </w:p>
    <w:p>
      <w:pPr>
        <w:spacing w:before="28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Relevant coursework: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Financial Accounting, Corporate Finance, Investment Management, Business Statistics, Taxation, Economics</w:t>
      </w:r>
    </w:p>
    <w:p>
      <w:pPr>
        <w:spacing w:before="0" w:after="0" w:lineRule="exact" w:line="64"/>
      </w:pPr>
    </w:p>
    <w:p>
      <w:pPr>
        <w:tabs>
          <w:tab w:pos="10325" w:val="right"/>
        </w:tabs>
        <w:spacing w:before="0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Class XII – Pre-University (Commerce)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 |  Seshadripuram Independent PU College  ·  Karnataka State Board</w:t>
      </w:r>
      <w:r>
        <w:tab/>
      </w:r>
      <w:r>
        <w:rPr>
          <w:rFonts w:ascii="Times New Roman" w:hAnsi="Times New Roman"/>
          <w:b/>
          <w:i w:val="0"/>
          <w:color w:val="000000"/>
          <w:sz w:val="18"/>
        </w:rPr>
        <w:t>93%  ·  2024</w:t>
      </w:r>
    </w:p>
    <w:p>
      <w:pPr>
        <w:spacing w:before="0" w:after="0" w:lineRule="exact" w:line="64"/>
      </w:pPr>
    </w:p>
    <w:p>
      <w:pPr>
        <w:tabs>
          <w:tab w:pos="10325" w:val="right"/>
        </w:tabs>
        <w:spacing w:before="0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Class X – Secondary School Certificate (SSLC)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 |  St. Anthony’s Boys’ High School  ·  Karnataka State Board</w:t>
      </w:r>
      <w:r>
        <w:tab/>
      </w:r>
      <w:r>
        <w:rPr>
          <w:rFonts w:ascii="Times New Roman" w:hAnsi="Times New Roman"/>
          <w:b/>
          <w:i w:val="0"/>
          <w:color w:val="000000"/>
          <w:sz w:val="18"/>
        </w:rPr>
        <w:t>80%  ·  2022</w:t>
      </w:r>
    </w:p>
    <w:p>
      <w:pPr>
        <w:spacing w:before="80" w:after="52" w:lineRule="exact" w:line="234"/>
        <w:pBdr>
          <w:bottom w:val="single" w:sz="6" w:space="1" w:color="000000"/>
        </w:pBdr>
      </w:pPr>
      <w:r>
        <w:rPr>
          <w:rFonts w:ascii="Times New Roman" w:hAnsi="Times New Roman"/>
          <w:b/>
          <w:sz w:val="20"/>
        </w:rPr>
        <w:t>PROFESSIONAL EXPERIENCE</w:t>
      </w:r>
    </w:p>
    <w:p>
      <w:pPr>
        <w:tabs>
          <w:tab w:pos="10325" w:val="right"/>
        </w:tabs>
        <w:spacing w:before="0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360 ONE Portfolio Managers Limited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 |  Finance Intern – Wealth Management</w:t>
      </w:r>
      <w:r>
        <w:tab/>
      </w:r>
      <w:r>
        <w:rPr>
          <w:rFonts w:ascii="Times New Roman" w:hAnsi="Times New Roman"/>
          <w:b/>
          <w:i w:val="0"/>
          <w:color w:val="000000"/>
          <w:sz w:val="18"/>
        </w:rPr>
        <w:t>May – Jun 2026</w:t>
      </w:r>
    </w:p>
    <w:p>
      <w:pPr>
        <w:spacing w:before="16" w:after="0" w:lineRule="exact" w:line="218"/>
      </w:pPr>
      <w:r>
        <w:rPr>
          <w:rFonts w:ascii="Times New Roman" w:hAnsi="Times New Roman"/>
          <w:b w:val="0"/>
          <w:i/>
          <w:color w:val="000000"/>
          <w:sz w:val="17"/>
        </w:rPr>
        <w:t>India’s largest listed wealth manager (NSE/BSE listed; INR 6 lakh crore+ client assets)  ·  Bengaluru, India</w:t>
      </w:r>
    </w:p>
    <w:p>
      <w:pPr>
        <w:spacing w:before="28" w:after="0" w:lineRule="exact" w:line="220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8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8"/>
        </w:rPr>
        <w:t>Portfolio analytics &amp; automation: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Engineered a Python framework (pandas, openpyxl) that computed 6M/1Y/3Y/5Y rolling returns from NAV histories for 120+ mutual funds across Large, Mid, Small and Flexi Cap categories, cutting manual data processing time by ~90%.</w:t>
      </w:r>
    </w:p>
    <w:p>
      <w:pPr>
        <w:spacing w:before="28" w:after="0" w:lineRule="exact" w:line="220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8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8"/>
        </w:rPr>
        <w:t>Reconciliation &amp; cost basis: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Reconstructed 5+ years of transaction history from Script Cashflow reports to reconcile cost basis and compute LTCG/STCG liability on 6 equity instruments in an HNI family portfolio at post-Budget 2024 rates.</w:t>
      </w:r>
    </w:p>
    <w:p>
      <w:pPr>
        <w:spacing w:before="28" w:after="0" w:lineRule="exact" w:line="220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8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8"/>
        </w:rPr>
        <w:t>Fee &amp; expense modelling: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Modelled PMS/AIF fee structures across 9 holdings (1.94% weighted-average fixed fee) and quantified an INR 4.2 lakh annual saving by moving a 10-fund mutual fund portfolio from regular to direct plans.</w:t>
      </w:r>
    </w:p>
    <w:p>
      <w:pPr>
        <w:spacing w:before="28" w:after="0" w:lineRule="exact" w:line="220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8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8"/>
        </w:rPr>
        <w:t>Reference data &amp; client reporting: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Maintained a 4,000+ security BSE/NSE dataset with Bloomberg BDH/BDP formulas, mapping holdings against model portfolios to generate Buy/Sell/Hold calls; co-authored a 30+ slide institutional deck on active vs. passive performance (rolling alpha, hit rates, alpha dispersion by market cap).</w:t>
      </w:r>
    </w:p>
    <w:p>
      <w:pPr>
        <w:spacing w:before="0" w:after="0" w:lineRule="exact" w:line="64"/>
      </w:pPr>
    </w:p>
    <w:p>
      <w:pPr>
        <w:tabs>
          <w:tab w:pos="10325" w:val="right"/>
        </w:tabs>
        <w:spacing w:before="0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Guanella Preethi Nivas (Preethi Nivas Trust)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 |  Social Intern</w:t>
      </w:r>
      <w:r>
        <w:tab/>
      </w:r>
      <w:r>
        <w:rPr>
          <w:rFonts w:ascii="Times New Roman" w:hAnsi="Times New Roman"/>
          <w:b/>
          <w:i w:val="0"/>
          <w:color w:val="000000"/>
          <w:sz w:val="18"/>
        </w:rPr>
        <w:t>May 2025 (60 hours)</w:t>
      </w:r>
    </w:p>
    <w:p>
      <w:pPr>
        <w:spacing w:before="28" w:after="0" w:lineRule="exact" w:line="220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8"/>
        </w:rPr>
        <w:t>•   Charitable home for 50+ destitute elderly residents (The Guanellian Society): rebuilt resident records, activity logs and medical-room inventory, and ran facility safety audits to support compliance, preparing the reporting decks used by staff.</w:t>
      </w:r>
    </w:p>
    <w:p>
      <w:pPr>
        <w:spacing w:before="80" w:after="52" w:lineRule="exact" w:line="234"/>
        <w:pBdr>
          <w:bottom w:val="single" w:sz="6" w:space="1" w:color="000000"/>
        </w:pBdr>
      </w:pPr>
      <w:r>
        <w:rPr>
          <w:rFonts w:ascii="Times New Roman" w:hAnsi="Times New Roman"/>
          <w:b/>
          <w:sz w:val="20"/>
        </w:rPr>
        <w:t>QUANTITATIVE RESEARCH PROJECT</w:t>
      </w:r>
    </w:p>
    <w:p>
      <w:pPr>
        <w:tabs>
          <w:tab w:pos="10325" w:val="right"/>
        </w:tabs>
        <w:spacing w:before="0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Quantitative Swing-Trading Suite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 |  Independent Python build (RSI-2 mean reversion), AI-assisted</w:t>
      </w:r>
      <w:r>
        <w:tab/>
      </w:r>
      <w:r>
        <w:rPr>
          <w:rFonts w:ascii="Times New Roman" w:hAnsi="Times New Roman"/>
          <w:b/>
          <w:i w:val="0"/>
          <w:color w:val="000000"/>
          <w:sz w:val="18"/>
        </w:rPr>
        <w:t>2026</w:t>
      </w:r>
    </w:p>
    <w:p>
      <w:pPr>
        <w:spacing w:before="16" w:after="0" w:lineRule="exact" w:line="218"/>
      </w:pPr>
      <w:r>
        <w:rPr>
          <w:rFonts w:ascii="Times New Roman" w:hAnsi="Times New Roman"/>
          <w:b w:val="0"/>
          <w:i/>
          <w:color w:val="000000"/>
          <w:sz w:val="17"/>
        </w:rPr>
        <w:t>6,500-line research and execution stack, 10 build iterations  ·  run daily against a USD 1,000,000 simulated paper portfolio: 14 closed trades over 6 sessions, ~1% risk each, zero stop-outs – a favourable-regime sample, not presented as a repeatable edge</w:t>
      </w:r>
    </w:p>
    <w:p>
      <w:pPr>
        <w:spacing w:before="28" w:after="0" w:lineRule="exact" w:line="220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8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8"/>
        </w:rPr>
        <w:t>Engineering: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Built a modular platform (pandas, NumPy, yfinance, Matplotlib): validated and cached data ingestion, 12 indicators, a backtest engine, ATR stops, 1%-risk sizing, performance analytics (Sharpe, Sortino, profit factor, expectancy, R-multiples) and automated Markdown/PDF/Excel reporting.</w:t>
      </w:r>
    </w:p>
    <w:p>
      <w:pPr>
        <w:spacing w:before="28" w:after="0" w:lineRule="exact" w:line="220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8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8"/>
        </w:rPr>
        <w:t>Validation: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Tested 7 long and short strategies over 16.5 years (2010–2026) across 504- and 1,001-symbol universes and 8,600+ simulated trades – signals read at the close and filled at the next open to remove look-ahead, costs on every fill, walk-forward 3y-train/1y-test windows and Monte-Carlo sampling of 250 ten-day windows.</w:t>
      </w:r>
    </w:p>
    <w:p>
      <w:pPr>
        <w:spacing w:before="28" w:after="0" w:lineRule="exact" w:line="220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8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8"/>
        </w:rPr>
        <w:t>Findings, negative results included: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Showed multi-indicator confluence scoring did not lift win rate (flat 60–62% across score buckets) and that widening the universe 504→1,001 names cut CAGR 5.3%→1.2%; a graduated regime filter cut max drawdown −34.5%→−28.8% and the edge disappeared at 2–3x assumed costs – reported with survivorship-bias and regime caveats instead of optimised results.</w:t>
      </w:r>
    </w:p>
    <w:p>
      <w:pPr>
        <w:spacing w:before="28" w:after="0" w:lineRule="exact" w:line="220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8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8"/>
        </w:rPr>
        <w:t>Risk-control audit &amp; remediation: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Audited the suite against its own risk policy and found reward:risk inverted at ~0.1:1 versus a 2.0 minimum; tightened stops from 3x to 2x ATR, enforced 1%-risk sizing with a 10% position cap and explicit 1.5R targets, and added a data-validation layer rejecting corrupt prices (&gt;60% one-day jumps, High &lt; Low) plus fixed silent exception handling that had disabled the earnings filter – closing 7 defects, including 3 mis-set stops that left ~USD 107k of notional unprotected.</w:t>
      </w:r>
    </w:p>
    <w:p>
      <w:pPr>
        <w:spacing w:before="80" w:after="52" w:lineRule="exact" w:line="234"/>
        <w:pBdr>
          <w:bottom w:val="single" w:sz="6" w:space="1" w:color="000000"/>
        </w:pBdr>
      </w:pPr>
      <w:r>
        <w:rPr>
          <w:rFonts w:ascii="Times New Roman" w:hAnsi="Times New Roman"/>
          <w:b/>
          <w:sz w:val="20"/>
        </w:rPr>
        <w:t>LEADERSHIP &amp; EXTRACURRICULAR</w:t>
      </w:r>
    </w:p>
    <w:p>
      <w:pPr>
        <w:tabs>
          <w:tab w:pos="10325" w:val="right"/>
        </w:tabs>
        <w:spacing w:before="0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National Service Scheme (NSS), St. Joseph’s College of Commerce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 |  Treasurer (elected)</w:t>
      </w:r>
      <w:r>
        <w:tab/>
      </w:r>
      <w:r>
        <w:rPr>
          <w:rFonts w:ascii="Times New Roman" w:hAnsi="Times New Roman"/>
          <w:b/>
          <w:i w:val="0"/>
          <w:color w:val="000000"/>
          <w:sz w:val="18"/>
        </w:rPr>
        <w:t>Bengaluru, India</w:t>
      </w:r>
    </w:p>
    <w:p>
      <w:pPr>
        <w:spacing w:before="28" w:after="0" w:lineRule="exact" w:line="220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8"/>
        </w:rPr>
        <w:t>•   Elected treasurer of a 100+ member unit; own the annual budget, fund allocation and expense records. Completed 2 rural exposure camps (8 days each) running community development surveys and field projects.</w:t>
      </w:r>
    </w:p>
    <w:p>
      <w:pPr>
        <w:spacing w:before="80" w:after="52" w:lineRule="exact" w:line="234"/>
        <w:pBdr>
          <w:bottom w:val="single" w:sz="6" w:space="1" w:color="000000"/>
        </w:pBdr>
      </w:pPr>
      <w:r>
        <w:rPr>
          <w:rFonts w:ascii="Times New Roman" w:hAnsi="Times New Roman"/>
          <w:b/>
          <w:sz w:val="20"/>
        </w:rPr>
        <w:t>CERTIFICATIONS &amp; TECHNICAL SKILLS</w:t>
      </w:r>
    </w:p>
    <w:p>
      <w:pPr>
        <w:spacing w:before="32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Certifications: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CFA Level I candidate – Feb 2027 window (CFA Institute)  ·  NISM Series-VII: Securities Operations &amp; Risk Management – in preparation  ·  Excel Skills for Business – Macquarie University (Coursera)  ·  Soft Skills Development – NPTEL / SWAYAM (IIT)</w:t>
      </w:r>
    </w:p>
    <w:p>
      <w:pPr>
        <w:spacing w:before="32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Fund &amp; Portfolio Analytics: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Rolling returns from NAV histories, portfolio mapping vs. model portfolios, performance analysis (alpha, hit rate, dispersion), fee &amp; expense modelling (PMS/AIF), reconciliations, cost basis, capital gains tax, financial statement analysis</w:t>
      </w:r>
    </w:p>
    <w:p>
      <w:pPr>
        <w:spacing w:before="32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Technical: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Python (pandas, NumPy, openpyxl, Matplotlib), Advanced Excel (PivotTables, VLOOKUP, macros), Power BI, PowerPoint, Bloomberg Terminal (BDH/BDP), Screener.in, Chartink, TradingView</w:t>
      </w:r>
    </w:p>
    <w:p>
      <w:pPr>
        <w:spacing w:before="32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AI-Enabled Workflow: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ChatGPT and Claude for code generation and review, research synthesis and document drafting  ·  </w:t>
      </w:r>
      <w:r>
        <w:rPr>
          <w:rFonts w:ascii="Times New Roman" w:hAnsi="Times New Roman"/>
          <w:b/>
          <w:i w:val="0"/>
          <w:color w:val="000000"/>
          <w:sz w:val="18"/>
        </w:rPr>
        <w:t>Strengths: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attention to detail, data accuracy, quality review and control discipline, communication, collaboration, curiosity</w:t>
      </w:r>
    </w:p>
    <w:p>
      <w:pPr>
        <w:spacing w:before="32" w:after="0" w:lineRule="exact" w:line="220"/>
      </w:pPr>
      <w:r>
        <w:rPr>
          <w:rFonts w:ascii="Times New Roman" w:hAnsi="Times New Roman"/>
          <w:b/>
          <w:i w:val="0"/>
          <w:color w:val="000000"/>
          <w:sz w:val="18"/>
        </w:rPr>
        <w:t>Languages:</w:t>
      </w:r>
      <w:r>
        <w:rPr>
          <w:rFonts w:ascii="Times New Roman" w:hAnsi="Times New Roman"/>
          <w:b w:val="0"/>
          <w:i w:val="0"/>
          <w:color w:val="000000"/>
          <w:sz w:val="18"/>
        </w:rPr>
        <w:t xml:space="preserve"> English (professional)  ·  Tamil (native)  ·  Kannada and Hindi (conversational)  ·  interests: fine arts, home gardening</w:t>
      </w:r>
    </w:p>
    <w:sectPr w:rsidR="00FC693F" w:rsidRPr="0006063C" w:rsidSect="00034616">
      <w:pgSz w:w="11909" w:h="16834"/>
      <w:pgMar w:top="619" w:right="792" w:bottom="43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9986578113" TargetMode="External"/><Relationship Id="rId10" Type="http://schemas.openxmlformats.org/officeDocument/2006/relationships/hyperlink" Target="mailto:sklokesh777@gmail.com" TargetMode="External"/><Relationship Id="rId11" Type="http://schemas.openxmlformats.org/officeDocument/2006/relationships/hyperlink" Target="https://www.linkedin.com/in/s-k-lokesh-a091603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 K Lokesh - Resume</dc:title>
  <dc:subject>JPMorganChase 2027 CIB Research &amp; Analytics, Securities Services - Bengaluru</dc:subject>
  <dc:creator>S K Lokesh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