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exact" w:line="420"/>
        <w:jc w:val="center"/>
      </w:pPr>
      <w:r>
        <w:rPr>
          <w:rFonts w:ascii="Times New Roman" w:hAnsi="Times New Roman"/>
          <w:b/>
          <w:sz w:val="38"/>
        </w:rPr>
        <w:t>S K LOKESH</w:t>
      </w:r>
    </w:p>
    <w:p>
      <w:pPr>
        <w:spacing w:before="0" w:after="60" w:lineRule="exact" w:line="232"/>
        <w:jc w:val="center"/>
        <w:pBdr>
          <w:bottom w:val="single" w:sz="8" w:space="1" w:color="000000"/>
        </w:pBdr>
      </w:pPr>
      <w:r>
        <w:rPr>
          <w:rFonts w:ascii="Times New Roman" w:hAnsi="Times New Roman"/>
          <w:sz w:val="18"/>
        </w:rPr>
        <w:t>Bengaluru, Karnataka, India</w:t>
      </w:r>
      <w:r>
        <w:rPr>
          <w:rFonts w:ascii="Times New Roman" w:hAnsi="Times New Roman"/>
          <w:sz w:val="18"/>
        </w:rPr>
        <w:t xml:space="preserve">  ·  </w:t>
      </w:r>
      <w:hyperlink r:id="rId9">
        <w:r>
          <w:rPr>
            <w:rFonts w:ascii="Times New Roman" w:hAnsi="Times New Roman"/>
            <w:sz w:val="18"/>
            <w:color w:val="000000"/>
          </w:rPr>
          <w:t>+91 99865 78113</w:t>
        </w:r>
      </w:hyperlink>
      <w:r>
        <w:rPr>
          <w:rFonts w:ascii="Times New Roman" w:hAnsi="Times New Roman"/>
          <w:sz w:val="18"/>
        </w:rPr>
        <w:t xml:space="preserve">  ·  </w:t>
      </w:r>
      <w:hyperlink r:id="rId10">
        <w:r>
          <w:rPr>
            <w:rFonts w:ascii="Times New Roman" w:hAnsi="Times New Roman"/>
            <w:sz w:val="18"/>
            <w:color w:val="000000"/>
          </w:rPr>
          <w:t>sklokesh777@gmail.com</w:t>
        </w:r>
      </w:hyperlink>
      <w:r>
        <w:rPr>
          <w:rFonts w:ascii="Times New Roman" w:hAnsi="Times New Roman"/>
          <w:sz w:val="18"/>
        </w:rPr>
        <w:t xml:space="preserve">  ·  </w:t>
      </w:r>
      <w:hyperlink r:id="rId11">
        <w:r>
          <w:rPr>
            <w:rFonts w:ascii="Times New Roman" w:hAnsi="Times New Roman"/>
            <w:sz w:val="18"/>
            <w:color w:val="000000"/>
          </w:rPr>
          <w:t>linkedin.com/in/s-k-lokesh-a09160313</w:t>
        </w:r>
      </w:hyperlink>
    </w:p>
    <w:p>
      <w:pPr>
        <w:spacing w:before="88" w:after="0" w:lineRule="exact" w:line="222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Final-year B.Com student (Class of 2027) and CFA Level I candidate applying to Commercial &amp; Investment Bank Research &amp; Analytics – Securities Services (Alternative Fund Services), Bengaluru, with the aim of building a career in fund accounting, portfolio accounting, NAV production, financial reporting and investor reporting. Delivered portfolio analytics at India’s largest listed wealth manager – rolling returns for 120+ funds automated in Python (~90% less manual effort) and PMS/AIF fee modelling worth INR 4.2 lakh a year to a client – and independently built a 6,500-line Python backtesting platform validated across 16.5 years of market data.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EDUCATION</w:t>
      </w:r>
    </w:p>
    <w:p>
      <w:pPr>
        <w:tabs>
          <w:tab w:pos="10325" w:val="right"/>
        </w:tabs>
        <w:spacing w:before="0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Bachelor of Commerce (B.Com)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St. Joseph’s College of Commerce (Autonomous), Bengaluru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2024 – 2027</w:t>
      </w:r>
    </w:p>
    <w:p>
      <w:pPr>
        <w:spacing w:before="16" w:after="0" w:lineRule="exact" w:line="218"/>
      </w:pPr>
      <w:r>
        <w:rPr>
          <w:rFonts w:ascii="Times New Roman" w:hAnsi="Times New Roman"/>
          <w:b w:val="0"/>
          <w:i/>
          <w:color w:val="000000"/>
          <w:sz w:val="17"/>
        </w:rPr>
        <w:t>Affiliated to Bengaluru City University  ·  NAAC A++ accredited  ·  Final year, expected graduation 2027</w:t>
      </w:r>
    </w:p>
    <w:p>
      <w:pPr>
        <w:spacing w:before="28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Relevant coursework: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Financial Accounting, Corporate Finance, Investment Management, Business Statistics, Taxation, Economics</w:t>
      </w:r>
    </w:p>
    <w:p>
      <w:pPr>
        <w:spacing w:before="0" w:after="0" w:lineRule="exact" w:line="64"/>
      </w:pPr>
    </w:p>
    <w:p>
      <w:pPr>
        <w:tabs>
          <w:tab w:pos="10325" w:val="right"/>
        </w:tabs>
        <w:spacing w:before="0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Class XII – Pre-University (Commerce)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Seshadripuram Independent PU College  ·  Karnataka State Board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93%  ·  2024</w:t>
      </w:r>
    </w:p>
    <w:p>
      <w:pPr>
        <w:spacing w:before="0" w:after="0" w:lineRule="exact" w:line="64"/>
      </w:pPr>
    </w:p>
    <w:p>
      <w:pPr>
        <w:tabs>
          <w:tab w:pos="10325" w:val="right"/>
        </w:tabs>
        <w:spacing w:before="0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Class X – Secondary School Certificate (SSLC)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St. Anthony’s Boys’ High School  ·  Karnataka State Board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80%  ·  2022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PROFESSIONAL EXPERIENCE</w:t>
      </w:r>
    </w:p>
    <w:p>
      <w:pPr>
        <w:tabs>
          <w:tab w:pos="10325" w:val="right"/>
        </w:tabs>
        <w:spacing w:before="0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360 ONE Portfolio Managers Limited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Finance Intern – Wealth Management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May – Jun 2026</w:t>
      </w:r>
    </w:p>
    <w:p>
      <w:pPr>
        <w:spacing w:before="16" w:after="0" w:lineRule="exact" w:line="218"/>
      </w:pPr>
      <w:r>
        <w:rPr>
          <w:rFonts w:ascii="Times New Roman" w:hAnsi="Times New Roman"/>
          <w:b w:val="0"/>
          <w:i/>
          <w:color w:val="000000"/>
          <w:sz w:val="17"/>
        </w:rPr>
        <w:t>India’s largest listed wealth manager (NSE/BSE listed; INR 6 lakh crore+ client assets)  ·  Bengaluru, India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Portfolio analytics &amp; automation: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Engineered a Python framework (pandas, openpyxl) that computed 6M/1Y/3Y/5Y rolling returns from NAV histories for 120+ mutual funds across Large, Mid, Small and Flexi Cap categories, cutting manual data processing time by ~90%.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Reconciliation &amp; cost basis: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Reconstructed 5+ years of transaction history from Script Cashflow reports to reconcile cost basis and compute LTCG/STCG liability on 6 equity instruments in an HNI family portfolio at post-Budget 2024 rates.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Fee &amp; expense modelling: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Modelled PMS/AIF fee structures across 9 holdings (1.94% weighted-average fixed fee) and quantified an INR 4.2 lakh annual saving by moving a 10-fund mutual fund portfolio from regular to direct plans.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Reference data &amp; Bloomberg: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Maintained a 4,000+ security BSE/NSE dataset with Bloomberg BDH/BDP formulas and mapped client holdings against model portfolios to generate Buy/Sell/Hold calls for Investment Counsellors.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Client reporting: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Co-authored a 30+ slide institutional deck on active vs. passive fund performance (rolling alpha, hit rates, alpha dispersion by market-cap segment) used by advisory teams with clients.</w:t>
      </w:r>
    </w:p>
    <w:p>
      <w:pPr>
        <w:spacing w:before="0" w:after="0" w:lineRule="exact" w:line="64"/>
      </w:pPr>
    </w:p>
    <w:p>
      <w:pPr>
        <w:tabs>
          <w:tab w:pos="10325" w:val="right"/>
        </w:tabs>
        <w:spacing w:before="0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Guanella Preethi Nivas (Preethi Nivas Trust)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Social Intern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May 2025 (60 hours)</w:t>
      </w:r>
    </w:p>
    <w:p>
      <w:pPr>
        <w:spacing w:before="16" w:after="0" w:lineRule="exact" w:line="218"/>
      </w:pPr>
      <w:r>
        <w:rPr>
          <w:rFonts w:ascii="Times New Roman" w:hAnsi="Times New Roman"/>
          <w:b w:val="0"/>
          <w:i/>
          <w:color w:val="000000"/>
          <w:sz w:val="17"/>
        </w:rPr>
        <w:t>Charitable home for 50+ destitute elderly residents, run by The Guanellian Society  ·  Bengaluru, India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>•   Rebuilt resident records, activity logs and medical-room inventory, and ran safety audits (extinguisher expiry, hazard documentation, signage) to support compliance, preparing the reporting decks used by staff.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QUANTITATIVE RESEARCH PROJECT</w:t>
      </w:r>
    </w:p>
    <w:p>
      <w:pPr>
        <w:tabs>
          <w:tab w:pos="10325" w:val="right"/>
        </w:tabs>
        <w:spacing w:before="0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Equity Backtesting &amp; Screening Platform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Independent Python project, AI-assisted build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2026</w:t>
      </w:r>
    </w:p>
    <w:p>
      <w:pPr>
        <w:spacing w:before="16" w:after="0" w:lineRule="exact" w:line="218"/>
      </w:pPr>
      <w:r>
        <w:rPr>
          <w:rFonts w:ascii="Times New Roman" w:hAnsi="Times New Roman"/>
          <w:b w:val="0"/>
          <w:i/>
          <w:color w:val="000000"/>
          <w:sz w:val="17"/>
        </w:rPr>
        <w:t>6,500-line research stack, 10 build iterations; run daily to screen a 500-name US universe for a USD 100,000 simulated paper-trading portfolio  ·  also a 2+ year retail investor in Indian equities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Engineering: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Built a modular platform (pandas, NumPy, yfinance, Matplotlib) spanning data ingestion, 12 technical indicators, a backtest engine, ATR stops, 1%-risk sizing, performance analytics (Sharpe, Sortino, profit factor, expectancy, R-multiples) and automated reporting.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Validation methodology: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Tested 7 long and short strategies over 16.5 years (2010–2026) across 504- and 1,001-symbol universes and 8,600+ simulated trades: signals read at the close and filled at the next open to remove look-ahead, commission and slippage on every fill, walk-forward 3y-train/1y-test windows, and Monte-Carlo sampling of 250 ten-day windows.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•   </w:t>
      </w:r>
      <w:r>
        <w:rPr>
          <w:rFonts w:ascii="Times New Roman" w:hAnsi="Times New Roman"/>
          <w:b/>
          <w:i w:val="0"/>
          <w:color w:val="000000"/>
          <w:sz w:val="18"/>
        </w:rPr>
        <w:t>Findings, negative results included: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Showed a multi-indicator confluence score did not lift win rate (flat 60–62% across score buckets) and that widening the universe from 504 to 1,001 names cut CAGR 5.3% to 1.2%; a graduated regime filter cut max drawdown −34.5% to −28.8%, and the edge disappeared at 2–3x assumed costs – reported with survivorship-bias and regime caveats rather than optimised results.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LEADERSHIP &amp; EXTRACURRICULAR</w:t>
      </w:r>
    </w:p>
    <w:p>
      <w:pPr>
        <w:tabs>
          <w:tab w:pos="10325" w:val="right"/>
        </w:tabs>
        <w:spacing w:before="0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National Service Scheme (NSS), St. Joseph’s College of Commerce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 |  Treasurer (elected)</w:t>
      </w:r>
      <w:r>
        <w:tab/>
      </w:r>
      <w:r>
        <w:rPr>
          <w:rFonts w:ascii="Times New Roman" w:hAnsi="Times New Roman"/>
          <w:b/>
          <w:i w:val="0"/>
          <w:color w:val="000000"/>
          <w:sz w:val="18"/>
        </w:rPr>
        <w:t>Bengaluru, India</w:t>
      </w:r>
    </w:p>
    <w:p>
      <w:pPr>
        <w:spacing w:before="28" w:after="0" w:lineRule="exact" w:line="222"/>
        <w:ind w:left="220" w:hanging="220"/>
      </w:pPr>
      <w:r>
        <w:rPr>
          <w:rFonts w:ascii="Times New Roman" w:hAnsi="Times New Roman"/>
          <w:b w:val="0"/>
          <w:i w:val="0"/>
          <w:color w:val="000000"/>
          <w:sz w:val="18"/>
        </w:rPr>
        <w:t>•   Elected treasurer of a 100+ member unit; own the annual budget, fund allocation and expense records. Completed 2 rural exposure camps (8 days each) running community development surveys and field projects.</w:t>
      </w:r>
    </w:p>
    <w:p>
      <w:pPr>
        <w:spacing w:before="80" w:after="52" w:lineRule="exact" w:line="234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CERTIFICATIONS &amp; TECHNICAL SKILLS</w:t>
      </w:r>
    </w:p>
    <w:p>
      <w:pPr>
        <w:spacing w:before="32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Certifications: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CFA Level I candidate – Feb 2027 window (CFA Institute)  ·  NISM Series-VII: Securities Operations &amp; Risk Management – in preparation  ·  Excel Skills for Business – Macquarie University (Coursera)  ·  Soft Skills Development – NPTEL / SWAYAM (IIT)</w:t>
      </w:r>
    </w:p>
    <w:p>
      <w:pPr>
        <w:spacing w:before="32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Fund &amp; Portfolio Analytics: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Rolling returns from NAV histories, portfolio mapping vs. model portfolios, performance analysis (alpha, hit rate, dispersion), fee &amp; expense modelling (PMS/AIF), reconciliations, cost basis, capital gains tax, financial statement analysis</w:t>
      </w:r>
    </w:p>
    <w:p>
      <w:pPr>
        <w:spacing w:before="32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Technical: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Python (pandas, NumPy, openpyxl, Matplotlib), Advanced Excel (PivotTables, VLOOKUP, macros), Power BI, PowerPoint, Bloomberg Terminal (BDH/BDP), Screener.in, Chartink, TradingView</w:t>
      </w:r>
    </w:p>
    <w:p>
      <w:pPr>
        <w:spacing w:before="32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AI-Enabled Workflow: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ChatGPT and Claude for code generation and review, research synthesis, data clean-up and document drafting</w:t>
      </w:r>
    </w:p>
    <w:p>
      <w:pPr>
        <w:spacing w:before="32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Strengths: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Attention to detail and data accuracy  ·  quality review and control discipline  ·  clear communication  ·  collaboration  ·  intellectual curiosity</w:t>
      </w:r>
    </w:p>
    <w:p>
      <w:pPr>
        <w:spacing w:before="32" w:after="0" w:lineRule="exact" w:line="222"/>
      </w:pPr>
      <w:r>
        <w:rPr>
          <w:rFonts w:ascii="Times New Roman" w:hAnsi="Times New Roman"/>
          <w:b/>
          <w:i w:val="0"/>
          <w:color w:val="000000"/>
          <w:sz w:val="18"/>
        </w:rPr>
        <w:t>Languages: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English (professional)  ·  Tamil (native)  ·  Kannada and Hindi (conversational)  ·  interests: fine arts, home gardening</w:t>
      </w:r>
    </w:p>
    <w:sectPr w:rsidR="00FC693F" w:rsidRPr="0006063C" w:rsidSect="00034616">
      <w:pgSz w:w="11909" w:h="16834"/>
      <w:pgMar w:top="619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986578113" TargetMode="External"/><Relationship Id="rId10" Type="http://schemas.openxmlformats.org/officeDocument/2006/relationships/hyperlink" Target="mailto:sklokesh777@gmail.com" TargetMode="External"/><Relationship Id="rId11" Type="http://schemas.openxmlformats.org/officeDocument/2006/relationships/hyperlink" Target="https://www.linkedin.com/in/s-k-lokesh-a09160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K Lokesh - Resume</dc:title>
  <dc:subject>JPMorganChase 2027 CIB Research &amp; Analytics, Securities Services - Bengaluru</dc:subject>
  <dc:creator>S K Lokesh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