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Rule="exact" w:line="420"/>
        <w:jc w:val="center"/>
      </w:pPr>
      <w:r>
        <w:rPr>
          <w:rFonts w:ascii="Times New Roman" w:hAnsi="Times New Roman"/>
          <w:b/>
          <w:sz w:val="38"/>
        </w:rPr>
        <w:t>S K LOKESH</w:t>
      </w:r>
    </w:p>
    <w:p>
      <w:pPr>
        <w:spacing w:before="0" w:after="60" w:lineRule="exact" w:line="232"/>
        <w:jc w:val="center"/>
        <w:pBdr>
          <w:bottom w:val="single" w:sz="8" w:space="1" w:color="000000"/>
        </w:pBdr>
      </w:pPr>
      <w:r>
        <w:rPr>
          <w:rFonts w:ascii="Times New Roman" w:hAnsi="Times New Roman"/>
          <w:sz w:val="18"/>
        </w:rPr>
        <w:t>Bengaluru, Karnataka, India</w:t>
      </w:r>
      <w:r>
        <w:rPr>
          <w:rFonts w:ascii="Times New Roman" w:hAnsi="Times New Roman"/>
          <w:sz w:val="18"/>
        </w:rPr>
        <w:t xml:space="preserve">  ·  </w:t>
      </w:r>
      <w:hyperlink r:id="rId9">
        <w:r>
          <w:rPr>
            <w:rFonts w:ascii="Times New Roman" w:hAnsi="Times New Roman"/>
            <w:sz w:val="18"/>
            <w:color w:val="000000"/>
          </w:rPr>
          <w:t>+91 99865 78113</w:t>
        </w:r>
      </w:hyperlink>
      <w:r>
        <w:rPr>
          <w:rFonts w:ascii="Times New Roman" w:hAnsi="Times New Roman"/>
          <w:sz w:val="18"/>
        </w:rPr>
        <w:t xml:space="preserve">  ·  </w:t>
      </w:r>
      <w:hyperlink r:id="rId10">
        <w:r>
          <w:rPr>
            <w:rFonts w:ascii="Times New Roman" w:hAnsi="Times New Roman"/>
            <w:sz w:val="18"/>
            <w:color w:val="000000"/>
          </w:rPr>
          <w:t>sklokesh777@gmail.com</w:t>
        </w:r>
      </w:hyperlink>
      <w:r>
        <w:rPr>
          <w:rFonts w:ascii="Times New Roman" w:hAnsi="Times New Roman"/>
          <w:sz w:val="18"/>
        </w:rPr>
        <w:t xml:space="preserve">  ·  </w:t>
      </w:r>
      <w:hyperlink r:id="rId11">
        <w:r>
          <w:rPr>
            <w:rFonts w:ascii="Times New Roman" w:hAnsi="Times New Roman"/>
            <w:sz w:val="18"/>
            <w:color w:val="000000"/>
          </w:rPr>
          <w:t>linkedin.com/in/s-k-lokesh-a09160313</w:t>
        </w:r>
      </w:hyperlink>
    </w:p>
    <w:p>
      <w:pPr>
        <w:spacing w:before="88" w:after="0" w:lineRule="exact" w:line="227"/>
        <w:jc w:val="both"/>
      </w:pPr>
      <w:r>
        <w:rPr>
          <w:rFonts w:ascii="Times New Roman" w:hAnsi="Times New Roman"/>
          <w:b w:val="0"/>
          <w:i w:val="0"/>
          <w:color w:val="000000"/>
          <w:sz w:val="19"/>
        </w:rPr>
        <w:t>Final-year B.Com student (Class of 2027) and CFA Level I candidate applying to Commercial &amp; Investment Bank Research &amp; Analytics – Securities Services (Alternative Fund Services) in Bengaluru, with the aim of building a career in fund accounting, portfolio accounting, NAV production, financial reporting and investor reporting. Delivered portfolio analytics at India’s largest listed wealth manager: automated rolling-return computation across 120+ funds in Python (~90% less manual effort), reconstructed and reconciled 5+ years of transaction history for cost-basis accuracy, and modelled PMS/AIF fee structures that surfaced INR 4.2 lakh of annual client savings. Brings quantitative rigour, a controls-first approach to reporting accuracy, and daily hands-on use of AI-enabled research tools.</w:t>
      </w:r>
    </w:p>
    <w:p>
      <w:pPr>
        <w:spacing w:before="120" w:after="52" w:lineRule="exact" w:line="234"/>
        <w:pBdr>
          <w:bottom w:val="single" w:sz="6" w:space="1" w:color="000000"/>
        </w:pBdr>
      </w:pPr>
      <w:r>
        <w:rPr>
          <w:rFonts w:ascii="Times New Roman" w:hAnsi="Times New Roman"/>
          <w:b/>
          <w:sz w:val="20"/>
        </w:rPr>
        <w:t>EDUCATION</w:t>
      </w:r>
    </w:p>
    <w:p>
      <w:pPr>
        <w:tabs>
          <w:tab w:pos="10325" w:val="right"/>
        </w:tabs>
        <w:spacing w:before="0" w:after="0" w:lineRule="exact" w:line="227"/>
      </w:pPr>
      <w:r>
        <w:rPr>
          <w:rFonts w:ascii="Times New Roman" w:hAnsi="Times New Roman"/>
          <w:b/>
          <w:i w:val="0"/>
          <w:color w:val="000000"/>
          <w:sz w:val="19"/>
        </w:rPr>
        <w:t>Bachelor of Commerce (B.Com)</w:t>
      </w:r>
      <w:r>
        <w:rPr>
          <w:rFonts w:ascii="Times New Roman" w:hAnsi="Times New Roman"/>
          <w:b w:val="0"/>
          <w:i w:val="0"/>
          <w:color w:val="000000"/>
          <w:sz w:val="19"/>
        </w:rPr>
        <w:t xml:space="preserve">  |  St. Joseph’s College of Commerce (Autonomous), Bengaluru</w:t>
      </w:r>
      <w:r>
        <w:tab/>
      </w:r>
      <w:r>
        <w:rPr>
          <w:rFonts w:ascii="Times New Roman" w:hAnsi="Times New Roman"/>
          <w:b/>
          <w:i w:val="0"/>
          <w:color w:val="000000"/>
          <w:sz w:val="19"/>
        </w:rPr>
        <w:t>2024 – 2027</w:t>
      </w:r>
    </w:p>
    <w:p>
      <w:pPr>
        <w:spacing w:before="16" w:after="0" w:lineRule="exact" w:line="218"/>
      </w:pPr>
      <w:r>
        <w:rPr>
          <w:rFonts w:ascii="Times New Roman" w:hAnsi="Times New Roman"/>
          <w:b w:val="0"/>
          <w:i/>
          <w:color w:val="000000"/>
          <w:sz w:val="17"/>
        </w:rPr>
        <w:t>Affiliated to Bengaluru City University  ·  NAAC A++ accredited (4th cycle)  ·  Final year; expected graduation 2027</w:t>
      </w:r>
    </w:p>
    <w:p>
      <w:pPr>
        <w:spacing w:before="28" w:after="0" w:lineRule="exact" w:line="227"/>
      </w:pPr>
      <w:r>
        <w:rPr>
          <w:rFonts w:ascii="Times New Roman" w:hAnsi="Times New Roman"/>
          <w:b/>
          <w:i w:val="0"/>
          <w:color w:val="000000"/>
          <w:sz w:val="19"/>
        </w:rPr>
        <w:t>Relevant coursework:</w:t>
      </w:r>
      <w:r>
        <w:rPr>
          <w:rFonts w:ascii="Times New Roman" w:hAnsi="Times New Roman"/>
          <w:b w:val="0"/>
          <w:i w:val="0"/>
          <w:color w:val="000000"/>
          <w:sz w:val="19"/>
        </w:rPr>
        <w:t xml:space="preserve"> Financial Accounting, Corporate Finance, Investment Management, Business Statistics, Taxation, Economics</w:t>
      </w:r>
    </w:p>
    <w:p>
      <w:pPr>
        <w:spacing w:before="0" w:after="0" w:lineRule="exact" w:line="72"/>
      </w:pPr>
    </w:p>
    <w:p>
      <w:pPr>
        <w:tabs>
          <w:tab w:pos="10325" w:val="right"/>
        </w:tabs>
        <w:spacing w:before="0" w:after="0" w:lineRule="exact" w:line="227"/>
      </w:pPr>
      <w:r>
        <w:rPr>
          <w:rFonts w:ascii="Times New Roman" w:hAnsi="Times New Roman"/>
          <w:b/>
          <w:i w:val="0"/>
          <w:color w:val="000000"/>
          <w:sz w:val="19"/>
        </w:rPr>
        <w:t>Class XII – Pre-University (Commerce)</w:t>
      </w:r>
      <w:r>
        <w:rPr>
          <w:rFonts w:ascii="Times New Roman" w:hAnsi="Times New Roman"/>
          <w:b w:val="0"/>
          <w:i w:val="0"/>
          <w:color w:val="000000"/>
          <w:sz w:val="19"/>
        </w:rPr>
        <w:t xml:space="preserve">  |  Seshadripuram Independent PU College  ·  Karnataka State Board</w:t>
      </w:r>
      <w:r>
        <w:tab/>
      </w:r>
      <w:r>
        <w:rPr>
          <w:rFonts w:ascii="Times New Roman" w:hAnsi="Times New Roman"/>
          <w:b/>
          <w:i w:val="0"/>
          <w:color w:val="000000"/>
          <w:sz w:val="19"/>
        </w:rPr>
        <w:t>93%  ·  2024</w:t>
      </w:r>
    </w:p>
    <w:p>
      <w:pPr>
        <w:spacing w:before="0" w:after="0" w:lineRule="exact" w:line="72"/>
      </w:pPr>
    </w:p>
    <w:p>
      <w:pPr>
        <w:tabs>
          <w:tab w:pos="10325" w:val="right"/>
        </w:tabs>
        <w:spacing w:before="0" w:after="0" w:lineRule="exact" w:line="227"/>
      </w:pPr>
      <w:r>
        <w:rPr>
          <w:rFonts w:ascii="Times New Roman" w:hAnsi="Times New Roman"/>
          <w:b/>
          <w:i w:val="0"/>
          <w:color w:val="000000"/>
          <w:sz w:val="19"/>
        </w:rPr>
        <w:t>Class X – Secondary School Certificate (SSLC)</w:t>
      </w:r>
      <w:r>
        <w:rPr>
          <w:rFonts w:ascii="Times New Roman" w:hAnsi="Times New Roman"/>
          <w:b w:val="0"/>
          <w:i w:val="0"/>
          <w:color w:val="000000"/>
          <w:sz w:val="19"/>
        </w:rPr>
        <w:t xml:space="preserve">  |  St. Anthony’s Boys’ High School  ·  Karnataka State Board</w:t>
      </w:r>
      <w:r>
        <w:tab/>
      </w:r>
      <w:r>
        <w:rPr>
          <w:rFonts w:ascii="Times New Roman" w:hAnsi="Times New Roman"/>
          <w:b/>
          <w:i w:val="0"/>
          <w:color w:val="000000"/>
          <w:sz w:val="19"/>
        </w:rPr>
        <w:t>80%  ·  2022</w:t>
      </w:r>
    </w:p>
    <w:p>
      <w:pPr>
        <w:spacing w:before="120" w:after="52" w:lineRule="exact" w:line="234"/>
        <w:pBdr>
          <w:bottom w:val="single" w:sz="6" w:space="1" w:color="000000"/>
        </w:pBdr>
      </w:pPr>
      <w:r>
        <w:rPr>
          <w:rFonts w:ascii="Times New Roman" w:hAnsi="Times New Roman"/>
          <w:b/>
          <w:sz w:val="20"/>
        </w:rPr>
        <w:t>PROFESSIONAL EXPERIENCE</w:t>
      </w:r>
    </w:p>
    <w:p>
      <w:pPr>
        <w:tabs>
          <w:tab w:pos="10325" w:val="right"/>
        </w:tabs>
        <w:spacing w:before="0" w:after="0" w:lineRule="exact" w:line="227"/>
      </w:pPr>
      <w:r>
        <w:rPr>
          <w:rFonts w:ascii="Times New Roman" w:hAnsi="Times New Roman"/>
          <w:b/>
          <w:i w:val="0"/>
          <w:color w:val="000000"/>
          <w:sz w:val="19"/>
        </w:rPr>
        <w:t>360 ONE Portfolio Managers Limited</w:t>
      </w:r>
      <w:r>
        <w:rPr>
          <w:rFonts w:ascii="Times New Roman" w:hAnsi="Times New Roman"/>
          <w:b w:val="0"/>
          <w:i w:val="0"/>
          <w:color w:val="000000"/>
          <w:sz w:val="19"/>
        </w:rPr>
        <w:t xml:space="preserve">  |  Finance Intern – Wealth Management</w:t>
      </w:r>
      <w:r>
        <w:tab/>
      </w:r>
      <w:r>
        <w:rPr>
          <w:rFonts w:ascii="Times New Roman" w:hAnsi="Times New Roman"/>
          <w:b/>
          <w:i w:val="0"/>
          <w:color w:val="000000"/>
          <w:sz w:val="19"/>
        </w:rPr>
        <w:t>May – Jun 2026</w:t>
      </w:r>
    </w:p>
    <w:p>
      <w:pPr>
        <w:spacing w:before="16" w:after="0" w:lineRule="exact" w:line="218"/>
      </w:pPr>
      <w:r>
        <w:rPr>
          <w:rFonts w:ascii="Times New Roman" w:hAnsi="Times New Roman"/>
          <w:b w:val="0"/>
          <w:i/>
          <w:color w:val="000000"/>
          <w:sz w:val="17"/>
        </w:rPr>
        <w:t>India’s largest listed wealth manager (NSE/BSE listed; INR 6 lakh crore+ client assets); PMS, AIF and mutual fund solutions for HNI and family-office clients  ·  Bengaluru, India</w:t>
      </w:r>
    </w:p>
    <w:p>
      <w:pPr>
        <w:spacing w:before="28" w:after="0" w:lineRule="exact" w:line="227"/>
        <w:ind w:left="220" w:hanging="220"/>
      </w:pPr>
      <w:r>
        <w:rPr>
          <w:rFonts w:ascii="Times New Roman" w:hAnsi="Times New Roman"/>
          <w:b w:val="0"/>
          <w:i w:val="0"/>
          <w:color w:val="000000"/>
          <w:sz w:val="19"/>
        </w:rPr>
        <w:t xml:space="preserve">•   </w:t>
      </w:r>
      <w:r>
        <w:rPr>
          <w:rFonts w:ascii="Times New Roman" w:hAnsi="Times New Roman"/>
          <w:b/>
          <w:i w:val="0"/>
          <w:color w:val="000000"/>
          <w:sz w:val="19"/>
        </w:rPr>
        <w:t>Portfolio analytics &amp; automation:</w:t>
      </w:r>
      <w:r>
        <w:rPr>
          <w:rFonts w:ascii="Times New Roman" w:hAnsi="Times New Roman"/>
          <w:b w:val="0"/>
          <w:i w:val="0"/>
          <w:color w:val="000000"/>
          <w:sz w:val="19"/>
        </w:rPr>
        <w:t xml:space="preserve"> Engineered a Python framework (pandas, openpyxl) that computed 6M/1Y/3Y/5Y rolling returns from NAV histories for 120+ mutual funds across Large, Mid, Small and Flexi Cap categories, cutting manual data processing time by ~90% and standardising output for advisory review.</w:t>
      </w:r>
    </w:p>
    <w:p>
      <w:pPr>
        <w:spacing w:before="28" w:after="0" w:lineRule="exact" w:line="227"/>
        <w:ind w:left="220" w:hanging="220"/>
      </w:pPr>
      <w:r>
        <w:rPr>
          <w:rFonts w:ascii="Times New Roman" w:hAnsi="Times New Roman"/>
          <w:b w:val="0"/>
          <w:i w:val="0"/>
          <w:color w:val="000000"/>
          <w:sz w:val="19"/>
        </w:rPr>
        <w:t xml:space="preserve">•   </w:t>
      </w:r>
      <w:r>
        <w:rPr>
          <w:rFonts w:ascii="Times New Roman" w:hAnsi="Times New Roman"/>
          <w:b/>
          <w:i w:val="0"/>
          <w:color w:val="000000"/>
          <w:sz w:val="19"/>
        </w:rPr>
        <w:t>Reconciliation &amp; cost-basis analysis:</w:t>
      </w:r>
      <w:r>
        <w:rPr>
          <w:rFonts w:ascii="Times New Roman" w:hAnsi="Times New Roman"/>
          <w:b w:val="0"/>
          <w:i w:val="0"/>
          <w:color w:val="000000"/>
          <w:sz w:val="19"/>
        </w:rPr>
        <w:t xml:space="preserve"> Reconstructed 5+ years of transaction history from Script Cashflow reports to reconcile cost basis and compute LTCG/STCG liability on 6 equity instruments held by an HNI family portfolio, applying post-Budget 2024 tax rates.</w:t>
      </w:r>
    </w:p>
    <w:p>
      <w:pPr>
        <w:spacing w:before="28" w:after="0" w:lineRule="exact" w:line="227"/>
        <w:ind w:left="220" w:hanging="220"/>
      </w:pPr>
      <w:r>
        <w:rPr>
          <w:rFonts w:ascii="Times New Roman" w:hAnsi="Times New Roman"/>
          <w:b w:val="0"/>
          <w:i w:val="0"/>
          <w:color w:val="000000"/>
          <w:sz w:val="19"/>
        </w:rPr>
        <w:t xml:space="preserve">•   </w:t>
      </w:r>
      <w:r>
        <w:rPr>
          <w:rFonts w:ascii="Times New Roman" w:hAnsi="Times New Roman"/>
          <w:b/>
          <w:i w:val="0"/>
          <w:color w:val="000000"/>
          <w:sz w:val="19"/>
        </w:rPr>
        <w:t>Fee &amp; expense modelling:</w:t>
      </w:r>
      <w:r>
        <w:rPr>
          <w:rFonts w:ascii="Times New Roman" w:hAnsi="Times New Roman"/>
          <w:b w:val="0"/>
          <w:i w:val="0"/>
          <w:color w:val="000000"/>
          <w:sz w:val="19"/>
        </w:rPr>
        <w:t xml:space="preserve"> Modelled PMS/AIF fee structures across 9 holdings (1.94% weighted-average fixed fee) and quantified an INR 4.2 lakh annual saving by moving a 10-fund mutual fund portfolio from regular to direct plans.</w:t>
      </w:r>
    </w:p>
    <w:p>
      <w:pPr>
        <w:spacing w:before="28" w:after="0" w:lineRule="exact" w:line="227"/>
        <w:ind w:left="220" w:hanging="220"/>
      </w:pPr>
      <w:r>
        <w:rPr>
          <w:rFonts w:ascii="Times New Roman" w:hAnsi="Times New Roman"/>
          <w:b w:val="0"/>
          <w:i w:val="0"/>
          <w:color w:val="000000"/>
          <w:sz w:val="19"/>
        </w:rPr>
        <w:t xml:space="preserve">•   </w:t>
      </w:r>
      <w:r>
        <w:rPr>
          <w:rFonts w:ascii="Times New Roman" w:hAnsi="Times New Roman"/>
          <w:b/>
          <w:i w:val="0"/>
          <w:color w:val="000000"/>
          <w:sz w:val="19"/>
        </w:rPr>
        <w:t>Reference data &amp; Bloomberg:</w:t>
      </w:r>
      <w:r>
        <w:rPr>
          <w:rFonts w:ascii="Times New Roman" w:hAnsi="Times New Roman"/>
          <w:b w:val="0"/>
          <w:i w:val="0"/>
          <w:color w:val="000000"/>
          <w:sz w:val="19"/>
        </w:rPr>
        <w:t xml:space="preserve"> Maintained a 4,000+ security BSE/NSE dataset using Bloomberg BDH/BDP formulas and mapped client holdings against internal model portfolios to generate Buy/Sell/Hold recommendations for Investment Counsellors.</w:t>
      </w:r>
    </w:p>
    <w:p>
      <w:pPr>
        <w:spacing w:before="28" w:after="0" w:lineRule="exact" w:line="227"/>
        <w:ind w:left="220" w:hanging="220"/>
      </w:pPr>
      <w:r>
        <w:rPr>
          <w:rFonts w:ascii="Times New Roman" w:hAnsi="Times New Roman"/>
          <w:b w:val="0"/>
          <w:i w:val="0"/>
          <w:color w:val="000000"/>
          <w:sz w:val="19"/>
        </w:rPr>
        <w:t xml:space="preserve">•   </w:t>
      </w:r>
      <w:r>
        <w:rPr>
          <w:rFonts w:ascii="Times New Roman" w:hAnsi="Times New Roman"/>
          <w:b/>
          <w:i w:val="0"/>
          <w:color w:val="000000"/>
          <w:sz w:val="19"/>
        </w:rPr>
        <w:t>Client reporting &amp; presentation:</w:t>
      </w:r>
      <w:r>
        <w:rPr>
          <w:rFonts w:ascii="Times New Roman" w:hAnsi="Times New Roman"/>
          <w:b w:val="0"/>
          <w:i w:val="0"/>
          <w:color w:val="000000"/>
          <w:sz w:val="19"/>
        </w:rPr>
        <w:t xml:space="preserve"> Co-authored a 30+ slide institutional deck on active vs. passive fund performance – rolling alpha, hit rates and alpha dispersion by market-cap segment – used by advisory teams in client discussions.</w:t>
      </w:r>
    </w:p>
    <w:p>
      <w:pPr>
        <w:spacing w:before="0" w:after="0" w:lineRule="exact" w:line="72"/>
      </w:pPr>
    </w:p>
    <w:p>
      <w:pPr>
        <w:tabs>
          <w:tab w:pos="10325" w:val="right"/>
        </w:tabs>
        <w:spacing w:before="0" w:after="0" w:lineRule="exact" w:line="227"/>
      </w:pPr>
      <w:r>
        <w:rPr>
          <w:rFonts w:ascii="Times New Roman" w:hAnsi="Times New Roman"/>
          <w:b/>
          <w:i w:val="0"/>
          <w:color w:val="000000"/>
          <w:sz w:val="19"/>
        </w:rPr>
        <w:t>Guanella Preethi Nivas (Preethi Nivas Trust)</w:t>
      </w:r>
      <w:r>
        <w:rPr>
          <w:rFonts w:ascii="Times New Roman" w:hAnsi="Times New Roman"/>
          <w:b w:val="0"/>
          <w:i w:val="0"/>
          <w:color w:val="000000"/>
          <w:sz w:val="19"/>
        </w:rPr>
        <w:t xml:space="preserve">  |  Social Intern</w:t>
      </w:r>
      <w:r>
        <w:tab/>
      </w:r>
      <w:r>
        <w:rPr>
          <w:rFonts w:ascii="Times New Roman" w:hAnsi="Times New Roman"/>
          <w:b/>
          <w:i w:val="0"/>
          <w:color w:val="000000"/>
          <w:sz w:val="19"/>
        </w:rPr>
        <w:t>May 2025 (60 hours)</w:t>
      </w:r>
    </w:p>
    <w:p>
      <w:pPr>
        <w:spacing w:before="16" w:after="0" w:lineRule="exact" w:line="218"/>
      </w:pPr>
      <w:r>
        <w:rPr>
          <w:rFonts w:ascii="Times New Roman" w:hAnsi="Times New Roman"/>
          <w:b w:val="0"/>
          <w:i/>
          <w:color w:val="000000"/>
          <w:sz w:val="17"/>
        </w:rPr>
        <w:t>Charitable home for destitute elderly men run by The Guanellian Society; 50+ residents  ·  Bengaluru, India</w:t>
      </w:r>
    </w:p>
    <w:p>
      <w:pPr>
        <w:spacing w:before="28" w:after="0" w:lineRule="exact" w:line="227"/>
        <w:ind w:left="220" w:hanging="220"/>
      </w:pPr>
      <w:r>
        <w:rPr>
          <w:rFonts w:ascii="Times New Roman" w:hAnsi="Times New Roman"/>
          <w:b w:val="0"/>
          <w:i w:val="0"/>
          <w:color w:val="000000"/>
          <w:sz w:val="19"/>
        </w:rPr>
        <w:t xml:space="preserve">•   </w:t>
      </w:r>
      <w:r>
        <w:rPr>
          <w:rFonts w:ascii="Times New Roman" w:hAnsi="Times New Roman"/>
          <w:b/>
          <w:i w:val="0"/>
          <w:color w:val="000000"/>
          <w:sz w:val="19"/>
        </w:rPr>
        <w:t>Records &amp; documentation:</w:t>
      </w:r>
      <w:r>
        <w:rPr>
          <w:rFonts w:ascii="Times New Roman" w:hAnsi="Times New Roman"/>
          <w:b w:val="0"/>
          <w:i w:val="0"/>
          <w:color w:val="000000"/>
          <w:sz w:val="19"/>
        </w:rPr>
        <w:t xml:space="preserve"> Rebuilt resident records, daily activity logs and medical-room inventory for a 50+ resident facility – categorising and labelling pharmaceutical supplies – improving retrieval speed during medication rounds and emergency response.</w:t>
      </w:r>
    </w:p>
    <w:p>
      <w:pPr>
        <w:spacing w:before="28" w:after="0" w:lineRule="exact" w:line="227"/>
        <w:ind w:left="220" w:hanging="220"/>
      </w:pPr>
      <w:r>
        <w:rPr>
          <w:rFonts w:ascii="Times New Roman" w:hAnsi="Times New Roman"/>
          <w:b w:val="0"/>
          <w:i w:val="0"/>
          <w:color w:val="000000"/>
          <w:sz w:val="19"/>
        </w:rPr>
        <w:t xml:space="preserve">•   </w:t>
      </w:r>
      <w:r>
        <w:rPr>
          <w:rFonts w:ascii="Times New Roman" w:hAnsi="Times New Roman"/>
          <w:b/>
          <w:i w:val="0"/>
          <w:color w:val="000000"/>
          <w:sz w:val="19"/>
        </w:rPr>
        <w:t>Controls, compliance &amp; safety review:</w:t>
      </w:r>
      <w:r>
        <w:rPr>
          <w:rFonts w:ascii="Times New Roman" w:hAnsi="Times New Roman"/>
          <w:b w:val="0"/>
          <w:i w:val="0"/>
          <w:color w:val="000000"/>
          <w:sz w:val="19"/>
        </w:rPr>
        <w:t xml:space="preserve"> Ran facility safety audits – fire-extinguisher expiry checks, hazard documentation and disaster-awareness signage – to support safety compliance, and prepared the PowerPoint decks and structured reports used by staff.</w:t>
      </w:r>
    </w:p>
    <w:p>
      <w:pPr>
        <w:spacing w:before="120" w:after="52" w:lineRule="exact" w:line="234"/>
        <w:pBdr>
          <w:bottom w:val="single" w:sz="6" w:space="1" w:color="000000"/>
        </w:pBdr>
      </w:pPr>
      <w:r>
        <w:rPr>
          <w:rFonts w:ascii="Times New Roman" w:hAnsi="Times New Roman"/>
          <w:b/>
          <w:sz w:val="20"/>
        </w:rPr>
        <w:t>LEADERSHIP &amp; EXTRACURRICULAR</w:t>
      </w:r>
    </w:p>
    <w:p>
      <w:pPr>
        <w:tabs>
          <w:tab w:pos="10325" w:val="right"/>
        </w:tabs>
        <w:spacing w:before="0" w:after="0" w:lineRule="exact" w:line="227"/>
      </w:pPr>
      <w:r>
        <w:rPr>
          <w:rFonts w:ascii="Times New Roman" w:hAnsi="Times New Roman"/>
          <w:b/>
          <w:i w:val="0"/>
          <w:color w:val="000000"/>
          <w:sz w:val="19"/>
        </w:rPr>
        <w:t>National Service Scheme (NSS), St. Joseph’s College of Commerce</w:t>
      </w:r>
      <w:r>
        <w:rPr>
          <w:rFonts w:ascii="Times New Roman" w:hAnsi="Times New Roman"/>
          <w:b w:val="0"/>
          <w:i w:val="0"/>
          <w:color w:val="000000"/>
          <w:sz w:val="19"/>
        </w:rPr>
        <w:t xml:space="preserve">  |  Treasurer (elected)</w:t>
      </w:r>
      <w:r>
        <w:tab/>
      </w:r>
      <w:r>
        <w:rPr>
          <w:rFonts w:ascii="Times New Roman" w:hAnsi="Times New Roman"/>
          <w:b/>
          <w:i w:val="0"/>
          <w:color w:val="000000"/>
          <w:sz w:val="19"/>
        </w:rPr>
        <w:t>Bengaluru, India</w:t>
      </w:r>
    </w:p>
    <w:p>
      <w:pPr>
        <w:spacing w:before="28" w:after="0" w:lineRule="exact" w:line="227"/>
        <w:ind w:left="220" w:hanging="220"/>
      </w:pPr>
      <w:r>
        <w:rPr>
          <w:rFonts w:ascii="Times New Roman" w:hAnsi="Times New Roman"/>
          <w:b w:val="0"/>
          <w:i w:val="0"/>
          <w:color w:val="000000"/>
          <w:sz w:val="19"/>
        </w:rPr>
        <w:t>•   Elected treasurer of a 100+ member unit; own the annual budget, fund allocation and expense records across unit programmes.</w:t>
      </w:r>
    </w:p>
    <w:p>
      <w:pPr>
        <w:spacing w:before="28" w:after="0" w:lineRule="exact" w:line="227"/>
        <w:ind w:left="220" w:hanging="220"/>
      </w:pPr>
      <w:r>
        <w:rPr>
          <w:rFonts w:ascii="Times New Roman" w:hAnsi="Times New Roman"/>
          <w:b w:val="0"/>
          <w:i w:val="0"/>
          <w:color w:val="000000"/>
          <w:sz w:val="19"/>
        </w:rPr>
        <w:t>•   Completed 2 rural exposure camps (8 days each), running community development surveys and field projects alongside volunteer teams.</w:t>
      </w:r>
    </w:p>
    <w:p>
      <w:pPr>
        <w:spacing w:before="0" w:after="0" w:lineRule="exact" w:line="72"/>
      </w:pPr>
    </w:p>
    <w:p>
      <w:pPr>
        <w:tabs>
          <w:tab w:pos="10325" w:val="right"/>
        </w:tabs>
        <w:spacing w:before="0" w:after="0" w:lineRule="exact" w:line="227"/>
      </w:pPr>
      <w:r>
        <w:rPr>
          <w:rFonts w:ascii="Times New Roman" w:hAnsi="Times New Roman"/>
          <w:b/>
          <w:i w:val="0"/>
          <w:color w:val="000000"/>
          <w:sz w:val="19"/>
        </w:rPr>
        <w:t>Independent Equity Markets Research</w:t>
      </w:r>
      <w:r>
        <w:rPr>
          <w:rFonts w:ascii="Times New Roman" w:hAnsi="Times New Roman"/>
          <w:b w:val="0"/>
          <w:i w:val="0"/>
          <w:color w:val="000000"/>
          <w:sz w:val="19"/>
        </w:rPr>
        <w:t xml:space="preserve">  |  Self-directed</w:t>
      </w:r>
      <w:r>
        <w:tab/>
      </w:r>
      <w:r>
        <w:rPr>
          <w:rFonts w:ascii="Times New Roman" w:hAnsi="Times New Roman"/>
          <w:b/>
          <w:i w:val="0"/>
          <w:color w:val="000000"/>
          <w:sz w:val="19"/>
        </w:rPr>
        <w:t>Ongoing (2+ years)</w:t>
      </w:r>
    </w:p>
    <w:p>
      <w:pPr>
        <w:spacing w:before="28" w:after="0" w:lineRule="exact" w:line="227"/>
        <w:ind w:left="220" w:hanging="220"/>
      </w:pPr>
      <w:r>
        <w:rPr>
          <w:rFonts w:ascii="Times New Roman" w:hAnsi="Times New Roman"/>
          <w:b w:val="0"/>
          <w:i w:val="0"/>
          <w:color w:val="000000"/>
          <w:sz w:val="19"/>
        </w:rPr>
        <w:t>•   Active retail investor applying a multi-factor screening framework (valuation, momentum, quality) across Indian equities using Screener.in, Chartink and TradingView; maintain a personal watchlist and trade log.</w:t>
      </w:r>
    </w:p>
    <w:p>
      <w:pPr>
        <w:spacing w:before="120" w:after="52" w:lineRule="exact" w:line="234"/>
        <w:pBdr>
          <w:bottom w:val="single" w:sz="6" w:space="1" w:color="000000"/>
        </w:pBdr>
      </w:pPr>
      <w:r>
        <w:rPr>
          <w:rFonts w:ascii="Times New Roman" w:hAnsi="Times New Roman"/>
          <w:b/>
          <w:sz w:val="20"/>
        </w:rPr>
        <w:t>CERTIFICATIONS &amp; TECHNICAL SKILLS</w:t>
      </w:r>
    </w:p>
    <w:p>
      <w:pPr>
        <w:spacing w:before="32" w:after="0" w:lineRule="exact" w:line="227"/>
      </w:pPr>
      <w:r>
        <w:rPr>
          <w:rFonts w:ascii="Times New Roman" w:hAnsi="Times New Roman"/>
          <w:b/>
          <w:i w:val="0"/>
          <w:color w:val="000000"/>
          <w:sz w:val="19"/>
        </w:rPr>
        <w:t>Certifications:</w:t>
      </w:r>
      <w:r>
        <w:rPr>
          <w:rFonts w:ascii="Times New Roman" w:hAnsi="Times New Roman"/>
          <w:b w:val="0"/>
          <w:i w:val="0"/>
          <w:color w:val="000000"/>
          <w:sz w:val="19"/>
        </w:rPr>
        <w:t xml:space="preserve"> CFA Program – Level I candidate, February 2027 exam window (CFA Institute)  ·  Excel Skills for Business – Macquarie University (Coursera)  ·  Soft Skills Development – NPTEL / SWAYAM (IIT)</w:t>
      </w:r>
    </w:p>
    <w:p>
      <w:pPr>
        <w:spacing w:before="32" w:after="0" w:lineRule="exact" w:line="227"/>
      </w:pPr>
      <w:r>
        <w:rPr>
          <w:rFonts w:ascii="Times New Roman" w:hAnsi="Times New Roman"/>
          <w:b/>
          <w:i w:val="0"/>
          <w:color w:val="000000"/>
          <w:sz w:val="19"/>
        </w:rPr>
        <w:t>Fund &amp; Portfolio Analytics:</w:t>
      </w:r>
      <w:r>
        <w:rPr>
          <w:rFonts w:ascii="Times New Roman" w:hAnsi="Times New Roman"/>
          <w:b w:val="0"/>
          <w:i w:val="0"/>
          <w:color w:val="000000"/>
          <w:sz w:val="19"/>
        </w:rPr>
        <w:t xml:space="preserve"> Rolling returns from NAV histories, portfolio mapping vs. model portfolios, active vs. passive performance analysis (alpha, hit rate, dispersion), fee &amp; expense modelling (PMS/AIF), reconciliations, cost-basis analysis, capital gains taxation (LTCG/STCG), financial statement analysis</w:t>
      </w:r>
    </w:p>
    <w:p>
      <w:pPr>
        <w:spacing w:before="32" w:after="0" w:lineRule="exact" w:line="227"/>
      </w:pPr>
      <w:r>
        <w:rPr>
          <w:rFonts w:ascii="Times New Roman" w:hAnsi="Times New Roman"/>
          <w:b/>
          <w:i w:val="0"/>
          <w:color w:val="000000"/>
          <w:sz w:val="19"/>
        </w:rPr>
        <w:t>Technical:</w:t>
      </w:r>
      <w:r>
        <w:rPr>
          <w:rFonts w:ascii="Times New Roman" w:hAnsi="Times New Roman"/>
          <w:b w:val="0"/>
          <w:i w:val="0"/>
          <w:color w:val="000000"/>
          <w:sz w:val="19"/>
        </w:rPr>
        <w:t xml:space="preserve"> Python (pandas, openpyxl), Advanced Excel (PivotTables, VLOOKUP, macros), Power BI, PowerPoint, Word</w:t>
      </w:r>
    </w:p>
    <w:p>
      <w:pPr>
        <w:spacing w:before="32" w:after="0" w:lineRule="exact" w:line="227"/>
      </w:pPr>
      <w:r>
        <w:rPr>
          <w:rFonts w:ascii="Times New Roman" w:hAnsi="Times New Roman"/>
          <w:b/>
          <w:i w:val="0"/>
          <w:color w:val="000000"/>
          <w:sz w:val="19"/>
        </w:rPr>
        <w:t>Platforms &amp; Data:</w:t>
      </w:r>
      <w:r>
        <w:rPr>
          <w:rFonts w:ascii="Times New Roman" w:hAnsi="Times New Roman"/>
          <w:b w:val="0"/>
          <w:i w:val="0"/>
          <w:color w:val="000000"/>
          <w:sz w:val="19"/>
        </w:rPr>
        <w:t xml:space="preserve"> Bloomberg Terminal (BDH/BDP), Screener.in, Chartink, TradingView</w:t>
      </w:r>
    </w:p>
    <w:p>
      <w:pPr>
        <w:spacing w:before="32" w:after="0" w:lineRule="exact" w:line="227"/>
      </w:pPr>
      <w:r>
        <w:rPr>
          <w:rFonts w:ascii="Times New Roman" w:hAnsi="Times New Roman"/>
          <w:b/>
          <w:i w:val="0"/>
          <w:color w:val="000000"/>
          <w:sz w:val="19"/>
        </w:rPr>
        <w:t>AI-Enabled Workflow:</w:t>
      </w:r>
      <w:r>
        <w:rPr>
          <w:rFonts w:ascii="Times New Roman" w:hAnsi="Times New Roman"/>
          <w:b w:val="0"/>
          <w:i w:val="0"/>
          <w:color w:val="000000"/>
          <w:sz w:val="19"/>
        </w:rPr>
        <w:t xml:space="preserve"> ChatGPT and Claude for research synthesis, data clean-up, document drafting and workflow automation</w:t>
      </w:r>
    </w:p>
    <w:p>
      <w:pPr>
        <w:spacing w:before="120" w:after="52" w:lineRule="exact" w:line="234"/>
        <w:pBdr>
          <w:bottom w:val="single" w:sz="6" w:space="1" w:color="000000"/>
        </w:pBdr>
      </w:pPr>
      <w:r>
        <w:rPr>
          <w:rFonts w:ascii="Times New Roman" w:hAnsi="Times New Roman"/>
          <w:b/>
          <w:sz w:val="20"/>
        </w:rPr>
        <w:t>ADDITIONAL INFORMATION</w:t>
      </w:r>
    </w:p>
    <w:p>
      <w:pPr>
        <w:spacing w:before="32" w:after="0" w:lineRule="exact" w:line="227"/>
      </w:pPr>
      <w:r>
        <w:rPr>
          <w:rFonts w:ascii="Times New Roman" w:hAnsi="Times New Roman"/>
          <w:b/>
          <w:i w:val="0"/>
          <w:color w:val="000000"/>
          <w:sz w:val="19"/>
        </w:rPr>
        <w:t>Strengths:</w:t>
      </w:r>
      <w:r>
        <w:rPr>
          <w:rFonts w:ascii="Times New Roman" w:hAnsi="Times New Roman"/>
          <w:b w:val="0"/>
          <w:i w:val="0"/>
          <w:color w:val="000000"/>
          <w:sz w:val="19"/>
        </w:rPr>
        <w:t xml:space="preserve"> Attention to detail and data accuracy  ·  quality review discipline  ·  deadline delivery</w:t>
      </w:r>
    </w:p>
    <w:p>
      <w:pPr>
        <w:spacing w:before="32" w:after="0" w:lineRule="exact" w:line="227"/>
      </w:pPr>
      <w:r>
        <w:rPr>
          <w:rFonts w:ascii="Times New Roman" w:hAnsi="Times New Roman"/>
          <w:b/>
          <w:i w:val="0"/>
          <w:color w:val="000000"/>
          <w:sz w:val="19"/>
        </w:rPr>
        <w:t>Working style:</w:t>
      </w:r>
      <w:r>
        <w:rPr>
          <w:rFonts w:ascii="Times New Roman" w:hAnsi="Times New Roman"/>
          <w:b w:val="0"/>
          <w:i w:val="0"/>
          <w:color w:val="000000"/>
          <w:sz w:val="19"/>
        </w:rPr>
        <w:t xml:space="preserve"> Clear written and verbal communication  ·  collaboration across diverse teams  ·  initiative and intellectual curiosity</w:t>
      </w:r>
    </w:p>
    <w:p>
      <w:pPr>
        <w:spacing w:before="32" w:after="0" w:lineRule="exact" w:line="227"/>
      </w:pPr>
      <w:r>
        <w:rPr>
          <w:rFonts w:ascii="Times New Roman" w:hAnsi="Times New Roman"/>
          <w:b/>
          <w:i w:val="0"/>
          <w:color w:val="000000"/>
          <w:sz w:val="19"/>
        </w:rPr>
        <w:t>Languages:</w:t>
      </w:r>
      <w:r>
        <w:rPr>
          <w:rFonts w:ascii="Times New Roman" w:hAnsi="Times New Roman"/>
          <w:b w:val="0"/>
          <w:i w:val="0"/>
          <w:color w:val="000000"/>
          <w:sz w:val="19"/>
        </w:rPr>
        <w:t xml:space="preserve"> English (professional)  ·  Tamil (native)  ·  Kannada (conversational)  ·  Hindi (conversational)</w:t>
      </w:r>
    </w:p>
    <w:p>
      <w:pPr>
        <w:spacing w:before="32" w:after="0" w:lineRule="exact" w:line="227"/>
      </w:pPr>
      <w:r>
        <w:rPr>
          <w:rFonts w:ascii="Times New Roman" w:hAnsi="Times New Roman"/>
          <w:b/>
          <w:i w:val="0"/>
          <w:color w:val="000000"/>
          <w:sz w:val="19"/>
        </w:rPr>
        <w:t>Additional:</w:t>
      </w:r>
      <w:r>
        <w:rPr>
          <w:rFonts w:ascii="Times New Roman" w:hAnsi="Times New Roman"/>
          <w:b w:val="0"/>
          <w:i w:val="0"/>
          <w:color w:val="000000"/>
          <w:sz w:val="19"/>
        </w:rPr>
        <w:t xml:space="preserve"> Expected graduation 2027  ·  open to full-time roles in Bengaluru  ·  interests: fine arts, home gardening</w:t>
      </w:r>
    </w:p>
    <w:sectPr w:rsidR="00FC693F" w:rsidRPr="0006063C" w:rsidSect="00034616">
      <w:pgSz w:w="11909" w:h="16834"/>
      <w:pgMar w:top="619" w:right="792" w:bottom="504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 w:eastAsia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919986578113" TargetMode="External"/><Relationship Id="rId10" Type="http://schemas.openxmlformats.org/officeDocument/2006/relationships/hyperlink" Target="mailto:sklokesh777@gmail.com" TargetMode="External"/><Relationship Id="rId11" Type="http://schemas.openxmlformats.org/officeDocument/2006/relationships/hyperlink" Target="https://www.linkedin.com/in/s-k-lokesh-a091603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 K Lokesh - Resume</dc:title>
  <dc:subject>JPMorganChase 2027 CIB Research &amp; Analytics, Securities Services - Bengaluru</dc:subject>
  <dc:creator>S K Lokesh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