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小结：叉车完成项包含五台叉车导航及插货流程的测试，并发现以下问题</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1：</w:t>
      </w:r>
    </w:p>
    <w:p>
      <w:pPr>
        <w:ind w:firstLine="420" w:firstLineChars="0"/>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叉车本身问题：编号为1号的叉车测试导航时发现叉车在行走时重心总向一侧偏移，经过测试初步定位叉车硬件不足导致，已联系维修人员现场调试叉车的驱动速率</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2：</w:t>
      </w:r>
    </w:p>
    <w:p>
      <w:pPr>
        <w:ind w:firstLine="420" w:firstLineChars="0"/>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叉车导航问题：叉车目前遇到的技术难点，调度导航时发现叉车行走速率以及导航路径规划等问题，此问题会影响精度以及行走时偏离预定通道</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3：</w:t>
      </w:r>
    </w:p>
    <w:p>
      <w:pPr>
        <w:ind w:firstLine="420" w:firstLineChars="0"/>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叉车精度问题：在进行叉车插货时由于叉齿与托盘插孔的两边的距离以及设备放置托盘的工位和缓存区储位的精度大致为50mm，多次测试后发现对接的精度在累积误差和定位的影响下很难达到50mm，此问题会影响叉车的调度任务无法完成会出现一系列问题</w:t>
      </w:r>
    </w:p>
    <w:p>
      <w:pPr>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 xml:space="preserve">4： </w:t>
      </w:r>
    </w:p>
    <w:p>
      <w:pPr>
        <w:ind w:firstLine="420" w:firstLineChars="0"/>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叉车激光问题：在测试时发现程序启动时会有一个默认速度一直在执行，会导致odom飘，定位丢失</w:t>
      </w:r>
      <w:bookmarkStart w:id="0" w:name="_GoBack"/>
      <w:bookmarkEnd w:id="0"/>
    </w:p>
    <w:p>
      <w:pPr>
        <w:ind w:firstLine="420" w:firstLineChars="0"/>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上述问题已反馈给相关技术人员，待商定解决办法</w:t>
      </w:r>
    </w:p>
    <w:p>
      <w:pPr>
        <w:rPr>
          <w:rFonts w:hint="eastAsia" w:ascii="新宋体" w:hAnsi="新宋体" w:eastAsia="新宋体" w:cs="新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D0A15"/>
    <w:rsid w:val="2BF05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85797</dc:creator>
  <cp:lastModifiedBy>余生不输他人</cp:lastModifiedBy>
  <dcterms:modified xsi:type="dcterms:W3CDTF">2019-01-10T10:08:20Z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