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64"/>
        </w:rPr>
        <w:t>Project TRINITY</w:t>
        <w:br/>
      </w:r>
    </w:p>
    <w:p>
      <w:pPr>
        <w:jc w:val="center"/>
      </w:pPr>
      <w:r>
        <w:rPr>
          <w:color w:val="B8860B"/>
          <w:sz w:val="32"/>
        </w:rPr>
        <w:t>Market Sizing: TAM / SAM / SOM</w:t>
        <w:br/>
      </w:r>
    </w:p>
    <w:p>
      <w:pPr>
        <w:jc w:val="center"/>
      </w:pPr>
      <w:r>
        <w:rPr>
          <w:color w:val="555F6E"/>
          <w:sz w:val="20"/>
        </w:rPr>
        <w:t>August 2026 | SIA / Mandal Holdings | Working Draft</w:t>
        <w:br/>
      </w:r>
    </w:p>
    <w:p>
      <w:r>
        <w:t>All figures [ESTIMATE] unless flagged [VERIFIED]. Directional for planning; bottom-up vertical sheets follow in the financial workbook.</w:t>
      </w:r>
    </w:p>
    <w:p>
      <w:pPr>
        <w:pStyle w:val="Heading1"/>
      </w:pPr>
      <w:r>
        <w:rPr>
          <w:color w:val="0F1B2D"/>
          <w:sz w:val="36"/>
        </w:rPr>
        <w:t>1. Methodology</w:t>
      </w:r>
    </w:p>
    <w:p>
      <w:r>
        <w:t>Standard TAM→SAM→SOM funnel. TAM = top-down published India AI spend. SAM = serviceable segments we can actually reach with our delivery model (on-device, sovereign aligned, SDK/agents). SOM = conservative capture (1% of SAM by year 5, phased by pillar). Bottom-up vertical sheets (health/edu/agri/defence/gov) refine SAM by use case in the financial workbook.</w:t>
      </w:r>
    </w:p>
    <w:p>
      <w:pPr>
        <w:pStyle w:val="Heading1"/>
      </w:pPr>
      <w:r>
        <w:rPr>
          <w:color w:val="0F1B2D"/>
          <w:sz w:val="36"/>
        </w:rPr>
        <w:t>2. Total Addressable Market (TAM)</w:t>
      </w:r>
    </w:p>
    <w:p>
      <w:pPr>
        <w:pStyle w:val="Heading2"/>
      </w:pPr>
      <w:r>
        <w:rPr>
          <w:color w:val="B8860B"/>
          <w:sz w:val="28"/>
        </w:rPr>
        <w:t>2.1 India AI spend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2026E</w:t>
            </w:r>
          </w:p>
        </w:tc>
        <w:tc>
          <w:tcPr>
            <w:tcW w:type="dxa" w:w="2160"/>
          </w:tcPr>
          <w:p>
            <w:r>
              <w:t>2030E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India AI total spend (compute+models+apps+services)</w:t>
            </w:r>
          </w:p>
        </w:tc>
        <w:tc>
          <w:tcPr>
            <w:tcW w:type="dxa" w:w="2160"/>
          </w:tcPr>
          <w:p>
            <w:r>
              <w:t>$12–15B</w:t>
            </w:r>
          </w:p>
        </w:tc>
        <w:tc>
          <w:tcPr>
            <w:tcW w:type="dxa" w:w="2160"/>
          </w:tcPr>
          <w:p>
            <w:r>
              <w:t>$25–40B</w:t>
            </w:r>
          </w:p>
        </w:tc>
        <w:tc>
          <w:tcPr>
            <w:tcW w:type="dxa" w:w="2160"/>
          </w:tcPr>
          <w:p>
            <w:r>
              <w:t>Analyst consensus [VERIFIED direction]</w:t>
            </w:r>
          </w:p>
        </w:tc>
      </w:tr>
      <w:tr>
        <w:tc>
          <w:tcPr>
            <w:tcW w:type="dxa" w:w="2160"/>
          </w:tcPr>
          <w:p>
            <w:r>
              <w:t>Global AI market</w:t>
            </w:r>
          </w:p>
        </w:tc>
        <w:tc>
          <w:tcPr>
            <w:tcW w:type="dxa" w:w="2160"/>
          </w:tcPr>
          <w:p>
            <w:r>
              <w:t>$300–400B</w:t>
            </w:r>
          </w:p>
        </w:tc>
        <w:tc>
          <w:tcPr>
            <w:tcW w:type="dxa" w:w="2160"/>
          </w:tcPr>
          <w:p>
            <w:r>
              <w:t>$800B+</w:t>
            </w:r>
          </w:p>
        </w:tc>
        <w:tc>
          <w:tcPr>
            <w:tcW w:type="dxa" w:w="2160"/>
          </w:tcPr>
          <w:p>
            <w:r>
              <w:t>Multiple analysts [VERIFIED direction]</w:t>
            </w:r>
          </w:p>
        </w:tc>
      </w:tr>
    </w:tbl>
    <w:p/>
    <w:p>
      <w:r>
        <w:t>TAM framing: every rupee India spends on AI — public and private — is addressable by a full-stack Indian player. The current dependency on foreign cloud is the wedge.</w:t>
      </w:r>
    </w:p>
    <w:p>
      <w:pPr>
        <w:pStyle w:val="Heading2"/>
      </w:pPr>
      <w:r>
        <w:rPr>
          <w:color w:val="B8860B"/>
          <w:sz w:val="28"/>
        </w:rPr>
        <w:t>2.2 TAM nuances for TRINITY</w:t>
      </w:r>
    </w:p>
    <w:p>
      <w:pPr>
        <w:pStyle w:val="ListBullet"/>
      </w:pPr>
      <w:r>
        <w:t>We are not 'a piece of AI spend' — we can capture multiple layers of it (compute margin + model margin + application margin).</w:t>
      </w:r>
    </w:p>
    <w:p>
      <w:pPr>
        <w:pStyle w:val="ListBullet"/>
      </w:pPr>
      <w:r>
        <w:t>Government segment is TAM-relevant and hardest for foreigners — sovereign premium applies.</w:t>
      </w:r>
    </w:p>
    <w:p>
      <w:pPr>
        <w:pStyle w:val="Heading1"/>
      </w:pPr>
      <w:r>
        <w:rPr>
          <w:color w:val="0F1B2D"/>
          <w:sz w:val="36"/>
        </w:rPr>
        <w:t>3. Serviceable Addressable Market (SAM)</w:t>
      </w:r>
    </w:p>
    <w:p>
      <w:pPr>
        <w:pStyle w:val="Heading2"/>
      </w:pPr>
      <w:r>
        <w:rPr>
          <w:color w:val="B8860B"/>
          <w:sz w:val="28"/>
        </w:rPr>
        <w:t>3.1 SAM by delivery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2028E SAM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Enterprise AI (B2B + gov)</w:t>
            </w:r>
          </w:p>
        </w:tc>
        <w:tc>
          <w:tcPr>
            <w:tcW w:type="dxa" w:w="2880"/>
          </w:tcPr>
          <w:p>
            <w:r>
              <w:t>$3–5B</w:t>
            </w:r>
          </w:p>
        </w:tc>
        <w:tc>
          <w:tcPr>
            <w:tcW w:type="dxa" w:w="2880"/>
          </w:tcPr>
          <w:p>
            <w:r>
              <w:t>SIA Pro + agents + contracts</w:t>
            </w:r>
          </w:p>
        </w:tc>
      </w:tr>
      <w:tr>
        <w:tc>
          <w:tcPr>
            <w:tcW w:type="dxa" w:w="2880"/>
          </w:tcPr>
          <w:p>
            <w:r>
              <w:t>On-device/Indian-language AI</w:t>
            </w:r>
          </w:p>
        </w:tc>
        <w:tc>
          <w:tcPr>
            <w:tcW w:type="dxa" w:w="2880"/>
          </w:tcPr>
          <w:p>
            <w:r>
              <w:t>$1–2B</w:t>
            </w:r>
          </w:p>
        </w:tc>
        <w:tc>
          <w:tcPr>
            <w:tcW w:type="dxa" w:w="2880"/>
          </w:tcPr>
          <w:p>
            <w:r>
              <w:t>SIA Edge; low-end phones offline</w:t>
            </w:r>
          </w:p>
        </w:tc>
      </w:tr>
      <w:tr>
        <w:tc>
          <w:tcPr>
            <w:tcW w:type="dxa" w:w="2880"/>
          </w:tcPr>
          <w:p>
            <w:r>
              <w:t>Developer/SDK embedded AI</w:t>
            </w:r>
          </w:p>
        </w:tc>
        <w:tc>
          <w:tcPr>
            <w:tcW w:type="dxa" w:w="2880"/>
          </w:tcPr>
          <w:p>
            <w:r>
              <w:t>$0.5–1B</w:t>
            </w:r>
          </w:p>
        </w:tc>
        <w:tc>
          <w:tcPr>
            <w:tcW w:type="dxa" w:w="2880"/>
          </w:tcPr>
          <w:p>
            <w:r>
              <w:t>SIA Studio; OEM/IoT</w:t>
            </w:r>
          </w:p>
        </w:tc>
      </w:tr>
      <w:tr>
        <w:tc>
          <w:tcPr>
            <w:tcW w:type="dxa" w:w="2880"/>
          </w:tcPr>
          <w:p>
            <w:r>
              <w:t>TOTAL SAM</w:t>
            </w:r>
          </w:p>
        </w:tc>
        <w:tc>
          <w:tcPr>
            <w:tcW w:type="dxa" w:w="2880"/>
          </w:tcPr>
          <w:p>
            <w:r>
              <w:t>~$4–6B</w:t>
            </w:r>
          </w:p>
        </w:tc>
        <w:tc>
          <w:tcPr>
            <w:tcW w:type="dxa" w:w="2880"/>
          </w:tcPr>
          <w:p>
            <w:r>
              <w:t>Wedge = sovereignty + privacy + Indic</w:t>
            </w:r>
          </w:p>
        </w:tc>
      </w:tr>
    </w:tbl>
    <w:p/>
    <w:p>
      <w:pPr>
        <w:pStyle w:val="Heading2"/>
      </w:pPr>
      <w:r>
        <w:rPr>
          <w:color w:val="B8860B"/>
          <w:sz w:val="28"/>
        </w:rPr>
        <w:t>3.2 What SAM excludes</w:t>
      </w:r>
    </w:p>
    <w:p>
      <w:pPr>
        <w:pStyle w:val="ListBullet"/>
      </w:pPr>
      <w:r>
        <w:t>Foreign-cloud-only workloads we can't serve (migrated later)</w:t>
      </w:r>
    </w:p>
    <w:p>
      <w:pPr>
        <w:pStyle w:val="ListBullet"/>
      </w:pPr>
      <w:r>
        <w:t>Consumer AI spend in top-tier broadband markets (US/EU)</w:t>
      </w:r>
    </w:p>
    <w:p>
      <w:pPr>
        <w:pStyle w:val="ListBullet"/>
      </w:pPr>
      <w:r>
        <w:t>Generic GPU rental markets outside India (deliberate scope)</w:t>
      </w:r>
    </w:p>
    <w:p>
      <w:pPr>
        <w:pStyle w:val="Heading1"/>
      </w:pPr>
      <w:r>
        <w:rPr>
          <w:color w:val="0F1B2D"/>
          <w:sz w:val="36"/>
        </w:rPr>
        <w:t>4. Serviceable Obtainable Market (SOM)</w:t>
      </w:r>
    </w:p>
    <w:p>
      <w:pPr>
        <w:pStyle w:val="Heading2"/>
      </w:pPr>
      <w:r>
        <w:rPr>
          <w:color w:val="B8860B"/>
          <w:sz w:val="28"/>
        </w:rPr>
        <w:t>4.1 Capture (5-year)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Sam capture</w:t>
            </w:r>
          </w:p>
        </w:tc>
        <w:tc>
          <w:tcPr>
            <w:tcW w:type="dxa" w:w="2160"/>
          </w:tcPr>
          <w:p>
            <w:r>
              <w:t>SOM (illustrative)</w:t>
            </w:r>
          </w:p>
        </w:tc>
        <w:tc>
          <w:tcPr>
            <w:tcW w:type="dxa" w:w="2160"/>
          </w:tcPr>
          <w:p>
            <w:r>
              <w:t>₹ equiv</w:t>
            </w:r>
          </w:p>
        </w:tc>
      </w:tr>
      <w:tr>
        <w:tc>
          <w:tcPr>
            <w:tcW w:type="dxa" w:w="2160"/>
          </w:tcPr>
          <w:p>
            <w:r>
              <w:t>Y1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₹0</w:t>
            </w:r>
          </w:p>
        </w:tc>
      </w:tr>
      <w:tr>
        <w:tc>
          <w:tcPr>
            <w:tcW w:type="dxa" w:w="2160"/>
          </w:tcPr>
          <w:p>
            <w:r>
              <w:t>Y2</w:t>
            </w:r>
          </w:p>
        </w:tc>
        <w:tc>
          <w:tcPr>
            <w:tcW w:type="dxa" w:w="2160"/>
          </w:tcPr>
          <w:p>
            <w:r>
              <w:t>0.2%</w:t>
            </w:r>
          </w:p>
        </w:tc>
        <w:tc>
          <w:tcPr>
            <w:tcW w:type="dxa" w:w="2160"/>
          </w:tcPr>
          <w:p>
            <w:r>
              <w:t>$8–12M</w:t>
            </w:r>
          </w:p>
        </w:tc>
        <w:tc>
          <w:tcPr>
            <w:tcW w:type="dxa" w:w="2160"/>
          </w:tcPr>
          <w:p>
            <w:r>
              <w:t>₹70–100 Cr</w:t>
            </w:r>
          </w:p>
        </w:tc>
      </w:tr>
      <w:tr>
        <w:tc>
          <w:tcPr>
            <w:tcW w:type="dxa" w:w="2160"/>
          </w:tcPr>
          <w:p>
            <w:r>
              <w:t>Y3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2160"/>
          </w:tcPr>
          <w:p>
            <w:r>
              <w:t>$20–30M</w:t>
            </w:r>
          </w:p>
        </w:tc>
        <w:tc>
          <w:tcPr>
            <w:tcW w:type="dxa" w:w="2160"/>
          </w:tcPr>
          <w:p>
            <w:r>
              <w:t>₹170–250 Cr</w:t>
            </w:r>
          </w:p>
        </w:tc>
      </w:tr>
      <w:tr>
        <w:tc>
          <w:tcPr>
            <w:tcW w:type="dxa" w:w="2160"/>
          </w:tcPr>
          <w:p>
            <w:r>
              <w:t>Y5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$40–60M</w:t>
            </w:r>
          </w:p>
        </w:tc>
        <w:tc>
          <w:tcPr>
            <w:tcW w:type="dxa" w:w="2160"/>
          </w:tcPr>
          <w:p>
            <w:r>
              <w:t>₹330–500 Cr</w:t>
            </w:r>
          </w:p>
        </w:tc>
      </w:tr>
      <w:tr>
        <w:tc>
          <w:tcPr>
            <w:tcW w:type="dxa" w:w="2160"/>
          </w:tcPr>
          <w:p>
            <w:r>
              <w:t>Y10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$100–150M</w:t>
            </w:r>
          </w:p>
        </w:tc>
        <w:tc>
          <w:tcPr>
            <w:tcW w:type="dxa" w:w="2160"/>
          </w:tcPr>
          <w:p>
            <w:r>
              <w:t>₹830–1,250 Cr</w:t>
            </w:r>
          </w:p>
        </w:tc>
      </w:tr>
    </w:tbl>
    <w:p/>
    <w:p>
      <w:r>
        <w:t>SOM aligns to the funding ladder: ₹100–500 Cr Scale stage maps to year-3-ish SOM. Y5 1% is a conservative, defensible capture rate for a first-mover sovereign player.</w:t>
      </w:r>
    </w:p>
    <w:p>
      <w:pPr>
        <w:pStyle w:val="Heading2"/>
      </w:pPr>
      <w:r>
        <w:rPr>
          <w:color w:val="B8860B"/>
          <w:sz w:val="28"/>
        </w:rPr>
        <w:t>4.2 Bottom-up sanity check (one line)</w:t>
      </w:r>
    </w:p>
    <w:p>
      <w:r>
        <w:t>1% of SAM = ~$50M = roughly 100 enterprise/gov accounts at $0.5M ACV, or 10M consumers at ~$5/yr — internally consistent with the revenue build.</w:t>
      </w:r>
    </w:p>
    <w:p>
      <w:pPr>
        <w:pStyle w:val="Heading1"/>
      </w:pPr>
      <w:r>
        <w:rPr>
          <w:color w:val="0F1B2D"/>
          <w:sz w:val="36"/>
        </w:rPr>
        <w:t>5. Vertical Breakdown (to be completed in financial workbook)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Vertical</w:t>
            </w:r>
          </w:p>
        </w:tc>
        <w:tc>
          <w:tcPr>
            <w:tcW w:type="dxa" w:w="2160"/>
          </w:tcPr>
          <w:p>
            <w:r>
              <w:t>TAM element</w:t>
            </w:r>
          </w:p>
        </w:tc>
        <w:tc>
          <w:tcPr>
            <w:tcW w:type="dxa" w:w="2160"/>
          </w:tcPr>
          <w:p>
            <w:r>
              <w:t>SAM driver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Enterprise AI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  <w:tc>
          <w:tcPr>
            <w:tcW w:type="dxa" w:w="2160"/>
          </w:tcPr>
          <w:p>
            <w:r>
              <w:t>PoC pipeline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Government digital missions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  <w:tc>
          <w:tcPr>
            <w:tcW w:type="dxa" w:w="2160"/>
          </w:tcPr>
          <w:p>
            <w:r>
              <w:t>Sovereign RFPs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Healthcare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  <w:tc>
          <w:tcPr>
            <w:tcW w:type="dxa" w:w="2160"/>
          </w:tcPr>
          <w:p>
            <w:r>
              <w:t>CLINIC + rural</w:t>
            </w:r>
          </w:p>
        </w:tc>
        <w:tc>
          <w:tcPr>
            <w:tcW w:type="dxa" w:w="2160"/>
          </w:tcPr>
          <w:p>
            <w:r>
              <w:t>TODO bottom-up</w:t>
            </w:r>
          </w:p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  <w:tc>
          <w:tcPr>
            <w:tcW w:type="dxa" w:w="2160"/>
          </w:tcPr>
          <w:p>
            <w:r>
              <w:t>Vernacular</w:t>
            </w:r>
          </w:p>
        </w:tc>
        <w:tc>
          <w:tcPr>
            <w:tcW w:type="dxa" w:w="2160"/>
          </w:tcPr>
          <w:p>
            <w:r>
              <w:t>TODO bottom-up</w:t>
            </w:r>
          </w:p>
        </w:tc>
      </w:tr>
      <w:tr>
        <w:tc>
          <w:tcPr>
            <w:tcW w:type="dxa" w:w="2160"/>
          </w:tcPr>
          <w:p>
            <w:r>
              <w:t>Agriculture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  <w:tc>
          <w:tcPr>
            <w:tcW w:type="dxa" w:w="2160"/>
          </w:tcPr>
          <w:p>
            <w:r>
              <w:t>Advisory on-device</w:t>
            </w:r>
          </w:p>
        </w:tc>
        <w:tc>
          <w:tcPr>
            <w:tcW w:type="dxa" w:w="2160"/>
          </w:tcPr>
          <w:p>
            <w:r>
              <w:t>TODO bottom-up</w:t>
            </w:r>
          </w:p>
        </w:tc>
      </w:tr>
      <w:tr>
        <w:tc>
          <w:tcPr>
            <w:tcW w:type="dxa" w:w="2160"/>
          </w:tcPr>
          <w:p>
            <w:r>
              <w:t>Defence/security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  <w:tc>
          <w:tcPr>
            <w:tcW w:type="dxa" w:w="2160"/>
          </w:tcPr>
          <w:p>
            <w:r>
              <w:t>Sovereign edge</w:t>
            </w:r>
          </w:p>
        </w:tc>
        <w:tc>
          <w:tcPr>
            <w:tcW w:type="dxa" w:w="2160"/>
          </w:tcPr>
          <w:p>
            <w:r>
              <w:t>TODO bottom-up</w:t>
            </w:r>
          </w:p>
        </w:tc>
      </w:tr>
    </w:tbl>
    <w:p/>
    <w:p>
      <w:r>
        <w:t>Bottom-up sheets per vertical with device counts, price points, and adoption assumptions.</w:t>
      </w:r>
    </w:p>
    <w:p>
      <w:pPr>
        <w:pStyle w:val="Heading1"/>
      </w:pPr>
      <w:r>
        <w:rPr>
          <w:color w:val="0F1B2D"/>
          <w:sz w:val="36"/>
        </w:rPr>
        <w:t>6. Sources &amp; Assumptions</w:t>
      </w:r>
    </w:p>
    <w:p>
      <w:pPr>
        <w:pStyle w:val="ListBullet"/>
      </w:pPr>
      <w:r>
        <w:t>IndiaAI Mission: 34,000+ GPUs, 367+ datasets, 20 sovereign models [VERIFIED Aug 2026]</w:t>
      </w:r>
    </w:p>
    <w:p>
      <w:pPr>
        <w:pStyle w:val="ListBullet"/>
      </w:pPr>
      <w:r>
        <w:t>India AI market &gt;25%/yr growth [VERIFIED direction — analysts]</w:t>
      </w:r>
    </w:p>
    <w:p>
      <w:pPr>
        <w:pStyle w:val="ListBullet"/>
      </w:pPr>
      <w:r>
        <w:t>DPDP 2023 as compliance driver [VERIFIED regulation]</w:t>
      </w:r>
    </w:p>
    <w:p>
      <w:pPr>
        <w:pStyle w:val="ListBullet"/>
      </w:pPr>
      <w:r>
        <w:t>Access: 900M+ users rely on lower-bandwidth/mobile-first internet [VERIFIED context]</w:t>
      </w:r>
    </w:p>
    <w:p>
      <w:r>
        <w:t>Each number above is an estimate for planning; validate with named reports when presenting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