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4"/>
        </w:rPr>
        <w:t>Project TRINITY</w:t>
        <w:br/>
      </w:r>
    </w:p>
    <w:p>
      <w:pPr>
        <w:jc w:val="center"/>
      </w:pPr>
      <w:r>
        <w:rPr>
          <w:color w:val="B8860B"/>
          <w:sz w:val="32"/>
        </w:rPr>
        <w:t>Valuation Strategy — Outline</w:t>
        <w:br/>
      </w:r>
    </w:p>
    <w:p>
      <w:pPr>
        <w:jc w:val="center"/>
      </w:pPr>
      <w:r>
        <w:rPr>
          <w:color w:val="555F6E"/>
          <w:sz w:val="20"/>
        </w:rPr>
        <w:t>August 2026 | SIA / Mandal Holdings | Working Draft</w:t>
        <w:br/>
      </w:r>
    </w:p>
    <w:p>
      <w:r>
        <w:t>Valuation approach, methods, levers, and a cap-table path. Figures [ESTIMATE] unless flagged. Final model to be built once DPIIT registration and first pilot exist.</w:t>
      </w:r>
    </w:p>
    <w:p>
      <w:pPr>
        <w:pStyle w:val="Heading1"/>
      </w:pPr>
      <w:r>
        <w:rPr>
          <w:color w:val="0F1B2D"/>
          <w:sz w:val="36"/>
        </w:rPr>
        <w:t>1. Valuation Philosophy</w:t>
      </w:r>
    </w:p>
    <w:p>
      <w:pPr>
        <w:pStyle w:val="ListBullet"/>
      </w:pPr>
      <w:r>
        <w:t>Not a revenue-multiple on year-1 revenue — there is none. This is infrastructure + frontier-tech: value by milestone-backed assets and strategic optionality.</w:t>
      </w:r>
    </w:p>
    <w:p>
      <w:pPr>
        <w:pStyle w:val="ListBullet"/>
      </w:pPr>
      <w:r>
        <w:t>Sovereign/strategic premium: Indian ownership of AI stack is an asset class of its own for government and strategic investors.</w:t>
      </w:r>
    </w:p>
    <w:p>
      <w:pPr>
        <w:pStyle w:val="ListBullet"/>
      </w:pPr>
      <w:r>
        <w:t>Phased re-rate: each milestone (pilot, patent, model quality, GPU cluster) justifies a step up in valuation.</w:t>
      </w:r>
    </w:p>
    <w:p>
      <w:pPr>
        <w:pStyle w:val="Heading1"/>
      </w:pPr>
      <w:r>
        <w:rPr>
          <w:color w:val="0F1B2D"/>
          <w:sz w:val="36"/>
        </w:rPr>
        <w:t>2. Valuation Methods (blend)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How</w:t>
            </w:r>
          </w:p>
        </w:tc>
        <w:tc>
          <w:tcPr>
            <w:tcW w:type="dxa" w:w="2880"/>
          </w:tcPr>
          <w:p>
            <w:r>
              <w:t>Place in blend</w:t>
            </w:r>
          </w:p>
        </w:tc>
      </w:tr>
      <w:tr>
        <w:tc>
          <w:tcPr>
            <w:tcW w:type="dxa" w:w="2880"/>
          </w:tcPr>
          <w:p>
            <w:r>
              <w:t>DCF</w:t>
            </w:r>
          </w:p>
        </w:tc>
        <w:tc>
          <w:tcPr>
            <w:tcW w:type="dxa" w:w="2880"/>
          </w:tcPr>
          <w:p>
            <w:r>
              <w:t>Long-horizon 10-yr cash flows from financial model, phase-gated discounting</w:t>
            </w:r>
          </w:p>
        </w:tc>
        <w:tc>
          <w:tcPr>
            <w:tcW w:type="dxa" w:w="2880"/>
          </w:tcPr>
          <w:p>
            <w:r>
              <w:t>Anchor for later stages</w:t>
            </w:r>
          </w:p>
        </w:tc>
      </w:tr>
      <w:tr>
        <w:tc>
          <w:tcPr>
            <w:tcW w:type="dxa" w:w="2880"/>
          </w:tcPr>
          <w:p>
            <w:r>
              <w:t>Comparables</w:t>
            </w:r>
          </w:p>
        </w:tc>
        <w:tc>
          <w:tcPr>
            <w:tcW w:type="dxa" w:w="2880"/>
          </w:tcPr>
          <w:p>
            <w:r>
              <w:t>AI-infra (CoreWeave, Groq), applied AI (Palantir-class), Indian AI startups</w:t>
            </w:r>
          </w:p>
        </w:tc>
        <w:tc>
          <w:tcPr>
            <w:tcW w:type="dxa" w:w="2880"/>
          </w:tcPr>
          <w:p>
            <w:r>
              <w:t>Cross-check</w:t>
            </w:r>
          </w:p>
        </w:tc>
      </w:tr>
      <w:tr>
        <w:tc>
          <w:tcPr>
            <w:tcW w:type="dxa" w:w="2880"/>
          </w:tcPr>
          <w:p>
            <w:r>
              <w:t>Precedent transactions</w:t>
            </w:r>
          </w:p>
        </w:tc>
        <w:tc>
          <w:tcPr>
            <w:tcW w:type="dxa" w:w="2880"/>
          </w:tcPr>
          <w:p>
            <w:r>
              <w:t>Recent India AI deals / acquisition prices in segment</w:t>
            </w:r>
          </w:p>
        </w:tc>
        <w:tc>
          <w:tcPr>
            <w:tcW w:type="dxa" w:w="2880"/>
          </w:tcPr>
          <w:p>
            <w:r>
              <w:t>Sentiment check</w:t>
            </w:r>
          </w:p>
        </w:tc>
      </w:tr>
      <w:tr>
        <w:tc>
          <w:tcPr>
            <w:tcW w:type="dxa" w:w="2880"/>
          </w:tcPr>
          <w:p>
            <w:r>
              <w:t>VC / risk-adjusted method</w:t>
            </w:r>
          </w:p>
        </w:tc>
        <w:tc>
          <w:tcPr>
            <w:tcW w:type="dxa" w:w="2880"/>
          </w:tcPr>
          <w:p>
            <w:r>
              <w:t>Exit value → with dilution waterfall and required return</w:t>
            </w:r>
          </w:p>
        </w:tc>
        <w:tc>
          <w:tcPr>
            <w:tcW w:type="dxa" w:w="2880"/>
          </w:tcPr>
          <w:p>
            <w:r>
              <w:t>Round-size shaping</w:t>
            </w:r>
          </w:p>
        </w:tc>
      </w:tr>
    </w:tbl>
    <w:p/>
    <w:p>
      <w:r>
        <w:t>No single method is decisive; triangulation is the honest answer.</w:t>
      </w:r>
    </w:p>
    <w:p>
      <w:pPr>
        <w:pStyle w:val="Heading1"/>
      </w:pPr>
      <w:r>
        <w:rPr>
          <w:color w:val="0F1B2D"/>
          <w:sz w:val="36"/>
        </w:rPr>
        <w:t>3. Valuation Levers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Lever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Signed gov/enterprise contracts</w:t>
            </w:r>
          </w:p>
        </w:tc>
        <w:tc>
          <w:tcPr>
            <w:tcW w:type="dxa" w:w="2880"/>
          </w:tcPr>
          <w:p>
            <w:r>
              <w:t>High — removes adoption risk</w:t>
            </w:r>
          </w:p>
        </w:tc>
        <w:tc>
          <w:tcPr>
            <w:tcW w:type="dxa" w:w="2880"/>
          </w:tcPr>
          <w:p>
            <w:r>
              <w:t>1–2 contracts</w:t>
            </w:r>
          </w:p>
        </w:tc>
      </w:tr>
      <w:tr>
        <w:tc>
          <w:tcPr>
            <w:tcW w:type="dxa" w:w="2880"/>
          </w:tcPr>
          <w:p>
            <w:r>
              <w:t>Deployed edge model (≥95% tool-acc)</w:t>
            </w:r>
          </w:p>
        </w:tc>
        <w:tc>
          <w:tcPr>
            <w:tcW w:type="dxa" w:w="2880"/>
          </w:tcPr>
          <w:p>
            <w:r>
              <w:t>High — technical proof</w:t>
            </w:r>
          </w:p>
        </w:tc>
        <w:tc>
          <w:tcPr>
            <w:tcW w:type="dxa" w:w="2880"/>
          </w:tcPr>
          <w:p>
            <w:r>
              <w:t>Model eval pass</w:t>
            </w:r>
          </w:p>
        </w:tc>
      </w:tr>
      <w:tr>
        <w:tc>
          <w:tcPr>
            <w:tcW w:type="dxa" w:w="2880"/>
          </w:tcPr>
          <w:p>
            <w:r>
              <w:t>GPU cluster in operation</w:t>
            </w:r>
          </w:p>
        </w:tc>
        <w:tc>
          <w:tcPr>
            <w:tcW w:type="dxa" w:w="2880"/>
          </w:tcPr>
          <w:p>
            <w:r>
              <w:t>High — asset-backed</w:t>
            </w:r>
          </w:p>
        </w:tc>
        <w:tc>
          <w:tcPr>
            <w:tcW w:type="dxa" w:w="2880"/>
          </w:tcPr>
          <w:p>
            <w:r>
              <w:t>100–500 GPU</w:t>
            </w:r>
          </w:p>
        </w:tc>
      </w:tr>
      <w:tr>
        <w:tc>
          <w:tcPr>
            <w:tcW w:type="dxa" w:w="2880"/>
          </w:tcPr>
          <w:p>
            <w:r>
              <w:t>Patents granted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First 2–4 filings</w:t>
            </w:r>
          </w:p>
        </w:tc>
      </w:tr>
      <w:tr>
        <w:tc>
          <w:tcPr>
            <w:tcW w:type="dxa" w:w="2880"/>
          </w:tcPr>
          <w:p>
            <w:r>
              <w:t>DPIIT/Startup India + grants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Certificates</w:t>
            </w:r>
          </w:p>
        </w:tc>
      </w:tr>
      <w:tr>
        <w:tc>
          <w:tcPr>
            <w:tcW w:type="dxa" w:w="2880"/>
          </w:tcPr>
          <w:p>
            <w:r>
              <w:t>Revenue/ARR</w:t>
            </w:r>
          </w:p>
        </w:tc>
        <w:tc>
          <w:tcPr>
            <w:tcW w:type="dxa" w:w="2880"/>
          </w:tcPr>
          <w:p>
            <w:r>
              <w:t>High after its start</w:t>
            </w:r>
          </w:p>
        </w:tc>
        <w:tc>
          <w:tcPr>
            <w:tcW w:type="dxa" w:w="2880"/>
          </w:tcPr>
          <w:p>
            <w:r>
              <w:t>First paid pilot</w:t>
            </w:r>
          </w:p>
        </w:tc>
      </w:tr>
    </w:tbl>
    <w:p/>
    <w:p>
      <w:r>
        <w:t>Every lever is tied to a milestone we control.</w:t>
      </w:r>
    </w:p>
    <w:p>
      <w:pPr>
        <w:pStyle w:val="Heading1"/>
      </w:pPr>
      <w:r>
        <w:rPr>
          <w:color w:val="0F1B2D"/>
          <w:sz w:val="36"/>
        </w:rPr>
        <w:t>4. Illustrative Stage Ranges [ESTIMATE]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Ask</w:t>
            </w:r>
          </w:p>
        </w:tc>
        <w:tc>
          <w:tcPr>
            <w:tcW w:type="dxa" w:w="2160"/>
          </w:tcPr>
          <w:p>
            <w:r>
              <w:t>Illustrative post-money</w:t>
            </w:r>
          </w:p>
        </w:tc>
        <w:tc>
          <w:tcPr>
            <w:tcW w:type="dxa" w:w="2160"/>
          </w:tcPr>
          <w:p>
            <w:r>
              <w:t>Multiple basis</w:t>
            </w:r>
          </w:p>
        </w:tc>
      </w:tr>
      <w:tr>
        <w:tc>
          <w:tcPr>
            <w:tcW w:type="dxa" w:w="2160"/>
          </w:tcPr>
          <w:p>
            <w:r>
              <w:t>Pre-seed/MVP</w:t>
            </w:r>
          </w:p>
        </w:tc>
        <w:tc>
          <w:tcPr>
            <w:tcW w:type="dxa" w:w="2160"/>
          </w:tcPr>
          <w:p>
            <w:r>
              <w:t>₹2–10 Cr</w:t>
            </w:r>
          </w:p>
        </w:tc>
        <w:tc>
          <w:tcPr>
            <w:tcW w:type="dxa" w:w="2160"/>
          </w:tcPr>
          <w:p>
            <w:r>
              <w:t>₹15–40 Cr</w:t>
            </w:r>
          </w:p>
        </w:tc>
        <w:tc>
          <w:tcPr>
            <w:tcW w:type="dxa" w:w="2160"/>
          </w:tcPr>
          <w:p>
            <w:r>
              <w:t>Milestone/asset-based</w:t>
            </w:r>
          </w:p>
        </w:tc>
      </w:tr>
      <w:tr>
        <w:tc>
          <w:tcPr>
            <w:tcW w:type="dxa" w:w="2160"/>
          </w:tcPr>
          <w:p>
            <w:r>
              <w:t>Seed/Growth</w:t>
            </w:r>
          </w:p>
        </w:tc>
        <w:tc>
          <w:tcPr>
            <w:tcW w:type="dxa" w:w="2160"/>
          </w:tcPr>
          <w:p>
            <w:r>
              <w:t>₹25–100 Cr</w:t>
            </w:r>
          </w:p>
        </w:tc>
        <w:tc>
          <w:tcPr>
            <w:tcW w:type="dxa" w:w="2160"/>
          </w:tcPr>
          <w:p>
            <w:r>
              <w:t>₹100–250 Cr</w:t>
            </w:r>
          </w:p>
        </w:tc>
        <w:tc>
          <w:tcPr>
            <w:tcW w:type="dxa" w:w="2160"/>
          </w:tcPr>
          <w:p>
            <w:r>
              <w:t>Pilots + 1 gov contract</w:t>
            </w:r>
          </w:p>
        </w:tc>
      </w:tr>
      <w:tr>
        <w:tc>
          <w:tcPr>
            <w:tcW w:type="dxa" w:w="2160"/>
          </w:tcPr>
          <w:p>
            <w:r>
              <w:t>Series A / Scale</w:t>
            </w:r>
          </w:p>
        </w:tc>
        <w:tc>
          <w:tcPr>
            <w:tcW w:type="dxa" w:w="2160"/>
          </w:tcPr>
          <w:p>
            <w:r>
              <w:t>₹100–500 Cr</w:t>
            </w:r>
          </w:p>
        </w:tc>
        <w:tc>
          <w:tcPr>
            <w:tcW w:type="dxa" w:w="2160"/>
          </w:tcPr>
          <w:p>
            <w:r>
              <w:t>₹500–1,500 Cr</w:t>
            </w:r>
          </w:p>
        </w:tc>
        <w:tc>
          <w:tcPr>
            <w:tcW w:type="dxa" w:w="2160"/>
          </w:tcPr>
          <w:p>
            <w:r>
              <w:t>ARR + infra asset</w:t>
            </w:r>
          </w:p>
        </w:tc>
      </w:tr>
      <w:tr>
        <w:tc>
          <w:tcPr>
            <w:tcW w:type="dxa" w:w="2160"/>
          </w:tcPr>
          <w:p>
            <w:r>
              <w:t>Series B / National</w:t>
            </w:r>
          </w:p>
        </w:tc>
        <w:tc>
          <w:tcPr>
            <w:tcW w:type="dxa" w:w="2160"/>
          </w:tcPr>
          <w:p>
            <w:r>
              <w:t>₹500–2,000 Cr</w:t>
            </w:r>
          </w:p>
        </w:tc>
        <w:tc>
          <w:tcPr>
            <w:tcW w:type="dxa" w:w="2160"/>
          </w:tcPr>
          <w:p>
            <w:r>
              <w:t>₹2,000–6,000 Cr</w:t>
            </w:r>
          </w:p>
        </w:tc>
        <w:tc>
          <w:tcPr>
            <w:tcW w:type="dxa" w:w="2160"/>
          </w:tcPr>
          <w:p>
            <w:r>
              <w:t>National infra + revenue</w:t>
            </w:r>
          </w:p>
        </w:tc>
      </w:tr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₹2,000 Cr+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Expansion multiple</w:t>
            </w:r>
          </w:p>
        </w:tc>
      </w:tr>
    </w:tbl>
    <w:p/>
    <w:p>
      <w:r>
        <w:t>Ranges intentionally wide: they will tighten as levers (§3) fire. The ask follows the model, not the reverse.</w:t>
      </w:r>
    </w:p>
    <w:p>
      <w:pPr>
        <w:pStyle w:val="Heading1"/>
      </w:pPr>
      <w:r>
        <w:rPr>
          <w:color w:val="0F1B2D"/>
          <w:sz w:val="36"/>
        </w:rPr>
        <w:t>5. Cap Table &amp; Dilution Path (illustrative)</w:t>
      </w:r>
    </w:p>
    <w:p>
      <w:pPr>
        <w:pStyle w:val="ListBullet"/>
      </w:pPr>
      <w:r>
        <w:t>Incorporation: 100% founder.</w:t>
      </w:r>
    </w:p>
    <w:p>
      <w:pPr>
        <w:pStyle w:val="ListBullet"/>
      </w:pPr>
      <w:r>
        <w:t>Seed round target: sell 15–20% (ESOP 10–15% carved alongside).</w:t>
      </w:r>
    </w:p>
    <w:p>
      <w:pPr>
        <w:pStyle w:val="ListBullet"/>
      </w:pPr>
      <w:r>
        <w:t>Series A target: 15–20% dilution.</w:t>
      </w:r>
    </w:p>
    <w:p>
      <w:pPr>
        <w:pStyle w:val="ListBullet"/>
      </w:pPr>
      <w:r>
        <w:t>Series B: 12–15%. Series C+: 10% (discipline — retain control).</w:t>
      </w:r>
    </w:p>
    <w:p>
      <w:pPr>
        <w:pStyle w:val="ListBullet"/>
      </w:pPr>
      <w:r>
        <w:t>Founder target after Series C: ≥40% (with ESOP, bridge, warrants).</w:t>
      </w:r>
    </w:p>
    <w:p>
      <w:r>
        <w:t>Full dilution waterfall computed when cap table is live (post-incorporation).</w:t>
      </w:r>
    </w:p>
    <w:p>
      <w:pPr>
        <w:pStyle w:val="Heading1"/>
      </w:pPr>
      <w:r>
        <w:rPr>
          <w:color w:val="0F1B2D"/>
          <w:sz w:val="36"/>
        </w:rPr>
        <w:t>6. Term-Sheet Considerations</w:t>
      </w:r>
    </w:p>
    <w:p>
      <w:pPr>
        <w:pStyle w:val="ListBullet"/>
      </w:pPr>
      <w:r>
        <w:t>India Pvt Ltd — typical: pari-passu, liquidation preference (1x non-participating okay), pro-rata rights.</w:t>
      </w:r>
    </w:p>
    <w:p>
      <w:pPr>
        <w:pStyle w:val="ListBullet"/>
      </w:pPr>
      <w:r>
        <w:t>Protect founder: reasonable drag-along, avoid participating preferred, avoid unvested cliff pain.</w:t>
      </w:r>
    </w:p>
    <w:p>
      <w:pPr>
        <w:pStyle w:val="ListBullet"/>
      </w:pPr>
      <w:r>
        <w:t>Board: founder + 1 investor + 1 independent at early rounds; later add government/strat directors.</w:t>
      </w:r>
    </w:p>
    <w:p>
      <w:r>
        <w:t>[TODO] legal advice before signing any term sheet.</w:t>
      </w:r>
    </w:p>
    <w:p>
      <w:pPr>
        <w:pStyle w:val="Heading1"/>
      </w:pPr>
      <w:r>
        <w:rPr>
          <w:color w:val="0F1B2D"/>
          <w:sz w:val="36"/>
        </w:rPr>
        <w:t>7. Exit Scenarios [ESTIMATE]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How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</w:tr>
      <w:tr>
        <w:tc>
          <w:tcPr>
            <w:tcW w:type="dxa" w:w="2880"/>
          </w:tcPr>
          <w:p>
            <w:r>
              <w:t>Strategic acquisition</w:t>
            </w:r>
          </w:p>
        </w:tc>
        <w:tc>
          <w:tcPr>
            <w:tcW w:type="dxa" w:w="2880"/>
          </w:tcPr>
          <w:p>
            <w:r>
              <w:t>OEM/hyperscaler/government entity buys the stack</w:t>
            </w:r>
          </w:p>
        </w:tc>
        <w:tc>
          <w:tcPr>
            <w:tcW w:type="dxa" w:w="2880"/>
          </w:tcPr>
          <w:p>
            <w:r>
              <w:t>$500M–2B+</w:t>
            </w:r>
          </w:p>
        </w:tc>
      </w:tr>
      <w:tr>
        <w:tc>
          <w:tcPr>
            <w:tcW w:type="dxa" w:w="2880"/>
          </w:tcPr>
          <w:p>
            <w:r>
              <w:t>IPO (India/global)</w:t>
            </w:r>
          </w:p>
        </w:tc>
        <w:tc>
          <w:tcPr>
            <w:tcW w:type="dxa" w:w="2880"/>
          </w:tcPr>
          <w:p>
            <w:r>
              <w:t>Public markets post-scale</w:t>
            </w:r>
          </w:p>
        </w:tc>
        <w:tc>
          <w:tcPr>
            <w:tcW w:type="dxa" w:w="2880"/>
          </w:tcPr>
          <w:p>
            <w:r>
              <w:t>$2B+</w:t>
            </w:r>
          </w:p>
        </w:tc>
      </w:tr>
      <w:tr>
        <w:tc>
          <w:tcPr>
            <w:tcW w:type="dxa" w:w="2880"/>
          </w:tcPr>
          <w:p>
            <w:r>
              <w:t>Long-term sovereign entity</w:t>
            </w:r>
          </w:p>
        </w:tc>
        <w:tc>
          <w:tcPr>
            <w:tcW w:type="dxa" w:w="2880"/>
          </w:tcPr>
          <w:p>
            <w:r>
              <w:t>National AI infrastructure owner (NMP-style)</w:t>
            </w:r>
          </w:p>
        </w:tc>
        <w:tc>
          <w:tcPr>
            <w:tcW w:type="dxa" w:w="2880"/>
          </w:tcPr>
          <w:p>
            <w:r>
              <w:t>Infra value</w:t>
            </w:r>
          </w:p>
        </w:tc>
      </w:tr>
    </w:tbl>
    <w:p/>
    <w:p>
      <w:r>
        <w:t>No near-term exit intent; the document just shows the lane is open.</w:t>
      </w:r>
    </w:p>
    <w:p>
      <w:pPr>
        <w:pStyle w:val="Heading1"/>
      </w:pPr>
      <w:r>
        <w:rPr>
          <w:color w:val="0F1B2D"/>
          <w:sz w:val="36"/>
        </w:rPr>
        <w:t>8. What's Skipped (YAGNI) &amp; Next Steps</w:t>
      </w:r>
    </w:p>
    <w:p>
      <w:pPr>
        <w:pStyle w:val="ListBullet"/>
      </w:pPr>
      <w:r>
        <w:t>No definitive valuation yet — real model once DPIIT + pilots.</w:t>
      </w:r>
    </w:p>
    <w:p>
      <w:pPr>
        <w:pStyle w:val="ListBullet"/>
      </w:pPr>
      <w:r>
        <w:t>No equity split agreed with advisors yet — recommend advisor grant 0.5–1% each (vested).</w:t>
      </w:r>
    </w:p>
    <w:p>
      <w:r>
        <w:t>Next: after incorporation — build live cap table, valuations scenario workbook (xlsx), and aligned term-sheet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