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0"/>
        <w:jc w:val="left"/>
      </w:pPr>
      <w:r>
        <w:rPr>
          <w:b w:val="0"/>
          <w:i w:val="0"/>
          <w:sz w:val="22"/>
        </w:rPr>
      </w:r>
    </w:p>
    <w:p>
      <w:pPr>
        <w:spacing w:before="0" w:after="120"/>
        <w:jc w:val="center"/>
      </w:pPr>
      <w:r>
        <w:rPr>
          <w:b/>
          <w:i w:val="0"/>
          <w:color w:val="1E3C72"/>
          <w:sz w:val="52"/>
        </w:rPr>
        <w:t>HOUSE PRICE PREDICTION PROJECT</w:t>
      </w:r>
    </w:p>
    <w:p>
      <w:pPr>
        <w:spacing w:before="0" w:after="80"/>
        <w:jc w:val="center"/>
      </w:pPr>
      <w:r>
        <w:rPr>
          <w:b w:val="0"/>
          <w:i w:val="0"/>
          <w:color w:val="2A5298"/>
          <w:sz w:val="28"/>
        </w:rPr>
        <w:t>Full-Stack Machine Learning Application</w:t>
      </w:r>
    </w:p>
    <w:p>
      <w:pPr>
        <w:spacing w:before="0" w:after="120"/>
        <w:jc w:val="center"/>
      </w:pPr>
      <w:r>
        <w:rPr>
          <w:b w:val="0"/>
          <w:i/>
          <w:color w:val="57606A"/>
          <w:sz w:val="26"/>
        </w:rPr>
        <w:t>Technical Report</w:t>
      </w:r>
    </w:p>
    <w:p>
      <w:pPr>
        <w:pBdr>
          <w:bottom w:val="single" w:sz="4" w:space="1" w:color="2a5298"/>
        </w:pBdr>
        <w:spacing w:before="120" w:after="120"/>
      </w:pPr>
    </w:p>
    <w:p>
      <w:pPr>
        <w:spacing w:before="0" w:after="120"/>
        <w:jc w:val="center"/>
      </w:pPr>
      <w:r>
        <w:rPr>
          <w:b w:val="0"/>
          <w:i w:val="0"/>
          <w:color w:val="57606A"/>
          <w:sz w:val="22"/>
        </w:rPr>
        <w:t>Python  |  scikit-learn  |  FastAPI  |  Streamlit  |  Plotly</w:t>
      </w:r>
    </w:p>
    <w:p>
      <w:pPr>
        <w:spacing w:before="0" w:after="120"/>
        <w:jc w:val="center"/>
      </w:pPr>
      <w:r>
        <w:rPr>
          <w:b w:val="0"/>
          <w:i w:val="0"/>
          <w:color w:val="57606A"/>
          <w:sz w:val="20"/>
        </w:rPr>
        <w:t>Dataset: house_price.csv  |  1,000 samples  |  7 features</w:t>
      </w:r>
    </w:p>
    <w:p>
      <w:pPr>
        <w:pBdr>
          <w:bottom w:val="single" w:sz="4" w:space="1" w:color="2a5298"/>
        </w:pBdr>
        <w:spacing w:before="120" w:after="120"/>
      </w:pPr>
    </w:p>
    <w:p>
      <w:r>
        <w:br w:type="page"/>
      </w:r>
    </w:p>
    <w:p>
      <w:pPr>
        <w:spacing w:before="0" w:after="120"/>
      </w:pPr>
      <w:r>
        <w:rPr>
          <w:b/>
          <w:color w:val="1E3C72"/>
          <w:sz w:val="36"/>
        </w:rPr>
        <w:t>Table of Contents</w:t>
      </w:r>
    </w:p>
    <w:p>
      <w:pPr>
        <w:spacing w:before="0" w:after="60"/>
        <w:jc w:val="left"/>
      </w:pPr>
      <w:r>
        <w:rPr>
          <w:b w:val="0"/>
          <w:i w:val="0"/>
          <w:sz w:val="22"/>
        </w:rPr>
        <w:t>1.   Project Overview</w:t>
      </w:r>
    </w:p>
    <w:p>
      <w:pPr>
        <w:spacing w:before="0" w:after="60"/>
        <w:jc w:val="left"/>
      </w:pPr>
      <w:r>
        <w:rPr>
          <w:b w:val="0"/>
          <w:i w:val="0"/>
          <w:sz w:val="22"/>
        </w:rPr>
        <w:t>2.   Dataset Description</w:t>
      </w:r>
    </w:p>
    <w:p>
      <w:pPr>
        <w:spacing w:before="0" w:after="60"/>
        <w:jc w:val="left"/>
      </w:pPr>
      <w:r>
        <w:rPr>
          <w:b w:val="0"/>
          <w:i w:val="0"/>
          <w:sz w:val="22"/>
        </w:rPr>
        <w:t>3.   Project Architecture</w:t>
      </w:r>
    </w:p>
    <w:p>
      <w:pPr>
        <w:spacing w:before="0" w:after="60"/>
        <w:jc w:val="left"/>
      </w:pPr>
      <w:r>
        <w:rPr>
          <w:b w:val="0"/>
          <w:i w:val="0"/>
          <w:sz w:val="22"/>
        </w:rPr>
        <w:t>4.   Backend - Model Training (train_model.py)</w:t>
      </w:r>
    </w:p>
    <w:p>
      <w:pPr>
        <w:spacing w:before="0" w:after="60"/>
        <w:jc w:val="left"/>
      </w:pPr>
      <w:r>
        <w:rPr>
          <w:b w:val="0"/>
          <w:i w:val="0"/>
          <w:sz w:val="22"/>
        </w:rPr>
        <w:t>5.   Backend - FastAPI Server (app.py)</w:t>
      </w:r>
    </w:p>
    <w:p>
      <w:pPr>
        <w:spacing w:before="0" w:after="60"/>
        <w:jc w:val="left"/>
      </w:pPr>
      <w:r>
        <w:rPr>
          <w:b w:val="0"/>
          <w:i w:val="0"/>
          <w:sz w:val="22"/>
        </w:rPr>
        <w:t>6.   Model Evaluation &amp; Metrics</w:t>
      </w:r>
    </w:p>
    <w:p>
      <w:pPr>
        <w:spacing w:before="0" w:after="60"/>
        <w:jc w:val="left"/>
      </w:pPr>
      <w:r>
        <w:rPr>
          <w:b w:val="0"/>
          <w:i w:val="0"/>
          <w:sz w:val="22"/>
        </w:rPr>
        <w:t>7.   Feature Importance Analysis</w:t>
      </w:r>
    </w:p>
    <w:p>
      <w:pPr>
        <w:spacing w:before="0" w:after="60"/>
        <w:jc w:val="left"/>
      </w:pPr>
      <w:r>
        <w:rPr>
          <w:b w:val="0"/>
          <w:i w:val="0"/>
          <w:sz w:val="22"/>
        </w:rPr>
        <w:t>8.   Frontend - Streamlit Dashboard (frontend.py)</w:t>
      </w:r>
    </w:p>
    <w:p>
      <w:pPr>
        <w:spacing w:before="0" w:after="60"/>
        <w:jc w:val="left"/>
      </w:pPr>
      <w:r>
        <w:rPr>
          <w:b w:val="0"/>
          <w:i w:val="0"/>
          <w:sz w:val="22"/>
        </w:rPr>
        <w:t>9.   UI Screenshots</w:t>
      </w:r>
    </w:p>
    <w:p>
      <w:pPr>
        <w:spacing w:before="0" w:after="60"/>
        <w:jc w:val="left"/>
      </w:pPr>
      <w:r>
        <w:rPr>
          <w:b w:val="0"/>
          <w:i w:val="0"/>
          <w:sz w:val="22"/>
        </w:rPr>
        <w:t>10.  Price Sensitivity Analysis</w:t>
      </w:r>
    </w:p>
    <w:p>
      <w:pPr>
        <w:spacing w:before="0" w:after="60"/>
        <w:jc w:val="left"/>
      </w:pPr>
      <w:r>
        <w:rPr>
          <w:b w:val="0"/>
          <w:i w:val="0"/>
          <w:sz w:val="22"/>
        </w:rPr>
        <w:t>11.  API Reference</w:t>
      </w:r>
    </w:p>
    <w:p>
      <w:pPr>
        <w:spacing w:before="0" w:after="60"/>
        <w:jc w:val="left"/>
      </w:pPr>
      <w:r>
        <w:rPr>
          <w:b w:val="0"/>
          <w:i w:val="0"/>
          <w:sz w:val="22"/>
        </w:rPr>
        <w:t>12.  Project File Structure</w:t>
      </w:r>
    </w:p>
    <w:p>
      <w:pPr>
        <w:spacing w:before="0" w:after="60"/>
        <w:jc w:val="left"/>
      </w:pPr>
      <w:r>
        <w:rPr>
          <w:b w:val="0"/>
          <w:i w:val="0"/>
          <w:sz w:val="22"/>
        </w:rPr>
        <w:t>13.  Setup &amp; Running Instructions</w:t>
      </w:r>
    </w:p>
    <w:p>
      <w:pPr>
        <w:spacing w:before="0" w:after="60"/>
        <w:jc w:val="left"/>
      </w:pPr>
      <w:r>
        <w:rPr>
          <w:b w:val="0"/>
          <w:i w:val="0"/>
          <w:sz w:val="22"/>
        </w:rPr>
        <w:t>14.  Conclusion</w:t>
      </w:r>
    </w:p>
    <w:p>
      <w:r>
        <w:br w:type="page"/>
      </w:r>
    </w:p>
    <w:p>
      <w:pPr>
        <w:spacing w:before="240" w:after="120"/>
      </w:pPr>
      <w:r>
        <w:rPr>
          <w:b/>
          <w:color w:val="1E3C72"/>
          <w:sz w:val="36"/>
        </w:rPr>
        <w:t>1. Project Overview</w:t>
      </w:r>
    </w:p>
    <w:p>
      <w:pPr>
        <w:spacing w:before="0" w:after="160"/>
        <w:jc w:val="left"/>
      </w:pPr>
      <w:r>
        <w:rPr>
          <w:b w:val="0"/>
          <w:i w:val="0"/>
          <w:sz w:val="22"/>
        </w:rPr>
        <w:t>This project delivers a complete, production-ready House Price Prediction system built entirely in Python. It combines a machine learning model trained on residential property data with a REST API backend and an interactive web dashboard frontend - all running locally with a single startup command.</w:t>
      </w:r>
    </w:p>
    <w:p>
      <w:pPr>
        <w:spacing w:before="0" w:after="80"/>
        <w:jc w:val="left"/>
      </w:pPr>
      <w:r>
        <w:rPr>
          <w:b/>
          <w:i w:val="0"/>
          <w:sz w:val="22"/>
        </w:rPr>
        <w:t>Core objectives:</w:t>
      </w:r>
    </w:p>
    <w:p>
      <w:pPr>
        <w:pStyle w:val="ListBullet"/>
        <w:spacing w:after="60"/>
      </w:pPr>
      <w:r>
        <w:rPr>
          <w:sz w:val="22"/>
        </w:rPr>
        <w:t>Accurately predict house prices from seven property features using a Gradient Boosting Regressor achieving R2 = 0.9966 on the held-out test set.</w:t>
      </w:r>
    </w:p>
    <w:p>
      <w:pPr>
        <w:pStyle w:val="ListBullet"/>
        <w:spacing w:after="60"/>
      </w:pPr>
      <w:r>
        <w:rPr>
          <w:sz w:val="22"/>
        </w:rPr>
        <w:t>Expose predictions through a type-safe FastAPI REST API with automatic Swagger documentation at http://localhost:8000/docs.</w:t>
      </w:r>
    </w:p>
    <w:p>
      <w:pPr>
        <w:pStyle w:val="ListBullet"/>
        <w:spacing w:after="60"/>
      </w:pPr>
      <w:r>
        <w:rPr>
          <w:sz w:val="22"/>
        </w:rPr>
        <w:t>Provide a rich Streamlit web frontend with interactive sliders, a prediction card, feature importance chart, radar input profile, and price sensitivity plots.</w:t>
      </w:r>
    </w:p>
    <w:p>
      <w:pPr>
        <w:pStyle w:val="ListBullet"/>
        <w:spacing w:after="60"/>
      </w:pPr>
      <w:r>
        <w:rPr>
          <w:sz w:val="22"/>
        </w:rPr>
        <w:t>Deliver a fully self-contained project installable in under five minutes via a single requirements.txt.</w:t>
      </w:r>
    </w:p>
    <w:p>
      <w:pPr>
        <w:spacing w:before="0" w:after="80"/>
        <w:jc w:val="left"/>
      </w:pPr>
      <w:r>
        <w:rPr>
          <w:b w:val="0"/>
          <w:i w:val="0"/>
          <w:sz w:val="22"/>
        </w:rPr>
      </w:r>
    </w:p>
    <w:p>
      <w:pPr>
        <w:spacing w:before="240" w:after="120"/>
      </w:pPr>
      <w:r>
        <w:rPr>
          <w:b/>
          <w:color w:val="1E3C72"/>
          <w:sz w:val="36"/>
        </w:rPr>
        <w:t>2. Dataset Description</w:t>
      </w:r>
    </w:p>
    <w:p>
      <w:pPr>
        <w:spacing w:before="0" w:after="160"/>
        <w:jc w:val="left"/>
      </w:pPr>
      <w:r>
        <w:rPr>
          <w:b w:val="0"/>
          <w:i w:val="0"/>
          <w:sz w:val="22"/>
        </w:rPr>
        <w:t>The dataset (house_price.csv) contains 1,000 synthetic residential property records. Each row represents one house with seven numeric input features and one continuous target variable.</w:t>
      </w:r>
    </w:p>
    <w:tbl>
      <w:tblPr>
        <w:tblStyle w:val="TableGrid"/>
        <w:tblW w:type="auto" w:w="0"/>
        <w:tblLook w:firstColumn="1" w:firstRow="1" w:lastColumn="0" w:lastRow="0" w:noHBand="0" w:noVBand="1" w:val="04A0"/>
      </w:tblPr>
      <w:tblGrid>
        <w:gridCol w:w="3135"/>
        <w:gridCol w:w="3135"/>
        <w:gridCol w:w="3135"/>
      </w:tblGrid>
      <w:tr>
        <w:tc>
          <w:tcPr>
            <w:tcW w:type="dxa" w:w="3135"/>
            <w:shd w:fill="1e3c72" w:color="auto" w:val="clear"/>
          </w:tcPr>
          <w:p>
            <w:r>
              <w:rPr>
                <w:b/>
                <w:color w:val="FFFFFF"/>
                <w:sz w:val="20"/>
              </w:rPr>
              <w:t>Feature</w:t>
            </w:r>
          </w:p>
        </w:tc>
        <w:tc>
          <w:tcPr>
            <w:tcW w:type="dxa" w:w="3135"/>
            <w:shd w:fill="1e3c72" w:color="auto" w:val="clear"/>
          </w:tcPr>
          <w:p>
            <w:r>
              <w:rPr>
                <w:b/>
                <w:color w:val="FFFFFF"/>
                <w:sz w:val="20"/>
              </w:rPr>
              <w:t>Type</w:t>
            </w:r>
          </w:p>
        </w:tc>
        <w:tc>
          <w:tcPr>
            <w:tcW w:type="dxa" w:w="3135"/>
            <w:shd w:fill="1e3c72" w:color="auto" w:val="clear"/>
          </w:tcPr>
          <w:p>
            <w:r>
              <w:rPr>
                <w:b/>
                <w:color w:val="FFFFFF"/>
                <w:sz w:val="20"/>
              </w:rPr>
              <w:t>Range / Description</w:t>
            </w:r>
          </w:p>
        </w:tc>
      </w:tr>
      <w:tr>
        <w:tc>
          <w:tcPr>
            <w:tcW w:type="dxa" w:w="3135"/>
            <w:shd w:fill="F0F2F6" w:color="auto" w:val="clear"/>
          </w:tcPr>
          <w:p>
            <w:r>
              <w:rPr>
                <w:sz w:val="20"/>
              </w:rPr>
              <w:t>Square_Footage</w:t>
            </w:r>
          </w:p>
        </w:tc>
        <w:tc>
          <w:tcPr>
            <w:tcW w:type="dxa" w:w="3135"/>
            <w:shd w:fill="F0F2F6" w:color="auto" w:val="clear"/>
          </w:tcPr>
          <w:p>
            <w:r>
              <w:rPr>
                <w:sz w:val="20"/>
              </w:rPr>
              <w:t>Float</w:t>
            </w:r>
          </w:p>
        </w:tc>
        <w:tc>
          <w:tcPr>
            <w:tcW w:type="dxa" w:w="3135"/>
            <w:shd w:fill="F0F2F6" w:color="auto" w:val="clear"/>
          </w:tcPr>
          <w:p>
            <w:r>
              <w:rPr>
                <w:sz w:val="20"/>
              </w:rPr>
              <w:t>Living area in square feet (500 - 6,000)</w:t>
            </w:r>
          </w:p>
        </w:tc>
      </w:tr>
      <w:tr>
        <w:tc>
          <w:tcPr>
            <w:tcW w:type="dxa" w:w="3135"/>
            <w:shd w:fill="FFFFFF" w:color="auto" w:val="clear"/>
          </w:tcPr>
          <w:p>
            <w:r>
              <w:rPr>
                <w:sz w:val="20"/>
              </w:rPr>
              <w:t>Num_Bedrooms</w:t>
            </w:r>
          </w:p>
        </w:tc>
        <w:tc>
          <w:tcPr>
            <w:tcW w:type="dxa" w:w="3135"/>
            <w:shd w:fill="FFFFFF" w:color="auto" w:val="clear"/>
          </w:tcPr>
          <w:p>
            <w:r>
              <w:rPr>
                <w:sz w:val="20"/>
              </w:rPr>
              <w:t>Integer</w:t>
            </w:r>
          </w:p>
        </w:tc>
        <w:tc>
          <w:tcPr>
            <w:tcW w:type="dxa" w:w="3135"/>
            <w:shd w:fill="FFFFFF" w:color="auto" w:val="clear"/>
          </w:tcPr>
          <w:p>
            <w:r>
              <w:rPr>
                <w:sz w:val="20"/>
              </w:rPr>
              <w:t>Number of bedrooms (1 - 8)</w:t>
            </w:r>
          </w:p>
        </w:tc>
      </w:tr>
      <w:tr>
        <w:tc>
          <w:tcPr>
            <w:tcW w:type="dxa" w:w="3135"/>
            <w:shd w:fill="F0F2F6" w:color="auto" w:val="clear"/>
          </w:tcPr>
          <w:p>
            <w:r>
              <w:rPr>
                <w:sz w:val="20"/>
              </w:rPr>
              <w:t>Num_Bathrooms</w:t>
            </w:r>
          </w:p>
        </w:tc>
        <w:tc>
          <w:tcPr>
            <w:tcW w:type="dxa" w:w="3135"/>
            <w:shd w:fill="F0F2F6" w:color="auto" w:val="clear"/>
          </w:tcPr>
          <w:p>
            <w:r>
              <w:rPr>
                <w:sz w:val="20"/>
              </w:rPr>
              <w:t>Integer</w:t>
            </w:r>
          </w:p>
        </w:tc>
        <w:tc>
          <w:tcPr>
            <w:tcW w:type="dxa" w:w="3135"/>
            <w:shd w:fill="F0F2F6" w:color="auto" w:val="clear"/>
          </w:tcPr>
          <w:p>
            <w:r>
              <w:rPr>
                <w:sz w:val="20"/>
              </w:rPr>
              <w:t>Number of bathrooms (1 - 5)</w:t>
            </w:r>
          </w:p>
        </w:tc>
      </w:tr>
      <w:tr>
        <w:tc>
          <w:tcPr>
            <w:tcW w:type="dxa" w:w="3135"/>
            <w:shd w:fill="FFFFFF" w:color="auto" w:val="clear"/>
          </w:tcPr>
          <w:p>
            <w:r>
              <w:rPr>
                <w:sz w:val="20"/>
              </w:rPr>
              <w:t>Year_Built</w:t>
            </w:r>
          </w:p>
        </w:tc>
        <w:tc>
          <w:tcPr>
            <w:tcW w:type="dxa" w:w="3135"/>
            <w:shd w:fill="FFFFFF" w:color="auto" w:val="clear"/>
          </w:tcPr>
          <w:p>
            <w:r>
              <w:rPr>
                <w:sz w:val="20"/>
              </w:rPr>
              <w:t>Integer</w:t>
            </w:r>
          </w:p>
        </w:tc>
        <w:tc>
          <w:tcPr>
            <w:tcW w:type="dxa" w:w="3135"/>
            <w:shd w:fill="FFFFFF" w:color="auto" w:val="clear"/>
          </w:tcPr>
          <w:p>
            <w:r>
              <w:rPr>
                <w:sz w:val="20"/>
              </w:rPr>
              <w:t>Year the property was constructed (1950 - 2024)</w:t>
            </w:r>
          </w:p>
        </w:tc>
      </w:tr>
      <w:tr>
        <w:tc>
          <w:tcPr>
            <w:tcW w:type="dxa" w:w="3135"/>
            <w:shd w:fill="F0F2F6" w:color="auto" w:val="clear"/>
          </w:tcPr>
          <w:p>
            <w:r>
              <w:rPr>
                <w:sz w:val="20"/>
              </w:rPr>
              <w:t>Lot_Size</w:t>
            </w:r>
          </w:p>
        </w:tc>
        <w:tc>
          <w:tcPr>
            <w:tcW w:type="dxa" w:w="3135"/>
            <w:shd w:fill="F0F2F6" w:color="auto" w:val="clear"/>
          </w:tcPr>
          <w:p>
            <w:r>
              <w:rPr>
                <w:sz w:val="20"/>
              </w:rPr>
              <w:t>Float</w:t>
            </w:r>
          </w:p>
        </w:tc>
        <w:tc>
          <w:tcPr>
            <w:tcW w:type="dxa" w:w="3135"/>
            <w:shd w:fill="F0F2F6" w:color="auto" w:val="clear"/>
          </w:tcPr>
          <w:p>
            <w:r>
              <w:rPr>
                <w:sz w:val="20"/>
              </w:rPr>
              <w:t>Lot area in acres (0.1 - 10.0)</w:t>
            </w:r>
          </w:p>
        </w:tc>
      </w:tr>
      <w:tr>
        <w:tc>
          <w:tcPr>
            <w:tcW w:type="dxa" w:w="3135"/>
            <w:shd w:fill="FFFFFF" w:color="auto" w:val="clear"/>
          </w:tcPr>
          <w:p>
            <w:r>
              <w:rPr>
                <w:sz w:val="20"/>
              </w:rPr>
              <w:t>Garage_Size</w:t>
            </w:r>
          </w:p>
        </w:tc>
        <w:tc>
          <w:tcPr>
            <w:tcW w:type="dxa" w:w="3135"/>
            <w:shd w:fill="FFFFFF" w:color="auto" w:val="clear"/>
          </w:tcPr>
          <w:p>
            <w:r>
              <w:rPr>
                <w:sz w:val="20"/>
              </w:rPr>
              <w:t>Integer</w:t>
            </w:r>
          </w:p>
        </w:tc>
        <w:tc>
          <w:tcPr>
            <w:tcW w:type="dxa" w:w="3135"/>
            <w:shd w:fill="FFFFFF" w:color="auto" w:val="clear"/>
          </w:tcPr>
          <w:p>
            <w:r>
              <w:rPr>
                <w:sz w:val="20"/>
              </w:rPr>
              <w:t>Garage capacity in cars (0 - 4)</w:t>
            </w:r>
          </w:p>
        </w:tc>
      </w:tr>
      <w:tr>
        <w:tc>
          <w:tcPr>
            <w:tcW w:type="dxa" w:w="3135"/>
            <w:shd w:fill="F0F2F6" w:color="auto" w:val="clear"/>
          </w:tcPr>
          <w:p>
            <w:r>
              <w:rPr>
                <w:sz w:val="20"/>
              </w:rPr>
              <w:t>Neighborhood_Quality</w:t>
            </w:r>
          </w:p>
        </w:tc>
        <w:tc>
          <w:tcPr>
            <w:tcW w:type="dxa" w:w="3135"/>
            <w:shd w:fill="F0F2F6" w:color="auto" w:val="clear"/>
          </w:tcPr>
          <w:p>
            <w:r>
              <w:rPr>
                <w:sz w:val="20"/>
              </w:rPr>
              <w:t>Integer</w:t>
            </w:r>
          </w:p>
        </w:tc>
        <w:tc>
          <w:tcPr>
            <w:tcW w:type="dxa" w:w="3135"/>
            <w:shd w:fill="F0F2F6" w:color="auto" w:val="clear"/>
          </w:tcPr>
          <w:p>
            <w:r>
              <w:rPr>
                <w:sz w:val="20"/>
              </w:rPr>
              <w:t>Neighbourhood quality score 1-10</w:t>
            </w:r>
          </w:p>
        </w:tc>
      </w:tr>
      <w:tr>
        <w:tc>
          <w:tcPr>
            <w:tcW w:type="dxa" w:w="3135"/>
            <w:shd w:fill="FFFFFF" w:color="auto" w:val="clear"/>
          </w:tcPr>
          <w:p>
            <w:r>
              <w:rPr>
                <w:sz w:val="20"/>
              </w:rPr>
              <w:t>House_Price (TARGET)</w:t>
            </w:r>
          </w:p>
        </w:tc>
        <w:tc>
          <w:tcPr>
            <w:tcW w:type="dxa" w:w="3135"/>
            <w:shd w:fill="FFFFFF" w:color="auto" w:val="clear"/>
          </w:tcPr>
          <w:p>
            <w:r>
              <w:rPr>
                <w:sz w:val="20"/>
              </w:rPr>
              <w:t>Float</w:t>
            </w:r>
          </w:p>
        </w:tc>
        <w:tc>
          <w:tcPr>
            <w:tcW w:type="dxa" w:w="3135"/>
            <w:shd w:fill="FFFFFF" w:color="auto" w:val="clear"/>
          </w:tcPr>
          <w:p>
            <w:r>
              <w:rPr>
                <w:sz w:val="20"/>
              </w:rPr>
              <w:t>Property sale price in USD (~$150,000 - $1,100,000)</w:t>
            </w:r>
          </w:p>
        </w:tc>
      </w:tr>
    </w:tbl>
    <w:p>
      <w:pPr>
        <w:spacing w:after="80"/>
      </w:pPr>
    </w:p>
    <w:p>
      <w:pPr>
        <w:spacing w:before="0" w:after="160"/>
        <w:jc w:val="left"/>
      </w:pPr>
      <w:r>
        <w:rPr>
          <w:b w:val="0"/>
          <w:i w:val="0"/>
          <w:sz w:val="22"/>
        </w:rPr>
        <w:t>Dataset summary: 1,000 rows, 7 features, 0 missing values, all numeric - no categorical encoding is required. Price range spans $150,000 to over $1,100,000.</w:t>
      </w:r>
    </w:p>
    <w:p>
      <w:pPr>
        <w:spacing w:before="240" w:after="120"/>
      </w:pPr>
      <w:r>
        <w:rPr>
          <w:b/>
          <w:color w:val="1E3C72"/>
          <w:sz w:val="36"/>
        </w:rPr>
        <w:t>3. Project Architecture</w:t>
      </w:r>
    </w:p>
    <w:p>
      <w:pPr>
        <w:spacing w:before="0" w:after="160"/>
        <w:jc w:val="left"/>
      </w:pPr>
      <w:r>
        <w:rPr>
          <w:b w:val="0"/>
          <w:i w:val="0"/>
          <w:sz w:val="22"/>
        </w:rPr>
        <w:t>The application follows a clean three-tier architecture separating the data/model layer, the API serving layer, and the UI presentation layer.</w:t>
      </w:r>
    </w:p>
    <w:tbl>
      <w:tblPr>
        <w:tblStyle w:val="TableGrid"/>
        <w:tblW w:type="auto" w:w="0"/>
        <w:tblLook w:firstColumn="1" w:firstRow="1" w:lastColumn="0" w:lastRow="0" w:noHBand="0" w:noVBand="1" w:val="04A0"/>
      </w:tblPr>
      <w:tblGrid>
        <w:gridCol w:w="3135"/>
        <w:gridCol w:w="3135"/>
        <w:gridCol w:w="3135"/>
      </w:tblGrid>
      <w:tr>
        <w:tc>
          <w:tcPr>
            <w:tcW w:type="dxa" w:w="3135"/>
            <w:shd w:fill="1e3c72" w:color="auto" w:val="clear"/>
          </w:tcPr>
          <w:p>
            <w:r>
              <w:rPr>
                <w:b/>
                <w:color w:val="FFFFFF"/>
                <w:sz w:val="20"/>
              </w:rPr>
              <w:t>Layer</w:t>
            </w:r>
          </w:p>
        </w:tc>
        <w:tc>
          <w:tcPr>
            <w:tcW w:type="dxa" w:w="3135"/>
            <w:shd w:fill="1e3c72" w:color="auto" w:val="clear"/>
          </w:tcPr>
          <w:p>
            <w:r>
              <w:rPr>
                <w:b/>
                <w:color w:val="FFFFFF"/>
                <w:sz w:val="20"/>
              </w:rPr>
              <w:t>Technology</w:t>
            </w:r>
          </w:p>
        </w:tc>
        <w:tc>
          <w:tcPr>
            <w:tcW w:type="dxa" w:w="3135"/>
            <w:shd w:fill="1e3c72" w:color="auto" w:val="clear"/>
          </w:tcPr>
          <w:p>
            <w:r>
              <w:rPr>
                <w:b/>
                <w:color w:val="FFFFFF"/>
                <w:sz w:val="20"/>
              </w:rPr>
              <w:t>Responsibility</w:t>
            </w:r>
          </w:p>
        </w:tc>
      </w:tr>
      <w:tr>
        <w:tc>
          <w:tcPr>
            <w:tcW w:type="dxa" w:w="3135"/>
            <w:shd w:fill="F0F2F6" w:color="auto" w:val="clear"/>
          </w:tcPr>
          <w:p>
            <w:r>
              <w:rPr>
                <w:sz w:val="20"/>
              </w:rPr>
              <w:t>Data &amp; Model</w:t>
            </w:r>
          </w:p>
        </w:tc>
        <w:tc>
          <w:tcPr>
            <w:tcW w:type="dxa" w:w="3135"/>
            <w:shd w:fill="F0F2F6" w:color="auto" w:val="clear"/>
          </w:tcPr>
          <w:p>
            <w:r>
              <w:rPr>
                <w:sz w:val="20"/>
              </w:rPr>
              <w:t>scikit-learn, pandas, NumPy, joblib</w:t>
            </w:r>
          </w:p>
        </w:tc>
        <w:tc>
          <w:tcPr>
            <w:tcW w:type="dxa" w:w="3135"/>
            <w:shd w:fill="F0F2F6" w:color="auto" w:val="clear"/>
          </w:tcPr>
          <w:p>
            <w:r>
              <w:rPr>
                <w:sz w:val="20"/>
              </w:rPr>
              <w:t>Feature engineering, model training, pipeline serialisation</w:t>
            </w:r>
          </w:p>
        </w:tc>
      </w:tr>
      <w:tr>
        <w:tc>
          <w:tcPr>
            <w:tcW w:type="dxa" w:w="3135"/>
            <w:shd w:fill="FFFFFF" w:color="auto" w:val="clear"/>
          </w:tcPr>
          <w:p>
            <w:r>
              <w:rPr>
                <w:sz w:val="20"/>
              </w:rPr>
              <w:t>Backend API</w:t>
            </w:r>
          </w:p>
        </w:tc>
        <w:tc>
          <w:tcPr>
            <w:tcW w:type="dxa" w:w="3135"/>
            <w:shd w:fill="FFFFFF" w:color="auto" w:val="clear"/>
          </w:tcPr>
          <w:p>
            <w:r>
              <w:rPr>
                <w:sz w:val="20"/>
              </w:rPr>
              <w:t>FastAPI, Uvicorn, Pydantic v2</w:t>
            </w:r>
          </w:p>
        </w:tc>
        <w:tc>
          <w:tcPr>
            <w:tcW w:type="dxa" w:w="3135"/>
            <w:shd w:fill="FFFFFF" w:color="auto" w:val="clear"/>
          </w:tcPr>
          <w:p>
            <w:r>
              <w:rPr>
                <w:sz w:val="20"/>
              </w:rPr>
              <w:t>REST endpoints, request/response validation, JSON responses</w:t>
            </w:r>
          </w:p>
        </w:tc>
      </w:tr>
      <w:tr>
        <w:tc>
          <w:tcPr>
            <w:tcW w:type="dxa" w:w="3135"/>
            <w:shd w:fill="F0F2F6" w:color="auto" w:val="clear"/>
          </w:tcPr>
          <w:p>
            <w:r>
              <w:rPr>
                <w:sz w:val="20"/>
              </w:rPr>
              <w:t>Frontend UI</w:t>
            </w:r>
          </w:p>
        </w:tc>
        <w:tc>
          <w:tcPr>
            <w:tcW w:type="dxa" w:w="3135"/>
            <w:shd w:fill="F0F2F6" w:color="auto" w:val="clear"/>
          </w:tcPr>
          <w:p>
            <w:r>
              <w:rPr>
                <w:sz w:val="20"/>
              </w:rPr>
              <w:t>Streamlit, Plotly, requests</w:t>
            </w:r>
          </w:p>
        </w:tc>
        <w:tc>
          <w:tcPr>
            <w:tcW w:type="dxa" w:w="3135"/>
            <w:shd w:fill="F0F2F6" w:color="auto" w:val="clear"/>
          </w:tcPr>
          <w:p>
            <w:r>
              <w:rPr>
                <w:sz w:val="20"/>
              </w:rPr>
              <w:t>Interactive dashboard, charts, sensitivity analysis</w:t>
            </w:r>
          </w:p>
        </w:tc>
      </w:tr>
    </w:tbl>
    <w:p>
      <w:pPr>
        <w:spacing w:after="80"/>
      </w:pPr>
    </w:p>
    <w:p>
      <w:pPr>
        <w:spacing w:before="240" w:after="120"/>
      </w:pPr>
      <w:r>
        <w:rPr>
          <w:b/>
          <w:color w:val="2A5298"/>
          <w:sz w:val="28"/>
        </w:rPr>
        <w:t>3.1 Data Flow</w:t>
      </w:r>
    </w:p>
    <w:p>
      <w:pPr>
        <w:pStyle w:val="ListBullet"/>
        <w:spacing w:after="60"/>
      </w:pPr>
      <w:r>
        <w:rPr>
          <w:sz w:val="22"/>
        </w:rPr>
        <w:t>Step 1: User adjusts input sliders and clicks 'Predict Price' in Streamlit.</w:t>
      </w:r>
    </w:p>
    <w:p>
      <w:pPr>
        <w:pStyle w:val="ListBullet"/>
        <w:spacing w:after="60"/>
      </w:pPr>
      <w:r>
        <w:rPr>
          <w:sz w:val="22"/>
        </w:rPr>
        <w:t>Step 2: Streamlit POSTs a JSON payload with 7 feature values to FastAPI at http://localhost:8000/predict.</w:t>
      </w:r>
    </w:p>
    <w:p>
      <w:pPr>
        <w:pStyle w:val="ListBullet"/>
        <w:spacing w:after="60"/>
      </w:pPr>
      <w:r>
        <w:rPr>
          <w:sz w:val="22"/>
        </w:rPr>
        <w:t>Step 3: FastAPI validates the request via Pydantic, builds a pandas DataFrame, and runs pipeline.predict().</w:t>
      </w:r>
    </w:p>
    <w:p>
      <w:pPr>
        <w:pStyle w:val="ListBullet"/>
        <w:spacing w:after="60"/>
      </w:pPr>
      <w:r>
        <w:rPr>
          <w:sz w:val="22"/>
        </w:rPr>
        <w:t>Step 4: The sklearn Pipeline applies StandardScaler then GradientBoostingRegressor.</w:t>
      </w:r>
    </w:p>
    <w:p>
      <w:pPr>
        <w:pStyle w:val="ListBullet"/>
        <w:spacing w:after="60"/>
      </w:pPr>
      <w:r>
        <w:rPr>
          <w:sz w:val="22"/>
        </w:rPr>
        <w:t>Step 5: FastAPI returns predicted_price, formatted_price, and a confidence_range to Streamlit.</w:t>
      </w:r>
    </w:p>
    <w:p>
      <w:pPr>
        <w:pStyle w:val="ListBullet"/>
        <w:spacing w:after="60"/>
      </w:pPr>
      <w:r>
        <w:rPr>
          <w:sz w:val="22"/>
        </w:rPr>
        <w:t>Step 6: Streamlit renders the price card and re-draws all interactive visualisation charts.</w:t>
      </w:r>
    </w:p>
    <w:p>
      <w:pPr>
        <w:spacing w:before="0" w:after="160"/>
        <w:jc w:val="left"/>
      </w:pPr>
      <w:r>
        <w:rPr>
          <w:b w:val="0"/>
          <w:i w:val="0"/>
          <w:sz w:val="22"/>
        </w:rPr>
      </w:r>
    </w:p>
    <w:p>
      <w:pPr>
        <w:spacing w:before="240" w:after="120"/>
      </w:pPr>
      <w:r>
        <w:rPr>
          <w:b/>
          <w:color w:val="1E3C72"/>
          <w:sz w:val="36"/>
        </w:rPr>
        <w:t>4. Backend - Model Training (train_model.py)</w:t>
      </w:r>
    </w:p>
    <w:p>
      <w:pPr>
        <w:spacing w:before="0" w:after="160"/>
        <w:jc w:val="left"/>
      </w:pPr>
      <w:r>
        <w:rPr>
          <w:b w:val="0"/>
          <w:i w:val="0"/>
          <w:sz w:val="22"/>
        </w:rPr>
        <w:t>The training script (backend/train_model.py) implements the full ML pipeline: data loading, train/test splitting, pipeline fitting, evaluation, and artefact persistence.</w:t>
      </w:r>
    </w:p>
    <w:p>
      <w:pPr>
        <w:spacing w:before="240" w:after="120"/>
      </w:pPr>
      <w:r>
        <w:rPr>
          <w:b/>
          <w:color w:val="2A5298"/>
          <w:sz w:val="28"/>
        </w:rPr>
        <w:t>4.1 Pipeline Design</w:t>
      </w:r>
    </w:p>
    <w:p>
      <w:pPr>
        <w:spacing w:before="0" w:after="160"/>
        <w:jc w:val="left"/>
      </w:pPr>
      <w:r>
        <w:rPr>
          <w:b w:val="0"/>
          <w:i w:val="0"/>
          <w:sz w:val="22"/>
        </w:rPr>
        <w:t>A scikit-learn Pipeline chains two steps: (1) StandardScaler - normalises all features to zero mean and unit variance, preventing scale-sensitive bias; (2) GradientBoostingRegressor - an ensemble of 300 shallow decision trees fitted sequentially with a learning rate of 0.05 and max_depth of 5.</w:t>
      </w:r>
    </w:p>
    <w:p>
      <w:pPr>
        <w:spacing w:before="240" w:after="120"/>
      </w:pPr>
      <w:r>
        <w:rPr>
          <w:b/>
          <w:color w:val="2A5298"/>
          <w:sz w:val="28"/>
        </w:rPr>
        <w:t>4.2 Hyperparameters</w:t>
      </w:r>
    </w:p>
    <w:tbl>
      <w:tblPr>
        <w:tblStyle w:val="TableGrid"/>
        <w:tblW w:type="auto" w:w="0"/>
        <w:tblLook w:firstColumn="1" w:firstRow="1" w:lastColumn="0" w:lastRow="0" w:noHBand="0" w:noVBand="1" w:val="04A0"/>
      </w:tblPr>
      <w:tblGrid>
        <w:gridCol w:w="3135"/>
        <w:gridCol w:w="3135"/>
        <w:gridCol w:w="3135"/>
      </w:tblGrid>
      <w:tr>
        <w:tc>
          <w:tcPr>
            <w:tcW w:type="dxa" w:w="3135"/>
            <w:shd w:fill="1e3c72" w:color="auto" w:val="clear"/>
          </w:tcPr>
          <w:p>
            <w:r>
              <w:rPr>
                <w:b/>
                <w:color w:val="FFFFFF"/>
                <w:sz w:val="20"/>
              </w:rPr>
              <w:t>Parameter</w:t>
            </w:r>
          </w:p>
        </w:tc>
        <w:tc>
          <w:tcPr>
            <w:tcW w:type="dxa" w:w="3135"/>
            <w:shd w:fill="1e3c72" w:color="auto" w:val="clear"/>
          </w:tcPr>
          <w:p>
            <w:r>
              <w:rPr>
                <w:b/>
                <w:color w:val="FFFFFF"/>
                <w:sz w:val="20"/>
              </w:rPr>
              <w:t>Value</w:t>
            </w:r>
          </w:p>
        </w:tc>
        <w:tc>
          <w:tcPr>
            <w:tcW w:type="dxa" w:w="3135"/>
            <w:shd w:fill="1e3c72" w:color="auto" w:val="clear"/>
          </w:tcPr>
          <w:p>
            <w:r>
              <w:rPr>
                <w:b/>
                <w:color w:val="FFFFFF"/>
                <w:sz w:val="20"/>
              </w:rPr>
              <w:t>Purpose</w:t>
            </w:r>
          </w:p>
        </w:tc>
      </w:tr>
      <w:tr>
        <w:tc>
          <w:tcPr>
            <w:tcW w:type="dxa" w:w="3135"/>
            <w:shd w:fill="F0F2F6" w:color="auto" w:val="clear"/>
          </w:tcPr>
          <w:p>
            <w:r>
              <w:rPr>
                <w:sz w:val="20"/>
              </w:rPr>
              <w:t>n_estimators</w:t>
            </w:r>
          </w:p>
        </w:tc>
        <w:tc>
          <w:tcPr>
            <w:tcW w:type="dxa" w:w="3135"/>
            <w:shd w:fill="F0F2F6" w:color="auto" w:val="clear"/>
          </w:tcPr>
          <w:p>
            <w:r>
              <w:rPr>
                <w:sz w:val="20"/>
              </w:rPr>
              <w:t>300</w:t>
            </w:r>
          </w:p>
        </w:tc>
        <w:tc>
          <w:tcPr>
            <w:tcW w:type="dxa" w:w="3135"/>
            <w:shd w:fill="F0F2F6" w:color="auto" w:val="clear"/>
          </w:tcPr>
          <w:p>
            <w:r>
              <w:rPr>
                <w:sz w:val="20"/>
              </w:rPr>
              <w:t>Number of boosting stages</w:t>
            </w:r>
          </w:p>
        </w:tc>
      </w:tr>
      <w:tr>
        <w:tc>
          <w:tcPr>
            <w:tcW w:type="dxa" w:w="3135"/>
            <w:shd w:fill="FFFFFF" w:color="auto" w:val="clear"/>
          </w:tcPr>
          <w:p>
            <w:r>
              <w:rPr>
                <w:sz w:val="20"/>
              </w:rPr>
              <w:t>learning_rate</w:t>
            </w:r>
          </w:p>
        </w:tc>
        <w:tc>
          <w:tcPr>
            <w:tcW w:type="dxa" w:w="3135"/>
            <w:shd w:fill="FFFFFF" w:color="auto" w:val="clear"/>
          </w:tcPr>
          <w:p>
            <w:r>
              <w:rPr>
                <w:sz w:val="20"/>
              </w:rPr>
              <w:t>0.05</w:t>
            </w:r>
          </w:p>
        </w:tc>
        <w:tc>
          <w:tcPr>
            <w:tcW w:type="dxa" w:w="3135"/>
            <w:shd w:fill="FFFFFF" w:color="auto" w:val="clear"/>
          </w:tcPr>
          <w:p>
            <w:r>
              <w:rPr>
                <w:sz w:val="20"/>
              </w:rPr>
              <w:t>Shrinks contribution of each tree</w:t>
            </w:r>
          </w:p>
        </w:tc>
      </w:tr>
      <w:tr>
        <w:tc>
          <w:tcPr>
            <w:tcW w:type="dxa" w:w="3135"/>
            <w:shd w:fill="F0F2F6" w:color="auto" w:val="clear"/>
          </w:tcPr>
          <w:p>
            <w:r>
              <w:rPr>
                <w:sz w:val="20"/>
              </w:rPr>
              <w:t>max_depth</w:t>
            </w:r>
          </w:p>
        </w:tc>
        <w:tc>
          <w:tcPr>
            <w:tcW w:type="dxa" w:w="3135"/>
            <w:shd w:fill="F0F2F6" w:color="auto" w:val="clear"/>
          </w:tcPr>
          <w:p>
            <w:r>
              <w:rPr>
                <w:sz w:val="20"/>
              </w:rPr>
              <w:t>5</w:t>
            </w:r>
          </w:p>
        </w:tc>
        <w:tc>
          <w:tcPr>
            <w:tcW w:type="dxa" w:w="3135"/>
            <w:shd w:fill="F0F2F6" w:color="auto" w:val="clear"/>
          </w:tcPr>
          <w:p>
            <w:r>
              <w:rPr>
                <w:sz w:val="20"/>
              </w:rPr>
              <w:t>Limits tree depth to reduce overfitting</w:t>
            </w:r>
          </w:p>
        </w:tc>
      </w:tr>
      <w:tr>
        <w:tc>
          <w:tcPr>
            <w:tcW w:type="dxa" w:w="3135"/>
            <w:shd w:fill="FFFFFF" w:color="auto" w:val="clear"/>
          </w:tcPr>
          <w:p>
            <w:r>
              <w:rPr>
                <w:sz w:val="20"/>
              </w:rPr>
              <w:t>min_samples_split</w:t>
            </w:r>
          </w:p>
        </w:tc>
        <w:tc>
          <w:tcPr>
            <w:tcW w:type="dxa" w:w="3135"/>
            <w:shd w:fill="FFFFFF" w:color="auto" w:val="clear"/>
          </w:tcPr>
          <w:p>
            <w:r>
              <w:rPr>
                <w:sz w:val="20"/>
              </w:rPr>
              <w:t>5</w:t>
            </w:r>
          </w:p>
        </w:tc>
        <w:tc>
          <w:tcPr>
            <w:tcW w:type="dxa" w:w="3135"/>
            <w:shd w:fill="FFFFFF" w:color="auto" w:val="clear"/>
          </w:tcPr>
          <w:p>
            <w:r>
              <w:rPr>
                <w:sz w:val="20"/>
              </w:rPr>
              <w:t>Minimum samples to split a node</w:t>
            </w:r>
          </w:p>
        </w:tc>
      </w:tr>
      <w:tr>
        <w:tc>
          <w:tcPr>
            <w:tcW w:type="dxa" w:w="3135"/>
            <w:shd w:fill="F0F2F6" w:color="auto" w:val="clear"/>
          </w:tcPr>
          <w:p>
            <w:r>
              <w:rPr>
                <w:sz w:val="20"/>
              </w:rPr>
              <w:t>random_state</w:t>
            </w:r>
          </w:p>
        </w:tc>
        <w:tc>
          <w:tcPr>
            <w:tcW w:type="dxa" w:w="3135"/>
            <w:shd w:fill="F0F2F6" w:color="auto" w:val="clear"/>
          </w:tcPr>
          <w:p>
            <w:r>
              <w:rPr>
                <w:sz w:val="20"/>
              </w:rPr>
              <w:t>42</w:t>
            </w:r>
          </w:p>
        </w:tc>
        <w:tc>
          <w:tcPr>
            <w:tcW w:type="dxa" w:w="3135"/>
            <w:shd w:fill="F0F2F6" w:color="auto" w:val="clear"/>
          </w:tcPr>
          <w:p>
            <w:r>
              <w:rPr>
                <w:sz w:val="20"/>
              </w:rPr>
              <w:t>Ensures reproducible results</w:t>
            </w:r>
          </w:p>
        </w:tc>
      </w:tr>
    </w:tbl>
    <w:p>
      <w:pPr>
        <w:spacing w:after="80"/>
      </w:pPr>
    </w:p>
    <w:p>
      <w:pPr>
        <w:spacing w:before="240" w:after="120"/>
      </w:pPr>
      <w:r>
        <w:rPr>
          <w:b/>
          <w:color w:val="2A5298"/>
          <w:sz w:val="28"/>
        </w:rPr>
        <w:t>4.3 Train / Test Split</w:t>
      </w:r>
    </w:p>
    <w:p>
      <w:pPr>
        <w:spacing w:before="0" w:after="160"/>
        <w:jc w:val="left"/>
      </w:pPr>
      <w:r>
        <w:rPr>
          <w:b w:val="0"/>
          <w:i w:val="0"/>
          <w:sz w:val="22"/>
        </w:rPr>
        <w:t>Dataset split: 80% training (800 samples) / 20% test (200 samples), random_state=42 for reproducibility.</w:t>
      </w:r>
    </w:p>
    <w:p>
      <w:pPr>
        <w:spacing w:before="240" w:after="120"/>
      </w:pPr>
      <w:r>
        <w:rPr>
          <w:b/>
          <w:color w:val="2A5298"/>
          <w:sz w:val="28"/>
        </w:rPr>
        <w:t>4.4 Persisted Artefacts</w:t>
      </w:r>
    </w:p>
    <w:p>
      <w:pPr>
        <w:pStyle w:val="ListBullet"/>
        <w:spacing w:after="60"/>
      </w:pPr>
      <w:r>
        <w:rPr>
          <w:sz w:val="22"/>
        </w:rPr>
        <w:t>model/model.pkl  - fitted sklearn Pipeline (StandardScaler + GradientBoostingRegressor) serialised with joblib.</w:t>
      </w:r>
    </w:p>
    <w:p>
      <w:pPr>
        <w:pStyle w:val="ListBullet"/>
        <w:spacing w:after="60"/>
      </w:pPr>
      <w:r>
        <w:rPr>
          <w:sz w:val="22"/>
        </w:rPr>
        <w:t>model/metadata.json  - feature list, per-feature UI widget hints (min/max/step/default), model name, and evaluation metrics.</w:t>
      </w:r>
    </w:p>
    <w:p>
      <w:pPr>
        <w:spacing w:before="0" w:after="160"/>
        <w:jc w:val="left"/>
      </w:pPr>
      <w:r>
        <w:rPr>
          <w:b w:val="0"/>
          <w:i w:val="0"/>
          <w:sz w:val="22"/>
        </w:rPr>
      </w:r>
    </w:p>
    <w:p>
      <w:pPr>
        <w:spacing w:before="240" w:after="120"/>
      </w:pPr>
      <w:r>
        <w:rPr>
          <w:b/>
          <w:color w:val="1E3C72"/>
          <w:sz w:val="36"/>
        </w:rPr>
        <w:t>5. Backend - FastAPI Server (app.py)</w:t>
      </w:r>
    </w:p>
    <w:p>
      <w:pPr>
        <w:spacing w:before="0" w:after="160"/>
        <w:jc w:val="left"/>
      </w:pPr>
      <w:r>
        <w:rPr>
          <w:b w:val="0"/>
          <w:i w:val="0"/>
          <w:sz w:val="22"/>
        </w:rPr>
        <w:t>The FastAPI server (backend/app.py) loads the persisted pipeline at startup and exposes four HTTP endpoints. All I/O is validated by Pydantic v2 models, producing automatic OpenAPI documentation.</w:t>
      </w:r>
    </w:p>
    <w:tbl>
      <w:tblPr>
        <w:tblStyle w:val="TableGrid"/>
        <w:tblW w:type="auto" w:w="0"/>
        <w:tblLook w:firstColumn="1" w:firstRow="1" w:lastColumn="0" w:lastRow="0" w:noHBand="0" w:noVBand="1" w:val="04A0"/>
      </w:tblPr>
      <w:tblGrid>
        <w:gridCol w:w="3135"/>
        <w:gridCol w:w="3135"/>
        <w:gridCol w:w="3135"/>
      </w:tblGrid>
      <w:tr>
        <w:tc>
          <w:tcPr>
            <w:tcW w:type="dxa" w:w="3135"/>
            <w:shd w:fill="1e3c72" w:color="auto" w:val="clear"/>
          </w:tcPr>
          <w:p>
            <w:r>
              <w:rPr>
                <w:b/>
                <w:color w:val="FFFFFF"/>
                <w:sz w:val="20"/>
              </w:rPr>
              <w:t>Method</w:t>
            </w:r>
          </w:p>
        </w:tc>
        <w:tc>
          <w:tcPr>
            <w:tcW w:type="dxa" w:w="3135"/>
            <w:shd w:fill="1e3c72" w:color="auto" w:val="clear"/>
          </w:tcPr>
          <w:p>
            <w:r>
              <w:rPr>
                <w:b/>
                <w:color w:val="FFFFFF"/>
                <w:sz w:val="20"/>
              </w:rPr>
              <w:t>Path</w:t>
            </w:r>
          </w:p>
        </w:tc>
        <w:tc>
          <w:tcPr>
            <w:tcW w:type="dxa" w:w="3135"/>
            <w:shd w:fill="1e3c72" w:color="auto" w:val="clear"/>
          </w:tcPr>
          <w:p>
            <w:r>
              <w:rPr>
                <w:b/>
                <w:color w:val="FFFFFF"/>
                <w:sz w:val="20"/>
              </w:rPr>
              <w:t>Description</w:t>
            </w:r>
          </w:p>
        </w:tc>
      </w:tr>
      <w:tr>
        <w:tc>
          <w:tcPr>
            <w:tcW w:type="dxa" w:w="3135"/>
            <w:shd w:fill="F0F2F6" w:color="auto" w:val="clear"/>
          </w:tcPr>
          <w:p>
            <w:r>
              <w:rPr>
                <w:sz w:val="20"/>
              </w:rPr>
              <w:t>GET</w:t>
            </w:r>
          </w:p>
        </w:tc>
        <w:tc>
          <w:tcPr>
            <w:tcW w:type="dxa" w:w="3135"/>
            <w:shd w:fill="F0F2F6" w:color="auto" w:val="clear"/>
          </w:tcPr>
          <w:p>
            <w:r>
              <w:rPr>
                <w:sz w:val="20"/>
              </w:rPr>
              <w:t>/</w:t>
            </w:r>
          </w:p>
        </w:tc>
        <w:tc>
          <w:tcPr>
            <w:tcW w:type="dxa" w:w="3135"/>
            <w:shd w:fill="F0F2F6" w:color="auto" w:val="clear"/>
          </w:tcPr>
          <w:p>
            <w:r>
              <w:rPr>
                <w:sz w:val="20"/>
              </w:rPr>
              <w:t>Health check - returns service status</w:t>
            </w:r>
          </w:p>
        </w:tc>
      </w:tr>
      <w:tr>
        <w:tc>
          <w:tcPr>
            <w:tcW w:type="dxa" w:w="3135"/>
            <w:shd w:fill="FFFFFF" w:color="auto" w:val="clear"/>
          </w:tcPr>
          <w:p>
            <w:r>
              <w:rPr>
                <w:sz w:val="20"/>
              </w:rPr>
              <w:t>GET</w:t>
            </w:r>
          </w:p>
        </w:tc>
        <w:tc>
          <w:tcPr>
            <w:tcW w:type="dxa" w:w="3135"/>
            <w:shd w:fill="FFFFFF" w:color="auto" w:val="clear"/>
          </w:tcPr>
          <w:p>
            <w:r>
              <w:rPr>
                <w:sz w:val="20"/>
              </w:rPr>
              <w:t>/metadata</w:t>
            </w:r>
          </w:p>
        </w:tc>
        <w:tc>
          <w:tcPr>
            <w:tcW w:type="dxa" w:w="3135"/>
            <w:shd w:fill="FFFFFF" w:color="auto" w:val="clear"/>
          </w:tcPr>
          <w:p>
            <w:r>
              <w:rPr>
                <w:sz w:val="20"/>
              </w:rPr>
              <w:t>Returns feature metadata and model evaluation metrics</w:t>
            </w:r>
          </w:p>
        </w:tc>
      </w:tr>
      <w:tr>
        <w:tc>
          <w:tcPr>
            <w:tcW w:type="dxa" w:w="3135"/>
            <w:shd w:fill="F0F2F6" w:color="auto" w:val="clear"/>
          </w:tcPr>
          <w:p>
            <w:r>
              <w:rPr>
                <w:sz w:val="20"/>
              </w:rPr>
              <w:t>POST</w:t>
            </w:r>
          </w:p>
        </w:tc>
        <w:tc>
          <w:tcPr>
            <w:tcW w:type="dxa" w:w="3135"/>
            <w:shd w:fill="F0F2F6" w:color="auto" w:val="clear"/>
          </w:tcPr>
          <w:p>
            <w:r>
              <w:rPr>
                <w:sz w:val="20"/>
              </w:rPr>
              <w:t>/predict</w:t>
            </w:r>
          </w:p>
        </w:tc>
        <w:tc>
          <w:tcPr>
            <w:tcW w:type="dxa" w:w="3135"/>
            <w:shd w:fill="F0F2F6" w:color="auto" w:val="clear"/>
          </w:tcPr>
          <w:p>
            <w:r>
              <w:rPr>
                <w:sz w:val="20"/>
              </w:rPr>
              <w:t>Accepts 7 house features, returns predicted price + confidence range</w:t>
            </w:r>
          </w:p>
        </w:tc>
      </w:tr>
      <w:tr>
        <w:tc>
          <w:tcPr>
            <w:tcW w:type="dxa" w:w="3135"/>
            <w:shd w:fill="FFFFFF" w:color="auto" w:val="clear"/>
          </w:tcPr>
          <w:p>
            <w:r>
              <w:rPr>
                <w:sz w:val="20"/>
              </w:rPr>
              <w:t>GET</w:t>
            </w:r>
          </w:p>
        </w:tc>
        <w:tc>
          <w:tcPr>
            <w:tcW w:type="dxa" w:w="3135"/>
            <w:shd w:fill="FFFFFF" w:color="auto" w:val="clear"/>
          </w:tcPr>
          <w:p>
            <w:r>
              <w:rPr>
                <w:sz w:val="20"/>
              </w:rPr>
              <w:t>/feature_importance</w:t>
            </w:r>
          </w:p>
        </w:tc>
        <w:tc>
          <w:tcPr>
            <w:tcW w:type="dxa" w:w="3135"/>
            <w:shd w:fill="FFFFFF" w:color="auto" w:val="clear"/>
          </w:tcPr>
          <w:p>
            <w:r>
              <w:rPr>
                <w:sz w:val="20"/>
              </w:rPr>
              <w:t>Returns GBR feature importance scores sorted descending</w:t>
            </w:r>
          </w:p>
        </w:tc>
      </w:tr>
    </w:tbl>
    <w:p>
      <w:pPr>
        <w:spacing w:after="80"/>
      </w:pPr>
    </w:p>
    <w:p>
      <w:pPr>
        <w:spacing w:before="240" w:after="120"/>
      </w:pPr>
      <w:r>
        <w:rPr>
          <w:b/>
          <w:color w:val="2A5298"/>
          <w:sz w:val="28"/>
        </w:rPr>
        <w:t>5.1 Prediction Request / Response</w:t>
      </w:r>
    </w:p>
    <w:p>
      <w:pPr>
        <w:spacing w:before="0" w:after="60"/>
        <w:jc w:val="left"/>
      </w:pPr>
      <w:r>
        <w:rPr>
          <w:b/>
          <w:i w:val="0"/>
          <w:sz w:val="22"/>
        </w:rPr>
        <w:t>Example POST /predict request body:</w:t>
      </w:r>
    </w:p>
    <w:p>
      <w:pPr>
        <w:spacing w:before="0" w:after="120"/>
        <w:jc w:val="left"/>
      </w:pPr>
      <w:r>
        <w:rPr>
          <w:b w:val="0"/>
          <w:i w:val="0"/>
          <w:color w:val="57606A"/>
          <w:sz w:val="18"/>
        </w:rPr>
        <w:t>{ "Square_Footage": 2500, "Num_Bedrooms": 3, "Num_Bathrooms": 2, "Year_Built": 2005, "Lot_Size": 3.0, "Garage_Size": 1, "Neighborhood_Quality": 7 }</w:t>
      </w:r>
    </w:p>
    <w:p>
      <w:pPr>
        <w:spacing w:before="0" w:after="60"/>
        <w:jc w:val="left"/>
      </w:pPr>
      <w:r>
        <w:rPr>
          <w:b/>
          <w:i w:val="0"/>
          <w:sz w:val="22"/>
        </w:rPr>
        <w:t>Example response:</w:t>
      </w:r>
    </w:p>
    <w:p>
      <w:pPr>
        <w:spacing w:before="0" w:after="200"/>
        <w:jc w:val="left"/>
      </w:pPr>
      <w:r>
        <w:rPr>
          <w:b w:val="0"/>
          <w:i w:val="0"/>
          <w:color w:val="57606A"/>
          <w:sz w:val="18"/>
        </w:rPr>
        <w:t>{ "predicted_price": 612345.67, "formatted_price": "$612,345.67", "confidence_range": { "low": "$551,111.10", "high": "$673,580.24" } }</w:t>
      </w:r>
    </w:p>
    <w:p>
      <w:pPr>
        <w:spacing w:before="240" w:after="120"/>
      </w:pPr>
      <w:r>
        <w:rPr>
          <w:b/>
          <w:color w:val="1E3C72"/>
          <w:sz w:val="36"/>
        </w:rPr>
        <w:t>6. Model Evaluation &amp; Metrics</w:t>
      </w:r>
    </w:p>
    <w:p>
      <w:pPr>
        <w:spacing w:before="0" w:after="160"/>
        <w:jc w:val="left"/>
      </w:pPr>
      <w:r>
        <w:rPr>
          <w:b w:val="0"/>
          <w:i w:val="0"/>
          <w:sz w:val="22"/>
        </w:rPr>
        <w:t>The Gradient Boosting pipeline was evaluated on the 200-sample held-out test set. Results demonstrate excellent predictive accuracy with very low error rates.</w:t>
      </w:r>
    </w:p>
    <w:tbl>
      <w:tblPr>
        <w:tblStyle w:val="TableGrid"/>
        <w:tblW w:type="auto" w:w="0"/>
        <w:tblLook w:firstColumn="1" w:firstRow="1" w:lastColumn="0" w:lastRow="0" w:noHBand="0" w:noVBand="1" w:val="04A0"/>
      </w:tblPr>
      <w:tblGrid>
        <w:gridCol w:w="3135"/>
        <w:gridCol w:w="3135"/>
        <w:gridCol w:w="3135"/>
      </w:tblGrid>
      <w:tr>
        <w:tc>
          <w:tcPr>
            <w:tcW w:type="dxa" w:w="3135"/>
            <w:shd w:fill="1e3c72" w:color="auto" w:val="clear"/>
          </w:tcPr>
          <w:p>
            <w:r>
              <w:rPr>
                <w:b/>
                <w:color w:val="FFFFFF"/>
                <w:sz w:val="20"/>
              </w:rPr>
              <w:t>Metric</w:t>
            </w:r>
          </w:p>
        </w:tc>
        <w:tc>
          <w:tcPr>
            <w:tcW w:type="dxa" w:w="3135"/>
            <w:shd w:fill="1e3c72" w:color="auto" w:val="clear"/>
          </w:tcPr>
          <w:p>
            <w:r>
              <w:rPr>
                <w:b/>
                <w:color w:val="FFFFFF"/>
                <w:sz w:val="20"/>
              </w:rPr>
              <w:t>Value</w:t>
            </w:r>
          </w:p>
        </w:tc>
        <w:tc>
          <w:tcPr>
            <w:tcW w:type="dxa" w:w="3135"/>
            <w:shd w:fill="1e3c72" w:color="auto" w:val="clear"/>
          </w:tcPr>
          <w:p>
            <w:r>
              <w:rPr>
                <w:b/>
                <w:color w:val="FFFFFF"/>
                <w:sz w:val="20"/>
              </w:rPr>
              <w:t>Interpretation</w:t>
            </w:r>
          </w:p>
        </w:tc>
      </w:tr>
      <w:tr>
        <w:tc>
          <w:tcPr>
            <w:tcW w:type="dxa" w:w="3135"/>
            <w:shd w:fill="F0F2F6" w:color="auto" w:val="clear"/>
          </w:tcPr>
          <w:p>
            <w:r>
              <w:rPr>
                <w:sz w:val="20"/>
              </w:rPr>
              <w:t>R2 Score (R-squared)</w:t>
            </w:r>
          </w:p>
        </w:tc>
        <w:tc>
          <w:tcPr>
            <w:tcW w:type="dxa" w:w="3135"/>
            <w:shd w:fill="F0F2F6" w:color="auto" w:val="clear"/>
          </w:tcPr>
          <w:p>
            <w:r>
              <w:rPr>
                <w:sz w:val="20"/>
              </w:rPr>
              <w:t>0.9966</w:t>
            </w:r>
          </w:p>
        </w:tc>
        <w:tc>
          <w:tcPr>
            <w:tcW w:type="dxa" w:w="3135"/>
            <w:shd w:fill="F0F2F6" w:color="auto" w:val="clear"/>
          </w:tcPr>
          <w:p>
            <w:r>
              <w:rPr>
                <w:sz w:val="20"/>
              </w:rPr>
              <w:t>99.66% of price variance explained by the model. Excellent fit.</w:t>
            </w:r>
          </w:p>
        </w:tc>
      </w:tr>
      <w:tr>
        <w:tc>
          <w:tcPr>
            <w:tcW w:type="dxa" w:w="3135"/>
            <w:shd w:fill="FFFFFF" w:color="auto" w:val="clear"/>
          </w:tcPr>
          <w:p>
            <w:r>
              <w:rPr>
                <w:sz w:val="20"/>
              </w:rPr>
              <w:t>MAE (Mean Absolute Error)</w:t>
            </w:r>
          </w:p>
        </w:tc>
        <w:tc>
          <w:tcPr>
            <w:tcW w:type="dxa" w:w="3135"/>
            <w:shd w:fill="FFFFFF" w:color="auto" w:val="clear"/>
          </w:tcPr>
          <w:p>
            <w:r>
              <w:rPr>
                <w:sz w:val="20"/>
              </w:rPr>
              <w:t>$12,113.67</w:t>
            </w:r>
          </w:p>
        </w:tc>
        <w:tc>
          <w:tcPr>
            <w:tcW w:type="dxa" w:w="3135"/>
            <w:shd w:fill="FFFFFF" w:color="auto" w:val="clear"/>
          </w:tcPr>
          <w:p>
            <w:r>
              <w:rPr>
                <w:sz w:val="20"/>
              </w:rPr>
              <w:t>Average prediction error of ~$12,114 on house prices up to $1.1M</w:t>
            </w:r>
          </w:p>
        </w:tc>
      </w:tr>
      <w:tr>
        <w:tc>
          <w:tcPr>
            <w:tcW w:type="dxa" w:w="3135"/>
            <w:shd w:fill="F0F2F6" w:color="auto" w:val="clear"/>
          </w:tcPr>
          <w:p>
            <w:r>
              <w:rPr>
                <w:sz w:val="20"/>
              </w:rPr>
              <w:t>RMSE (Root Mean Squared Error)</w:t>
            </w:r>
          </w:p>
        </w:tc>
        <w:tc>
          <w:tcPr>
            <w:tcW w:type="dxa" w:w="3135"/>
            <w:shd w:fill="F0F2F6" w:color="auto" w:val="clear"/>
          </w:tcPr>
          <w:p>
            <w:r>
              <w:rPr>
                <w:sz w:val="20"/>
              </w:rPr>
              <w:t>$14,839.89</w:t>
            </w:r>
          </w:p>
        </w:tc>
        <w:tc>
          <w:tcPr>
            <w:tcW w:type="dxa" w:w="3135"/>
            <w:shd w:fill="F0F2F6" w:color="auto" w:val="clear"/>
          </w:tcPr>
          <w:p>
            <w:r>
              <w:rPr>
                <w:sz w:val="20"/>
              </w:rPr>
              <w:t>Penalises large errors. Remains very low relative to price range.</w:t>
            </w:r>
          </w:p>
        </w:tc>
      </w:tr>
      <w:tr>
        <w:tc>
          <w:tcPr>
            <w:tcW w:type="dxa" w:w="3135"/>
            <w:shd w:fill="FFFFFF" w:color="auto" w:val="clear"/>
          </w:tcPr>
          <w:p>
            <w:r>
              <w:rPr>
                <w:sz w:val="20"/>
              </w:rPr>
              <w:t>Test Samples</w:t>
            </w:r>
          </w:p>
        </w:tc>
        <w:tc>
          <w:tcPr>
            <w:tcW w:type="dxa" w:w="3135"/>
            <w:shd w:fill="FFFFFF" w:color="auto" w:val="clear"/>
          </w:tcPr>
          <w:p>
            <w:r>
              <w:rPr>
                <w:sz w:val="20"/>
              </w:rPr>
              <w:t>200</w:t>
            </w:r>
          </w:p>
        </w:tc>
        <w:tc>
          <w:tcPr>
            <w:tcW w:type="dxa" w:w="3135"/>
            <w:shd w:fill="FFFFFF" w:color="auto" w:val="clear"/>
          </w:tcPr>
          <w:p>
            <w:r>
              <w:rPr>
                <w:sz w:val="20"/>
              </w:rPr>
              <w:t>20% of 1,000 total records used for unbiased evaluation</w:t>
            </w:r>
          </w:p>
        </w:tc>
      </w:tr>
    </w:tbl>
    <w:p>
      <w:pPr>
        <w:spacing w:after="80"/>
      </w:pPr>
    </w:p>
    <w:p>
      <w:pPr>
        <w:jc w:val="center"/>
      </w:pPr>
      <w:r>
        <w:drawing>
          <wp:inline xmlns:a="http://schemas.openxmlformats.org/drawingml/2006/main" xmlns:pic="http://schemas.openxmlformats.org/drawingml/2006/picture">
            <wp:extent cx="5029200" cy="1277077"/>
            <wp:docPr id="1" name="Picture 1"/>
            <wp:cNvGraphicFramePr>
              <a:graphicFrameLocks noChangeAspect="1"/>
            </wp:cNvGraphicFramePr>
            <a:graphic>
              <a:graphicData uri="http://schemas.openxmlformats.org/drawingml/2006/picture">
                <pic:pic>
                  <pic:nvPicPr>
                    <pic:cNvPr id="0" name="model_metrics.png"/>
                    <pic:cNvPicPr/>
                  </pic:nvPicPr>
                  <pic:blipFill>
                    <a:blip r:embed="rId9"/>
                    <a:stretch>
                      <a:fillRect/>
                    </a:stretch>
                  </pic:blipFill>
                  <pic:spPr>
                    <a:xfrm>
                      <a:off x="0" y="0"/>
                      <a:ext cx="5029200" cy="1277077"/>
                    </a:xfrm>
                    <a:prstGeom prst="rect"/>
                  </pic:spPr>
                </pic:pic>
              </a:graphicData>
            </a:graphic>
          </wp:inline>
        </w:drawing>
      </w:r>
    </w:p>
    <w:p>
      <w:pPr>
        <w:spacing w:after="200"/>
        <w:jc w:val="center"/>
      </w:pPr>
      <w:r>
        <w:rPr>
          <w:i/>
          <w:color w:val="57606A"/>
          <w:sz w:val="18"/>
        </w:rPr>
        <w:t>Figure 1: Model Evaluation Metrics (Test Set, 200 samples)</w:t>
      </w:r>
    </w:p>
    <w:p>
      <w:pPr>
        <w:jc w:val="center"/>
      </w:pPr>
      <w:r>
        <w:drawing>
          <wp:inline xmlns:a="http://schemas.openxmlformats.org/drawingml/2006/main" xmlns:pic="http://schemas.openxmlformats.org/drawingml/2006/picture">
            <wp:extent cx="4572000" cy="3780692"/>
            <wp:docPr id="2" name="Picture 2"/>
            <wp:cNvGraphicFramePr>
              <a:graphicFrameLocks noChangeAspect="1"/>
            </wp:cNvGraphicFramePr>
            <a:graphic>
              <a:graphicData uri="http://schemas.openxmlformats.org/drawingml/2006/picture">
                <pic:pic>
                  <pic:nvPicPr>
                    <pic:cNvPr id="0" name="actual_vs_predicted.png"/>
                    <pic:cNvPicPr/>
                  </pic:nvPicPr>
                  <pic:blipFill>
                    <a:blip r:embed="rId10"/>
                    <a:stretch>
                      <a:fillRect/>
                    </a:stretch>
                  </pic:blipFill>
                  <pic:spPr>
                    <a:xfrm>
                      <a:off x="0" y="0"/>
                      <a:ext cx="4572000" cy="3780692"/>
                    </a:xfrm>
                    <a:prstGeom prst="rect"/>
                  </pic:spPr>
                </pic:pic>
              </a:graphicData>
            </a:graphic>
          </wp:inline>
        </w:drawing>
      </w:r>
    </w:p>
    <w:p>
      <w:pPr>
        <w:spacing w:after="200"/>
        <w:jc w:val="center"/>
      </w:pPr>
      <w:r>
        <w:rPr>
          <w:i/>
          <w:color w:val="57606A"/>
          <w:sz w:val="18"/>
        </w:rPr>
        <w:t>Figure 2: Actual vs Predicted House Prices - points lie close to the perfect-fit diagonal</w:t>
      </w:r>
    </w:p>
    <w:p>
      <w:pPr>
        <w:spacing w:before="0" w:after="160"/>
        <w:jc w:val="left"/>
      </w:pPr>
      <w:r>
        <w:rPr>
          <w:b w:val="0"/>
          <w:i w:val="0"/>
          <w:sz w:val="22"/>
        </w:rPr>
      </w:r>
    </w:p>
    <w:p>
      <w:pPr>
        <w:spacing w:before="240" w:after="120"/>
      </w:pPr>
      <w:r>
        <w:rPr>
          <w:b/>
          <w:color w:val="1E3C72"/>
          <w:sz w:val="36"/>
        </w:rPr>
        <w:t>7. Feature Importance Analysis</w:t>
      </w:r>
    </w:p>
    <w:p>
      <w:pPr>
        <w:spacing w:before="0" w:after="160"/>
        <w:jc w:val="left"/>
      </w:pPr>
      <w:r>
        <w:rPr>
          <w:b w:val="0"/>
          <w:i w:val="0"/>
          <w:sz w:val="22"/>
        </w:rPr>
        <w:t>The GradientBoostingRegressor internally computes feature importance scores as the mean decrease in impurity across all trees. The /feature_importance API endpoint exposes these scores sorted in descending order.</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e3c72" w:color="auto" w:val="clear"/>
          </w:tcPr>
          <w:p>
            <w:r>
              <w:rPr>
                <w:b/>
                <w:color w:val="FFFFFF"/>
                <w:sz w:val="20"/>
              </w:rPr>
              <w:t>Rank</w:t>
            </w:r>
          </w:p>
        </w:tc>
        <w:tc>
          <w:tcPr>
            <w:tcW w:type="dxa" w:w="2351"/>
            <w:shd w:fill="1e3c72" w:color="auto" w:val="clear"/>
          </w:tcPr>
          <w:p>
            <w:r>
              <w:rPr>
                <w:b/>
                <w:color w:val="FFFFFF"/>
                <w:sz w:val="20"/>
              </w:rPr>
              <w:t>Feature</w:t>
            </w:r>
          </w:p>
        </w:tc>
        <w:tc>
          <w:tcPr>
            <w:tcW w:type="dxa" w:w="2351"/>
            <w:shd w:fill="1e3c72" w:color="auto" w:val="clear"/>
          </w:tcPr>
          <w:p>
            <w:r>
              <w:rPr>
                <w:b/>
                <w:color w:val="FFFFFF"/>
                <w:sz w:val="20"/>
              </w:rPr>
              <w:t>Importance Score</w:t>
            </w:r>
          </w:p>
        </w:tc>
        <w:tc>
          <w:tcPr>
            <w:tcW w:type="dxa" w:w="2351"/>
            <w:shd w:fill="1e3c72" w:color="auto" w:val="clear"/>
          </w:tcPr>
          <w:p>
            <w:r>
              <w:rPr>
                <w:b/>
                <w:color w:val="FFFFFF"/>
                <w:sz w:val="20"/>
              </w:rPr>
              <w:t>Insight</w:t>
            </w:r>
          </w:p>
        </w:tc>
      </w:tr>
      <w:tr>
        <w:tc>
          <w:tcPr>
            <w:tcW w:type="dxa" w:w="2351"/>
            <w:shd w:fill="F0F2F6" w:color="auto" w:val="clear"/>
          </w:tcPr>
          <w:p>
            <w:r>
              <w:rPr>
                <w:sz w:val="20"/>
              </w:rPr>
              <w:t>1</w:t>
            </w:r>
          </w:p>
        </w:tc>
        <w:tc>
          <w:tcPr>
            <w:tcW w:type="dxa" w:w="2351"/>
            <w:shd w:fill="F0F2F6" w:color="auto" w:val="clear"/>
          </w:tcPr>
          <w:p>
            <w:r>
              <w:rPr>
                <w:sz w:val="20"/>
              </w:rPr>
              <w:t>Square_Footage</w:t>
            </w:r>
          </w:p>
        </w:tc>
        <w:tc>
          <w:tcPr>
            <w:tcW w:type="dxa" w:w="2351"/>
            <w:shd w:fill="F0F2F6" w:color="auto" w:val="clear"/>
          </w:tcPr>
          <w:p>
            <w:r>
              <w:rPr>
                <w:sz w:val="20"/>
              </w:rPr>
              <w:t>0.612</w:t>
            </w:r>
          </w:p>
        </w:tc>
        <w:tc>
          <w:tcPr>
            <w:tcW w:type="dxa" w:w="2351"/>
            <w:shd w:fill="F0F2F6" w:color="auto" w:val="clear"/>
          </w:tcPr>
          <w:p>
            <w:r>
              <w:rPr>
                <w:sz w:val="20"/>
              </w:rPr>
              <w:t>Strongest driver - larger homes command significantly higher prices</w:t>
            </w:r>
          </w:p>
        </w:tc>
      </w:tr>
      <w:tr>
        <w:tc>
          <w:tcPr>
            <w:tcW w:type="dxa" w:w="2351"/>
            <w:shd w:fill="FFFFFF" w:color="auto" w:val="clear"/>
          </w:tcPr>
          <w:p>
            <w:r>
              <w:rPr>
                <w:sz w:val="20"/>
              </w:rPr>
              <w:t>2</w:t>
            </w:r>
          </w:p>
        </w:tc>
        <w:tc>
          <w:tcPr>
            <w:tcW w:type="dxa" w:w="2351"/>
            <w:shd w:fill="FFFFFF" w:color="auto" w:val="clear"/>
          </w:tcPr>
          <w:p>
            <w:r>
              <w:rPr>
                <w:sz w:val="20"/>
              </w:rPr>
              <w:t>Neighborhood_Quality</w:t>
            </w:r>
          </w:p>
        </w:tc>
        <w:tc>
          <w:tcPr>
            <w:tcW w:type="dxa" w:w="2351"/>
            <w:shd w:fill="FFFFFF" w:color="auto" w:val="clear"/>
          </w:tcPr>
          <w:p>
            <w:r>
              <w:rPr>
                <w:sz w:val="20"/>
              </w:rPr>
              <w:t>0.198</w:t>
            </w:r>
          </w:p>
        </w:tc>
        <w:tc>
          <w:tcPr>
            <w:tcW w:type="dxa" w:w="2351"/>
            <w:shd w:fill="FFFFFF" w:color="auto" w:val="clear"/>
          </w:tcPr>
          <w:p>
            <w:r>
              <w:rPr>
                <w:sz w:val="20"/>
              </w:rPr>
              <w:t>Second strongest - desirable areas add major price premium</w:t>
            </w:r>
          </w:p>
        </w:tc>
      </w:tr>
      <w:tr>
        <w:tc>
          <w:tcPr>
            <w:tcW w:type="dxa" w:w="2351"/>
            <w:shd w:fill="F0F2F6" w:color="auto" w:val="clear"/>
          </w:tcPr>
          <w:p>
            <w:r>
              <w:rPr>
                <w:sz w:val="20"/>
              </w:rPr>
              <w:t>3</w:t>
            </w:r>
          </w:p>
        </w:tc>
        <w:tc>
          <w:tcPr>
            <w:tcW w:type="dxa" w:w="2351"/>
            <w:shd w:fill="F0F2F6" w:color="auto" w:val="clear"/>
          </w:tcPr>
          <w:p>
            <w:r>
              <w:rPr>
                <w:sz w:val="20"/>
              </w:rPr>
              <w:t>Lot_Size</w:t>
            </w:r>
          </w:p>
        </w:tc>
        <w:tc>
          <w:tcPr>
            <w:tcW w:type="dxa" w:w="2351"/>
            <w:shd w:fill="F0F2F6" w:color="auto" w:val="clear"/>
          </w:tcPr>
          <w:p>
            <w:r>
              <w:rPr>
                <w:sz w:val="20"/>
              </w:rPr>
              <w:t>0.082</w:t>
            </w:r>
          </w:p>
        </w:tc>
        <w:tc>
          <w:tcPr>
            <w:tcW w:type="dxa" w:w="2351"/>
            <w:shd w:fill="F0F2F6" w:color="auto" w:val="clear"/>
          </w:tcPr>
          <w:p>
            <w:r>
              <w:rPr>
                <w:sz w:val="20"/>
              </w:rPr>
              <w:t>Larger lots meaningfully increase property value</w:t>
            </w:r>
          </w:p>
        </w:tc>
      </w:tr>
      <w:tr>
        <w:tc>
          <w:tcPr>
            <w:tcW w:type="dxa" w:w="2351"/>
            <w:shd w:fill="FFFFFF" w:color="auto" w:val="clear"/>
          </w:tcPr>
          <w:p>
            <w:r>
              <w:rPr>
                <w:sz w:val="20"/>
              </w:rPr>
              <w:t>4</w:t>
            </w:r>
          </w:p>
        </w:tc>
        <w:tc>
          <w:tcPr>
            <w:tcW w:type="dxa" w:w="2351"/>
            <w:shd w:fill="FFFFFF" w:color="auto" w:val="clear"/>
          </w:tcPr>
          <w:p>
            <w:r>
              <w:rPr>
                <w:sz w:val="20"/>
              </w:rPr>
              <w:t>Year_Built</w:t>
            </w:r>
          </w:p>
        </w:tc>
        <w:tc>
          <w:tcPr>
            <w:tcW w:type="dxa" w:w="2351"/>
            <w:shd w:fill="FFFFFF" w:color="auto" w:val="clear"/>
          </w:tcPr>
          <w:p>
            <w:r>
              <w:rPr>
                <w:sz w:val="20"/>
              </w:rPr>
              <w:t>0.051</w:t>
            </w:r>
          </w:p>
        </w:tc>
        <w:tc>
          <w:tcPr>
            <w:tcW w:type="dxa" w:w="2351"/>
            <w:shd w:fill="FFFFFF" w:color="auto" w:val="clear"/>
          </w:tcPr>
          <w:p>
            <w:r>
              <w:rPr>
                <w:sz w:val="20"/>
              </w:rPr>
              <w:t>Newer construction commands a moderate premium</w:t>
            </w:r>
          </w:p>
        </w:tc>
      </w:tr>
      <w:tr>
        <w:tc>
          <w:tcPr>
            <w:tcW w:type="dxa" w:w="2351"/>
            <w:shd w:fill="F0F2F6" w:color="auto" w:val="clear"/>
          </w:tcPr>
          <w:p>
            <w:r>
              <w:rPr>
                <w:sz w:val="20"/>
              </w:rPr>
              <w:t>5</w:t>
            </w:r>
          </w:p>
        </w:tc>
        <w:tc>
          <w:tcPr>
            <w:tcW w:type="dxa" w:w="2351"/>
            <w:shd w:fill="F0F2F6" w:color="auto" w:val="clear"/>
          </w:tcPr>
          <w:p>
            <w:r>
              <w:rPr>
                <w:sz w:val="20"/>
              </w:rPr>
              <w:t>Num_Bathrooms</w:t>
            </w:r>
          </w:p>
        </w:tc>
        <w:tc>
          <w:tcPr>
            <w:tcW w:type="dxa" w:w="2351"/>
            <w:shd w:fill="F0F2F6" w:color="auto" w:val="clear"/>
          </w:tcPr>
          <w:p>
            <w:r>
              <w:rPr>
                <w:sz w:val="20"/>
              </w:rPr>
              <w:t>0.028</w:t>
            </w:r>
          </w:p>
        </w:tc>
        <w:tc>
          <w:tcPr>
            <w:tcW w:type="dxa" w:w="2351"/>
            <w:shd w:fill="F0F2F6" w:color="auto" w:val="clear"/>
          </w:tcPr>
          <w:p>
            <w:r>
              <w:rPr>
                <w:sz w:val="20"/>
              </w:rPr>
              <w:t>Additional bathrooms add incremental value</w:t>
            </w:r>
          </w:p>
        </w:tc>
      </w:tr>
      <w:tr>
        <w:tc>
          <w:tcPr>
            <w:tcW w:type="dxa" w:w="2351"/>
            <w:shd w:fill="FFFFFF" w:color="auto" w:val="clear"/>
          </w:tcPr>
          <w:p>
            <w:r>
              <w:rPr>
                <w:sz w:val="20"/>
              </w:rPr>
              <w:t>6</w:t>
            </w:r>
          </w:p>
        </w:tc>
        <w:tc>
          <w:tcPr>
            <w:tcW w:type="dxa" w:w="2351"/>
            <w:shd w:fill="FFFFFF" w:color="auto" w:val="clear"/>
          </w:tcPr>
          <w:p>
            <w:r>
              <w:rPr>
                <w:sz w:val="20"/>
              </w:rPr>
              <w:t>Garage_Size</w:t>
            </w:r>
          </w:p>
        </w:tc>
        <w:tc>
          <w:tcPr>
            <w:tcW w:type="dxa" w:w="2351"/>
            <w:shd w:fill="FFFFFF" w:color="auto" w:val="clear"/>
          </w:tcPr>
          <w:p>
            <w:r>
              <w:rPr>
                <w:sz w:val="20"/>
              </w:rPr>
              <w:t>0.018</w:t>
            </w:r>
          </w:p>
        </w:tc>
        <w:tc>
          <w:tcPr>
            <w:tcW w:type="dxa" w:w="2351"/>
            <w:shd w:fill="FFFFFF" w:color="auto" w:val="clear"/>
          </w:tcPr>
          <w:p>
            <w:r>
              <w:rPr>
                <w:sz w:val="20"/>
              </w:rPr>
              <w:t>Extra parking capacity adds minor value</w:t>
            </w:r>
          </w:p>
        </w:tc>
      </w:tr>
      <w:tr>
        <w:tc>
          <w:tcPr>
            <w:tcW w:type="dxa" w:w="2351"/>
            <w:shd w:fill="F0F2F6" w:color="auto" w:val="clear"/>
          </w:tcPr>
          <w:p>
            <w:r>
              <w:rPr>
                <w:sz w:val="20"/>
              </w:rPr>
              <w:t>7</w:t>
            </w:r>
          </w:p>
        </w:tc>
        <w:tc>
          <w:tcPr>
            <w:tcW w:type="dxa" w:w="2351"/>
            <w:shd w:fill="F0F2F6" w:color="auto" w:val="clear"/>
          </w:tcPr>
          <w:p>
            <w:r>
              <w:rPr>
                <w:sz w:val="20"/>
              </w:rPr>
              <w:t>Num_Bedrooms</w:t>
            </w:r>
          </w:p>
        </w:tc>
        <w:tc>
          <w:tcPr>
            <w:tcW w:type="dxa" w:w="2351"/>
            <w:shd w:fill="F0F2F6" w:color="auto" w:val="clear"/>
          </w:tcPr>
          <w:p>
            <w:r>
              <w:rPr>
                <w:sz w:val="20"/>
              </w:rPr>
              <w:t>0.011</w:t>
            </w:r>
          </w:p>
        </w:tc>
        <w:tc>
          <w:tcPr>
            <w:tcW w:type="dxa" w:w="2351"/>
            <w:shd w:fill="F0F2F6" w:color="auto" w:val="clear"/>
          </w:tcPr>
          <w:p>
            <w:r>
              <w:rPr>
                <w:sz w:val="20"/>
              </w:rPr>
              <w:t>Least important - bedroom count matters less than overall size</w:t>
            </w:r>
          </w:p>
        </w:tc>
      </w:tr>
    </w:tbl>
    <w:p>
      <w:pPr>
        <w:spacing w:after="80"/>
      </w:pPr>
    </w:p>
    <w:p>
      <w:pPr>
        <w:jc w:val="center"/>
      </w:pPr>
      <w:r>
        <w:drawing>
          <wp:inline xmlns:a="http://schemas.openxmlformats.org/drawingml/2006/main" xmlns:pic="http://schemas.openxmlformats.org/drawingml/2006/picture">
            <wp:extent cx="5486400" cy="2692228"/>
            <wp:docPr id="3" name="Picture 3"/>
            <wp:cNvGraphicFramePr>
              <a:graphicFrameLocks noChangeAspect="1"/>
            </wp:cNvGraphicFramePr>
            <a:graphic>
              <a:graphicData uri="http://schemas.openxmlformats.org/drawingml/2006/picture">
                <pic:pic>
                  <pic:nvPicPr>
                    <pic:cNvPr id="0" name="feature_importance.png"/>
                    <pic:cNvPicPr/>
                  </pic:nvPicPr>
                  <pic:blipFill>
                    <a:blip r:embed="rId11"/>
                    <a:stretch>
                      <a:fillRect/>
                    </a:stretch>
                  </pic:blipFill>
                  <pic:spPr>
                    <a:xfrm>
                      <a:off x="0" y="0"/>
                      <a:ext cx="5486400" cy="2692228"/>
                    </a:xfrm>
                    <a:prstGeom prst="rect"/>
                  </pic:spPr>
                </pic:pic>
              </a:graphicData>
            </a:graphic>
          </wp:inline>
        </w:drawing>
      </w:r>
    </w:p>
    <w:p>
      <w:pPr>
        <w:spacing w:after="200"/>
        <w:jc w:val="center"/>
      </w:pPr>
      <w:r>
        <w:rPr>
          <w:i/>
          <w:color w:val="57606A"/>
          <w:sz w:val="18"/>
        </w:rPr>
        <w:t>Figure 3: Feature Importance Scores - Square Footage and Neighbourhood Quality dominate</w:t>
      </w:r>
    </w:p>
    <w:p>
      <w:pPr>
        <w:spacing w:before="0" w:after="160"/>
        <w:jc w:val="left"/>
      </w:pPr>
      <w:r>
        <w:rPr>
          <w:b w:val="0"/>
          <w:i w:val="0"/>
          <w:sz w:val="22"/>
        </w:rPr>
      </w:r>
    </w:p>
    <w:p>
      <w:pPr>
        <w:spacing w:before="240" w:after="120"/>
      </w:pPr>
      <w:r>
        <w:rPr>
          <w:b/>
          <w:color w:val="1E3C72"/>
          <w:sz w:val="36"/>
        </w:rPr>
        <w:t>8. Frontend - Streamlit Dashboard (frontend.py)</w:t>
      </w:r>
    </w:p>
    <w:p>
      <w:pPr>
        <w:spacing w:before="0" w:after="160"/>
        <w:jc w:val="left"/>
      </w:pPr>
      <w:r>
        <w:rPr>
          <w:b w:val="0"/>
          <w:i w:val="0"/>
          <w:sz w:val="22"/>
        </w:rPr>
        <w:t>The Streamlit dashboard (frontend/frontend.py) provides a complete interactive interface for exploring the model. It communicates exclusively via HTTP requests to the FastAPI backend - no ML code runs in the frontend.</w:t>
      </w:r>
    </w:p>
    <w:p>
      <w:pPr>
        <w:spacing w:before="240" w:after="120"/>
      </w:pPr>
      <w:r>
        <w:rPr>
          <w:b/>
          <w:color w:val="2A5298"/>
          <w:sz w:val="28"/>
        </w:rPr>
        <w:t>8.1 Dashboard Sections</w:t>
      </w:r>
    </w:p>
    <w:tbl>
      <w:tblPr>
        <w:tblStyle w:val="TableGrid"/>
        <w:tblW w:type="auto" w:w="0"/>
        <w:tblLook w:firstColumn="1" w:firstRow="1" w:lastColumn="0" w:lastRow="0" w:noHBand="0" w:noVBand="1" w:val="04A0"/>
      </w:tblPr>
      <w:tblGrid>
        <w:gridCol w:w="3135"/>
        <w:gridCol w:w="3135"/>
        <w:gridCol w:w="3135"/>
      </w:tblGrid>
      <w:tr>
        <w:tc>
          <w:tcPr>
            <w:tcW w:type="dxa" w:w="3135"/>
            <w:shd w:fill="1e3c72" w:color="auto" w:val="clear"/>
          </w:tcPr>
          <w:p>
            <w:r>
              <w:rPr>
                <w:b/>
                <w:color w:val="FFFFFF"/>
                <w:sz w:val="20"/>
              </w:rPr>
              <w:t>Section</w:t>
            </w:r>
          </w:p>
        </w:tc>
        <w:tc>
          <w:tcPr>
            <w:tcW w:type="dxa" w:w="3135"/>
            <w:shd w:fill="1e3c72" w:color="auto" w:val="clear"/>
          </w:tcPr>
          <w:p>
            <w:r>
              <w:rPr>
                <w:b/>
                <w:color w:val="FFFFFF"/>
                <w:sz w:val="20"/>
              </w:rPr>
              <w:t>Component</w:t>
            </w:r>
          </w:p>
        </w:tc>
        <w:tc>
          <w:tcPr>
            <w:tcW w:type="dxa" w:w="3135"/>
            <w:shd w:fill="1e3c72" w:color="auto" w:val="clear"/>
          </w:tcPr>
          <w:p>
            <w:r>
              <w:rPr>
                <w:b/>
                <w:color w:val="FFFFFF"/>
                <w:sz w:val="20"/>
              </w:rPr>
              <w:t>Description</w:t>
            </w:r>
          </w:p>
        </w:tc>
      </w:tr>
      <w:tr>
        <w:tc>
          <w:tcPr>
            <w:tcW w:type="dxa" w:w="3135"/>
            <w:shd w:fill="F0F2F6" w:color="auto" w:val="clear"/>
          </w:tcPr>
          <w:p>
            <w:r>
              <w:rPr>
                <w:sz w:val="20"/>
              </w:rPr>
              <w:t>Sidebar</w:t>
            </w:r>
          </w:p>
        </w:tc>
        <w:tc>
          <w:tcPr>
            <w:tcW w:type="dxa" w:w="3135"/>
            <w:shd w:fill="F0F2F6" w:color="auto" w:val="clear"/>
          </w:tcPr>
          <w:p>
            <w:r>
              <w:rPr>
                <w:sz w:val="20"/>
              </w:rPr>
              <w:t>Sliders + number inputs</w:t>
            </w:r>
          </w:p>
        </w:tc>
        <w:tc>
          <w:tcPr>
            <w:tcW w:type="dxa" w:w="3135"/>
            <w:shd w:fill="F0F2F6" w:color="auto" w:val="clear"/>
          </w:tcPr>
          <w:p>
            <w:r>
              <w:rPr>
                <w:sz w:val="20"/>
              </w:rPr>
              <w:t>Adjust all 7 property features in real time</w:t>
            </w:r>
          </w:p>
        </w:tc>
      </w:tr>
      <w:tr>
        <w:tc>
          <w:tcPr>
            <w:tcW w:type="dxa" w:w="3135"/>
            <w:shd w:fill="FFFFFF" w:color="auto" w:val="clear"/>
          </w:tcPr>
          <w:p>
            <w:r>
              <w:rPr>
                <w:sz w:val="20"/>
              </w:rPr>
              <w:t>Metrics Banner</w:t>
            </w:r>
          </w:p>
        </w:tc>
        <w:tc>
          <w:tcPr>
            <w:tcW w:type="dxa" w:w="3135"/>
            <w:shd w:fill="FFFFFF" w:color="auto" w:val="clear"/>
          </w:tcPr>
          <w:p>
            <w:r>
              <w:rPr>
                <w:sz w:val="20"/>
              </w:rPr>
              <w:t>4 metric cards</w:t>
            </w:r>
          </w:p>
        </w:tc>
        <w:tc>
          <w:tcPr>
            <w:tcW w:type="dxa" w:w="3135"/>
            <w:shd w:fill="FFFFFF" w:color="auto" w:val="clear"/>
          </w:tcPr>
          <w:p>
            <w:r>
              <w:rPr>
                <w:sz w:val="20"/>
              </w:rPr>
              <w:t>Model, R2, MAE, RMSE at a glance</w:t>
            </w:r>
          </w:p>
        </w:tc>
      </w:tr>
      <w:tr>
        <w:tc>
          <w:tcPr>
            <w:tcW w:type="dxa" w:w="3135"/>
            <w:shd w:fill="F0F2F6" w:color="auto" w:val="clear"/>
          </w:tcPr>
          <w:p>
            <w:r>
              <w:rPr>
                <w:sz w:val="20"/>
              </w:rPr>
              <w:t>Prediction Card</w:t>
            </w:r>
          </w:p>
        </w:tc>
        <w:tc>
          <w:tcPr>
            <w:tcW w:type="dxa" w:w="3135"/>
            <w:shd w:fill="F0F2F6" w:color="auto" w:val="clear"/>
          </w:tcPr>
          <w:p>
            <w:r>
              <w:rPr>
                <w:sz w:val="20"/>
              </w:rPr>
              <w:t>Styled price banner</w:t>
            </w:r>
          </w:p>
        </w:tc>
        <w:tc>
          <w:tcPr>
            <w:tcW w:type="dxa" w:w="3135"/>
            <w:shd w:fill="F0F2F6" w:color="auto" w:val="clear"/>
          </w:tcPr>
          <w:p>
            <w:r>
              <w:rPr>
                <w:sz w:val="20"/>
              </w:rPr>
              <w:t>Large formatted price + confidence range</w:t>
            </w:r>
          </w:p>
        </w:tc>
      </w:tr>
      <w:tr>
        <w:tc>
          <w:tcPr>
            <w:tcW w:type="dxa" w:w="3135"/>
            <w:shd w:fill="FFFFFF" w:color="auto" w:val="clear"/>
          </w:tcPr>
          <w:p>
            <w:r>
              <w:rPr>
                <w:sz w:val="20"/>
              </w:rPr>
              <w:t>Feature Importance</w:t>
            </w:r>
          </w:p>
        </w:tc>
        <w:tc>
          <w:tcPr>
            <w:tcW w:type="dxa" w:w="3135"/>
            <w:shd w:fill="FFFFFF" w:color="auto" w:val="clear"/>
          </w:tcPr>
          <w:p>
            <w:r>
              <w:rPr>
                <w:sz w:val="20"/>
              </w:rPr>
              <w:t>Horizontal bar chart</w:t>
            </w:r>
          </w:p>
        </w:tc>
        <w:tc>
          <w:tcPr>
            <w:tcW w:type="dxa" w:w="3135"/>
            <w:shd w:fill="FFFFFF" w:color="auto" w:val="clear"/>
          </w:tcPr>
          <w:p>
            <w:r>
              <w:rPr>
                <w:sz w:val="20"/>
              </w:rPr>
              <w:t>Plotly chart - importances from /feature_importance</w:t>
            </w:r>
          </w:p>
        </w:tc>
      </w:tr>
      <w:tr>
        <w:tc>
          <w:tcPr>
            <w:tcW w:type="dxa" w:w="3135"/>
            <w:shd w:fill="F0F2F6" w:color="auto" w:val="clear"/>
          </w:tcPr>
          <w:p>
            <w:r>
              <w:rPr>
                <w:sz w:val="20"/>
              </w:rPr>
              <w:t>Input Radar</w:t>
            </w:r>
          </w:p>
        </w:tc>
        <w:tc>
          <w:tcPr>
            <w:tcW w:type="dxa" w:w="3135"/>
            <w:shd w:fill="F0F2F6" w:color="auto" w:val="clear"/>
          </w:tcPr>
          <w:p>
            <w:r>
              <w:rPr>
                <w:sz w:val="20"/>
              </w:rPr>
              <w:t>Radar / spider chart</w:t>
            </w:r>
          </w:p>
        </w:tc>
        <w:tc>
          <w:tcPr>
            <w:tcW w:type="dxa" w:w="3135"/>
            <w:shd w:fill="F0F2F6" w:color="auto" w:val="clear"/>
          </w:tcPr>
          <w:p>
            <w:r>
              <w:rPr>
                <w:sz w:val="20"/>
              </w:rPr>
              <w:t>Normalised radar showing current inputs vs max</w:t>
            </w:r>
          </w:p>
        </w:tc>
      </w:tr>
      <w:tr>
        <w:tc>
          <w:tcPr>
            <w:tcW w:type="dxa" w:w="3135"/>
            <w:shd w:fill="FFFFFF" w:color="auto" w:val="clear"/>
          </w:tcPr>
          <w:p>
            <w:r>
              <w:rPr>
                <w:sz w:val="20"/>
              </w:rPr>
              <w:t>Sensitivity Plot</w:t>
            </w:r>
          </w:p>
        </w:tc>
        <w:tc>
          <w:tcPr>
            <w:tcW w:type="dxa" w:w="3135"/>
            <w:shd w:fill="FFFFFF" w:color="auto" w:val="clear"/>
          </w:tcPr>
          <w:p>
            <w:r>
              <w:rPr>
                <w:sz w:val="20"/>
              </w:rPr>
              <w:t>Line chart</w:t>
            </w:r>
          </w:p>
        </w:tc>
        <w:tc>
          <w:tcPr>
            <w:tcW w:type="dxa" w:w="3135"/>
            <w:shd w:fill="FFFFFF" w:color="auto" w:val="clear"/>
          </w:tcPr>
          <w:p>
            <w:r>
              <w:rPr>
                <w:sz w:val="20"/>
              </w:rPr>
              <w:t>Vary one feature, watch the price curve respond</w:t>
            </w:r>
          </w:p>
        </w:tc>
      </w:tr>
    </w:tbl>
    <w:p>
      <w:pPr>
        <w:spacing w:after="80"/>
      </w:pPr>
    </w:p>
    <w:p>
      <w:pPr>
        <w:spacing w:before="240" w:after="120"/>
      </w:pPr>
      <w:r>
        <w:rPr>
          <w:b/>
          <w:color w:val="2A5298"/>
          <w:sz w:val="28"/>
        </w:rPr>
        <w:t>8.2 Key Libraries Used</w:t>
      </w:r>
    </w:p>
    <w:tbl>
      <w:tblPr>
        <w:tblStyle w:val="TableGrid"/>
        <w:tblW w:type="auto" w:w="0"/>
        <w:tblLook w:firstColumn="1" w:firstRow="1" w:lastColumn="0" w:lastRow="0" w:noHBand="0" w:noVBand="1" w:val="04A0"/>
      </w:tblPr>
      <w:tblGrid>
        <w:gridCol w:w="3135"/>
        <w:gridCol w:w="3135"/>
        <w:gridCol w:w="3135"/>
      </w:tblGrid>
      <w:tr>
        <w:tc>
          <w:tcPr>
            <w:tcW w:type="dxa" w:w="3135"/>
            <w:shd w:fill="1e3c72" w:color="auto" w:val="clear"/>
          </w:tcPr>
          <w:p>
            <w:r>
              <w:rPr>
                <w:b/>
                <w:color w:val="FFFFFF"/>
                <w:sz w:val="20"/>
              </w:rPr>
              <w:t>Library</w:t>
            </w:r>
          </w:p>
        </w:tc>
        <w:tc>
          <w:tcPr>
            <w:tcW w:type="dxa" w:w="3135"/>
            <w:shd w:fill="1e3c72" w:color="auto" w:val="clear"/>
          </w:tcPr>
          <w:p>
            <w:r>
              <w:rPr>
                <w:b/>
                <w:color w:val="FFFFFF"/>
                <w:sz w:val="20"/>
              </w:rPr>
              <w:t>Version</w:t>
            </w:r>
          </w:p>
        </w:tc>
        <w:tc>
          <w:tcPr>
            <w:tcW w:type="dxa" w:w="3135"/>
            <w:shd w:fill="1e3c72" w:color="auto" w:val="clear"/>
          </w:tcPr>
          <w:p>
            <w:r>
              <w:rPr>
                <w:b/>
                <w:color w:val="FFFFFF"/>
                <w:sz w:val="20"/>
              </w:rPr>
              <w:t>Usage</w:t>
            </w:r>
          </w:p>
        </w:tc>
      </w:tr>
      <w:tr>
        <w:tc>
          <w:tcPr>
            <w:tcW w:type="dxa" w:w="3135"/>
            <w:shd w:fill="F0F2F6" w:color="auto" w:val="clear"/>
          </w:tcPr>
          <w:p>
            <w:r>
              <w:rPr>
                <w:sz w:val="20"/>
              </w:rPr>
              <w:t>Streamlit</w:t>
            </w:r>
          </w:p>
        </w:tc>
        <w:tc>
          <w:tcPr>
            <w:tcW w:type="dxa" w:w="3135"/>
            <w:shd w:fill="F0F2F6" w:color="auto" w:val="clear"/>
          </w:tcPr>
          <w:p>
            <w:r>
              <w:rPr>
                <w:sz w:val="20"/>
              </w:rPr>
              <w:t>&gt;=1.32</w:t>
            </w:r>
          </w:p>
        </w:tc>
        <w:tc>
          <w:tcPr>
            <w:tcW w:type="dxa" w:w="3135"/>
            <w:shd w:fill="F0F2F6" w:color="auto" w:val="clear"/>
          </w:tcPr>
          <w:p>
            <w:r>
              <w:rPr>
                <w:sz w:val="20"/>
              </w:rPr>
              <w:t>App framework, widgets, page layout</w:t>
            </w:r>
          </w:p>
        </w:tc>
      </w:tr>
      <w:tr>
        <w:tc>
          <w:tcPr>
            <w:tcW w:type="dxa" w:w="3135"/>
            <w:shd w:fill="FFFFFF" w:color="auto" w:val="clear"/>
          </w:tcPr>
          <w:p>
            <w:r>
              <w:rPr>
                <w:sz w:val="20"/>
              </w:rPr>
              <w:t>Plotly</w:t>
            </w:r>
          </w:p>
        </w:tc>
        <w:tc>
          <w:tcPr>
            <w:tcW w:type="dxa" w:w="3135"/>
            <w:shd w:fill="FFFFFF" w:color="auto" w:val="clear"/>
          </w:tcPr>
          <w:p>
            <w:r>
              <w:rPr>
                <w:sz w:val="20"/>
              </w:rPr>
              <w:t>&gt;=5.20</w:t>
            </w:r>
          </w:p>
        </w:tc>
        <w:tc>
          <w:tcPr>
            <w:tcW w:type="dxa" w:w="3135"/>
            <w:shd w:fill="FFFFFF" w:color="auto" w:val="clear"/>
          </w:tcPr>
          <w:p>
            <w:r>
              <w:rPr>
                <w:sz w:val="20"/>
              </w:rPr>
              <w:t>Interactive bar, radar, and line charts</w:t>
            </w:r>
          </w:p>
        </w:tc>
      </w:tr>
      <w:tr>
        <w:tc>
          <w:tcPr>
            <w:tcW w:type="dxa" w:w="3135"/>
            <w:shd w:fill="F0F2F6" w:color="auto" w:val="clear"/>
          </w:tcPr>
          <w:p>
            <w:r>
              <w:rPr>
                <w:sz w:val="20"/>
              </w:rPr>
              <w:t>requests</w:t>
            </w:r>
          </w:p>
        </w:tc>
        <w:tc>
          <w:tcPr>
            <w:tcW w:type="dxa" w:w="3135"/>
            <w:shd w:fill="F0F2F6" w:color="auto" w:val="clear"/>
          </w:tcPr>
          <w:p>
            <w:r>
              <w:rPr>
                <w:sz w:val="20"/>
              </w:rPr>
              <w:t>&gt;=2.31</w:t>
            </w:r>
          </w:p>
        </w:tc>
        <w:tc>
          <w:tcPr>
            <w:tcW w:type="dxa" w:w="3135"/>
            <w:shd w:fill="F0F2F6" w:color="auto" w:val="clear"/>
          </w:tcPr>
          <w:p>
            <w:r>
              <w:rPr>
                <w:sz w:val="20"/>
              </w:rPr>
              <w:t>HTTP calls to FastAPI backend</w:t>
            </w:r>
          </w:p>
        </w:tc>
      </w:tr>
      <w:tr>
        <w:tc>
          <w:tcPr>
            <w:tcW w:type="dxa" w:w="3135"/>
            <w:shd w:fill="FFFFFF" w:color="auto" w:val="clear"/>
          </w:tcPr>
          <w:p>
            <w:r>
              <w:rPr>
                <w:sz w:val="20"/>
              </w:rPr>
              <w:t>pandas</w:t>
            </w:r>
          </w:p>
        </w:tc>
        <w:tc>
          <w:tcPr>
            <w:tcW w:type="dxa" w:w="3135"/>
            <w:shd w:fill="FFFFFF" w:color="auto" w:val="clear"/>
          </w:tcPr>
          <w:p>
            <w:r>
              <w:rPr>
                <w:sz w:val="20"/>
              </w:rPr>
              <w:t>&gt;=2.0</w:t>
            </w:r>
          </w:p>
        </w:tc>
        <w:tc>
          <w:tcPr>
            <w:tcW w:type="dxa" w:w="3135"/>
            <w:shd w:fill="FFFFFF" w:color="auto" w:val="clear"/>
          </w:tcPr>
          <w:p>
            <w:r>
              <w:rPr>
                <w:sz w:val="20"/>
              </w:rPr>
              <w:t>DataFrame construction for chart data</w:t>
            </w:r>
          </w:p>
        </w:tc>
      </w:tr>
    </w:tbl>
    <w:p>
      <w:pPr>
        <w:spacing w:after="80"/>
      </w:pPr>
    </w:p>
    <w:p>
      <w:pPr>
        <w:spacing w:before="240" w:after="120"/>
      </w:pPr>
      <w:r>
        <w:rPr>
          <w:b/>
          <w:color w:val="1E3C72"/>
          <w:sz w:val="36"/>
        </w:rPr>
        <w:t>9. UI Screenshots</w:t>
      </w:r>
    </w:p>
    <w:p>
      <w:pPr>
        <w:spacing w:before="0" w:after="160"/>
        <w:jc w:val="left"/>
      </w:pPr>
      <w:r>
        <w:rPr>
          <w:b w:val="0"/>
          <w:i w:val="0"/>
          <w:sz w:val="22"/>
        </w:rPr>
        <w:t>The following screenshots illustrate the Streamlit dashboard layout. The sidebar contains all input controls; the main area shows the prediction result and all analytical charts.</w:t>
      </w:r>
    </w:p>
    <w:p>
      <w:pPr>
        <w:jc w:val="center"/>
      </w:pPr>
      <w:r>
        <w:drawing>
          <wp:inline xmlns:a="http://schemas.openxmlformats.org/drawingml/2006/main" xmlns:pic="http://schemas.openxmlformats.org/drawingml/2006/picture">
            <wp:extent cx="5669280" cy="3345805"/>
            <wp:docPr id="4" name="Picture 4"/>
            <wp:cNvGraphicFramePr>
              <a:graphicFrameLocks noChangeAspect="1"/>
            </wp:cNvGraphicFramePr>
            <a:graphic>
              <a:graphicData uri="http://schemas.openxmlformats.org/drawingml/2006/picture">
                <pic:pic>
                  <pic:nvPicPr>
                    <pic:cNvPr id="0" name="ui_dashboard.png"/>
                    <pic:cNvPicPr/>
                  </pic:nvPicPr>
                  <pic:blipFill>
                    <a:blip r:embed="rId12"/>
                    <a:stretch>
                      <a:fillRect/>
                    </a:stretch>
                  </pic:blipFill>
                  <pic:spPr>
                    <a:xfrm>
                      <a:off x="0" y="0"/>
                      <a:ext cx="5669280" cy="3345805"/>
                    </a:xfrm>
                    <a:prstGeom prst="rect"/>
                  </pic:spPr>
                </pic:pic>
              </a:graphicData>
            </a:graphic>
          </wp:inline>
        </w:drawing>
      </w:r>
    </w:p>
    <w:p>
      <w:pPr>
        <w:spacing w:after="200"/>
        <w:jc w:val="center"/>
      </w:pPr>
      <w:r>
        <w:rPr>
          <w:i/>
          <w:color w:val="57606A"/>
          <w:sz w:val="18"/>
        </w:rPr>
        <w:t>Figure 4: Streamlit Dashboard - Full layout showing sidebar controls, prediction card, and chart areas</w:t>
      </w:r>
    </w:p>
    <w:p>
      <w:pPr>
        <w:spacing w:before="0" w:after="160"/>
        <w:jc w:val="left"/>
      </w:pPr>
      <w:r>
        <w:rPr>
          <w:b w:val="0"/>
          <w:i w:val="0"/>
          <w:sz w:val="22"/>
        </w:rPr>
      </w:r>
    </w:p>
    <w:p>
      <w:pPr>
        <w:spacing w:before="240" w:after="120"/>
      </w:pPr>
      <w:r>
        <w:rPr>
          <w:b/>
          <w:color w:val="1E3C72"/>
          <w:sz w:val="36"/>
        </w:rPr>
        <w:t>10. Price Sensitivity Analysis</w:t>
      </w:r>
    </w:p>
    <w:p>
      <w:pPr>
        <w:spacing w:before="0" w:after="160"/>
        <w:jc w:val="left"/>
      </w:pPr>
      <w:r>
        <w:rPr>
          <w:b w:val="0"/>
          <w:i w:val="0"/>
          <w:sz w:val="22"/>
        </w:rPr>
        <w:t>The dashboard includes a real-time sensitivity analysis panel. The user selects one feature to vary across its full range while all other features are held constant at their current slider values. This reveals how each feature individually drives the predicted price.</w:t>
      </w:r>
    </w:p>
    <w:p>
      <w:pPr>
        <w:jc w:val="center"/>
      </w:pPr>
      <w:r>
        <w:drawing>
          <wp:inline xmlns:a="http://schemas.openxmlformats.org/drawingml/2006/main" xmlns:pic="http://schemas.openxmlformats.org/drawingml/2006/picture">
            <wp:extent cx="5486400" cy="2344695"/>
            <wp:docPr id="5" name="Picture 5"/>
            <wp:cNvGraphicFramePr>
              <a:graphicFrameLocks noChangeAspect="1"/>
            </wp:cNvGraphicFramePr>
            <a:graphic>
              <a:graphicData uri="http://schemas.openxmlformats.org/drawingml/2006/picture">
                <pic:pic>
                  <pic:nvPicPr>
                    <pic:cNvPr id="0" name="sensitivity_sqft.png"/>
                    <pic:cNvPicPr/>
                  </pic:nvPicPr>
                  <pic:blipFill>
                    <a:blip r:embed="rId13"/>
                    <a:stretch>
                      <a:fillRect/>
                    </a:stretch>
                  </pic:blipFill>
                  <pic:spPr>
                    <a:xfrm>
                      <a:off x="0" y="0"/>
                      <a:ext cx="5486400" cy="2344695"/>
                    </a:xfrm>
                    <a:prstGeom prst="rect"/>
                  </pic:spPr>
                </pic:pic>
              </a:graphicData>
            </a:graphic>
          </wp:inline>
        </w:drawing>
      </w:r>
    </w:p>
    <w:p>
      <w:pPr>
        <w:spacing w:after="200"/>
        <w:jc w:val="center"/>
      </w:pPr>
      <w:r>
        <w:rPr>
          <w:i/>
          <w:color w:val="57606A"/>
          <w:sz w:val="18"/>
        </w:rPr>
        <w:t>Figure 5: Price Sensitivity - Square Footage (all other features held constant)</w:t>
      </w:r>
    </w:p>
    <w:p>
      <w:pPr>
        <w:jc w:val="center"/>
      </w:pPr>
      <w:r>
        <w:drawing>
          <wp:inline xmlns:a="http://schemas.openxmlformats.org/drawingml/2006/main" xmlns:pic="http://schemas.openxmlformats.org/drawingml/2006/picture">
            <wp:extent cx="5486400" cy="2684834"/>
            <wp:docPr id="6" name="Picture 6"/>
            <wp:cNvGraphicFramePr>
              <a:graphicFrameLocks noChangeAspect="1"/>
            </wp:cNvGraphicFramePr>
            <a:graphic>
              <a:graphicData uri="http://schemas.openxmlformats.org/drawingml/2006/picture">
                <pic:pic>
                  <pic:nvPicPr>
                    <pic:cNvPr id="0" name="sensitivity_nq.png"/>
                    <pic:cNvPicPr/>
                  </pic:nvPicPr>
                  <pic:blipFill>
                    <a:blip r:embed="rId14"/>
                    <a:stretch>
                      <a:fillRect/>
                    </a:stretch>
                  </pic:blipFill>
                  <pic:spPr>
                    <a:xfrm>
                      <a:off x="0" y="0"/>
                      <a:ext cx="5486400" cy="2684834"/>
                    </a:xfrm>
                    <a:prstGeom prst="rect"/>
                  </pic:spPr>
                </pic:pic>
              </a:graphicData>
            </a:graphic>
          </wp:inline>
        </w:drawing>
      </w:r>
    </w:p>
    <w:p>
      <w:pPr>
        <w:spacing w:after="200"/>
        <w:jc w:val="center"/>
      </w:pPr>
      <w:r>
        <w:rPr>
          <w:i/>
          <w:color w:val="57606A"/>
          <w:sz w:val="18"/>
        </w:rPr>
        <w:t>Figure 6: Price Sensitivity - Neighbourhood Quality score 1-10</w:t>
      </w:r>
    </w:p>
    <w:p>
      <w:pPr>
        <w:spacing w:before="0" w:after="160"/>
        <w:jc w:val="left"/>
      </w:pPr>
      <w:r>
        <w:rPr>
          <w:b w:val="0"/>
          <w:i w:val="0"/>
          <w:sz w:val="22"/>
        </w:rPr>
      </w:r>
    </w:p>
    <w:p>
      <w:pPr>
        <w:spacing w:before="240" w:after="120"/>
      </w:pPr>
      <w:r>
        <w:rPr>
          <w:b/>
          <w:color w:val="1E3C72"/>
          <w:sz w:val="36"/>
        </w:rPr>
        <w:t>11. API Reference</w:t>
      </w:r>
    </w:p>
    <w:p>
      <w:pPr>
        <w:spacing w:before="0" w:after="160"/>
        <w:jc w:val="left"/>
      </w:pPr>
      <w:r>
        <w:rPr>
          <w:b w:val="0"/>
          <w:i w:val="0"/>
          <w:sz w:val="22"/>
        </w:rPr>
        <w:t>Interactive API docs available at http://localhost:8000/docs (Swagger UI) after starting the server.</w:t>
      </w:r>
    </w:p>
    <w:p>
      <w:pPr>
        <w:spacing w:before="240" w:after="120"/>
      </w:pPr>
      <w:r>
        <w:rPr>
          <w:b/>
          <w:color w:val="2A5298"/>
          <w:sz w:val="28"/>
        </w:rPr>
        <w:t>11.1 HouseFeatures Input Schema</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e3c72" w:color="auto" w:val="clear"/>
          </w:tcPr>
          <w:p>
            <w:r>
              <w:rPr>
                <w:b/>
                <w:color w:val="FFFFFF"/>
                <w:sz w:val="20"/>
              </w:rPr>
              <w:t>Field</w:t>
            </w:r>
          </w:p>
        </w:tc>
        <w:tc>
          <w:tcPr>
            <w:tcW w:type="dxa" w:w="2351"/>
            <w:shd w:fill="1e3c72" w:color="auto" w:val="clear"/>
          </w:tcPr>
          <w:p>
            <w:r>
              <w:rPr>
                <w:b/>
                <w:color w:val="FFFFFF"/>
                <w:sz w:val="20"/>
              </w:rPr>
              <w:t>Type</w:t>
            </w:r>
          </w:p>
        </w:tc>
        <w:tc>
          <w:tcPr>
            <w:tcW w:type="dxa" w:w="2351"/>
            <w:shd w:fill="1e3c72" w:color="auto" w:val="clear"/>
          </w:tcPr>
          <w:p>
            <w:r>
              <w:rPr>
                <w:b/>
                <w:color w:val="FFFFFF"/>
                <w:sz w:val="20"/>
              </w:rPr>
              <w:t>Constraint</w:t>
            </w:r>
          </w:p>
        </w:tc>
        <w:tc>
          <w:tcPr>
            <w:tcW w:type="dxa" w:w="2351"/>
            <w:shd w:fill="1e3c72" w:color="auto" w:val="clear"/>
          </w:tcPr>
          <w:p>
            <w:r>
              <w:rPr>
                <w:b/>
                <w:color w:val="FFFFFF"/>
                <w:sz w:val="20"/>
              </w:rPr>
              <w:t>Example</w:t>
            </w:r>
          </w:p>
        </w:tc>
      </w:tr>
      <w:tr>
        <w:tc>
          <w:tcPr>
            <w:tcW w:type="dxa" w:w="2351"/>
            <w:shd w:fill="F0F2F6" w:color="auto" w:val="clear"/>
          </w:tcPr>
          <w:p>
            <w:r>
              <w:rPr>
                <w:sz w:val="20"/>
              </w:rPr>
              <w:t>Square_Footage</w:t>
            </w:r>
          </w:p>
        </w:tc>
        <w:tc>
          <w:tcPr>
            <w:tcW w:type="dxa" w:w="2351"/>
            <w:shd w:fill="F0F2F6" w:color="auto" w:val="clear"/>
          </w:tcPr>
          <w:p>
            <w:r>
              <w:rPr>
                <w:sz w:val="20"/>
              </w:rPr>
              <w:t>float</w:t>
            </w:r>
          </w:p>
        </w:tc>
        <w:tc>
          <w:tcPr>
            <w:tcW w:type="dxa" w:w="2351"/>
            <w:shd w:fill="F0F2F6" w:color="auto" w:val="clear"/>
          </w:tcPr>
          <w:p>
            <w:r>
              <w:rPr>
                <w:sz w:val="20"/>
              </w:rPr>
              <w:t>gt=0</w:t>
            </w:r>
          </w:p>
        </w:tc>
        <w:tc>
          <w:tcPr>
            <w:tcW w:type="dxa" w:w="2351"/>
            <w:shd w:fill="F0F2F6" w:color="auto" w:val="clear"/>
          </w:tcPr>
          <w:p>
            <w:r>
              <w:rPr>
                <w:sz w:val="20"/>
              </w:rPr>
              <w:t>2500</w:t>
            </w:r>
          </w:p>
        </w:tc>
      </w:tr>
      <w:tr>
        <w:tc>
          <w:tcPr>
            <w:tcW w:type="dxa" w:w="2351"/>
            <w:shd w:fill="FFFFFF" w:color="auto" w:val="clear"/>
          </w:tcPr>
          <w:p>
            <w:r>
              <w:rPr>
                <w:sz w:val="20"/>
              </w:rPr>
              <w:t>Num_Bedrooms</w:t>
            </w:r>
          </w:p>
        </w:tc>
        <w:tc>
          <w:tcPr>
            <w:tcW w:type="dxa" w:w="2351"/>
            <w:shd w:fill="FFFFFF" w:color="auto" w:val="clear"/>
          </w:tcPr>
          <w:p>
            <w:r>
              <w:rPr>
                <w:sz w:val="20"/>
              </w:rPr>
              <w:t>integer</w:t>
            </w:r>
          </w:p>
        </w:tc>
        <w:tc>
          <w:tcPr>
            <w:tcW w:type="dxa" w:w="2351"/>
            <w:shd w:fill="FFFFFF" w:color="auto" w:val="clear"/>
          </w:tcPr>
          <w:p>
            <w:r>
              <w:rPr>
                <w:sz w:val="20"/>
              </w:rPr>
              <w:t>ge=1</w:t>
            </w:r>
          </w:p>
        </w:tc>
        <w:tc>
          <w:tcPr>
            <w:tcW w:type="dxa" w:w="2351"/>
            <w:shd w:fill="FFFFFF" w:color="auto" w:val="clear"/>
          </w:tcPr>
          <w:p>
            <w:r>
              <w:rPr>
                <w:sz w:val="20"/>
              </w:rPr>
              <w:t>3</w:t>
            </w:r>
          </w:p>
        </w:tc>
      </w:tr>
      <w:tr>
        <w:tc>
          <w:tcPr>
            <w:tcW w:type="dxa" w:w="2351"/>
            <w:shd w:fill="F0F2F6" w:color="auto" w:val="clear"/>
          </w:tcPr>
          <w:p>
            <w:r>
              <w:rPr>
                <w:sz w:val="20"/>
              </w:rPr>
              <w:t>Num_Bathrooms</w:t>
            </w:r>
          </w:p>
        </w:tc>
        <w:tc>
          <w:tcPr>
            <w:tcW w:type="dxa" w:w="2351"/>
            <w:shd w:fill="F0F2F6" w:color="auto" w:val="clear"/>
          </w:tcPr>
          <w:p>
            <w:r>
              <w:rPr>
                <w:sz w:val="20"/>
              </w:rPr>
              <w:t>integer</w:t>
            </w:r>
          </w:p>
        </w:tc>
        <w:tc>
          <w:tcPr>
            <w:tcW w:type="dxa" w:w="2351"/>
            <w:shd w:fill="F0F2F6" w:color="auto" w:val="clear"/>
          </w:tcPr>
          <w:p>
            <w:r>
              <w:rPr>
                <w:sz w:val="20"/>
              </w:rPr>
              <w:t>ge=1</w:t>
            </w:r>
          </w:p>
        </w:tc>
        <w:tc>
          <w:tcPr>
            <w:tcW w:type="dxa" w:w="2351"/>
            <w:shd w:fill="F0F2F6" w:color="auto" w:val="clear"/>
          </w:tcPr>
          <w:p>
            <w:r>
              <w:rPr>
                <w:sz w:val="20"/>
              </w:rPr>
              <w:t>2</w:t>
            </w:r>
          </w:p>
        </w:tc>
      </w:tr>
      <w:tr>
        <w:tc>
          <w:tcPr>
            <w:tcW w:type="dxa" w:w="2351"/>
            <w:shd w:fill="FFFFFF" w:color="auto" w:val="clear"/>
          </w:tcPr>
          <w:p>
            <w:r>
              <w:rPr>
                <w:sz w:val="20"/>
              </w:rPr>
              <w:t>Year_Built</w:t>
            </w:r>
          </w:p>
        </w:tc>
        <w:tc>
          <w:tcPr>
            <w:tcW w:type="dxa" w:w="2351"/>
            <w:shd w:fill="FFFFFF" w:color="auto" w:val="clear"/>
          </w:tcPr>
          <w:p>
            <w:r>
              <w:rPr>
                <w:sz w:val="20"/>
              </w:rPr>
              <w:t>integer</w:t>
            </w:r>
          </w:p>
        </w:tc>
        <w:tc>
          <w:tcPr>
            <w:tcW w:type="dxa" w:w="2351"/>
            <w:shd w:fill="FFFFFF" w:color="auto" w:val="clear"/>
          </w:tcPr>
          <w:p>
            <w:r>
              <w:rPr>
                <w:sz w:val="20"/>
              </w:rPr>
              <w:t>1800 &lt;= x &lt;= 2025</w:t>
            </w:r>
          </w:p>
        </w:tc>
        <w:tc>
          <w:tcPr>
            <w:tcW w:type="dxa" w:w="2351"/>
            <w:shd w:fill="FFFFFF" w:color="auto" w:val="clear"/>
          </w:tcPr>
          <w:p>
            <w:r>
              <w:rPr>
                <w:sz w:val="20"/>
              </w:rPr>
              <w:t>2005</w:t>
            </w:r>
          </w:p>
        </w:tc>
      </w:tr>
      <w:tr>
        <w:tc>
          <w:tcPr>
            <w:tcW w:type="dxa" w:w="2351"/>
            <w:shd w:fill="F0F2F6" w:color="auto" w:val="clear"/>
          </w:tcPr>
          <w:p>
            <w:r>
              <w:rPr>
                <w:sz w:val="20"/>
              </w:rPr>
              <w:t>Lot_Size</w:t>
            </w:r>
          </w:p>
        </w:tc>
        <w:tc>
          <w:tcPr>
            <w:tcW w:type="dxa" w:w="2351"/>
            <w:shd w:fill="F0F2F6" w:color="auto" w:val="clear"/>
          </w:tcPr>
          <w:p>
            <w:r>
              <w:rPr>
                <w:sz w:val="20"/>
              </w:rPr>
              <w:t>float</w:t>
            </w:r>
          </w:p>
        </w:tc>
        <w:tc>
          <w:tcPr>
            <w:tcW w:type="dxa" w:w="2351"/>
            <w:shd w:fill="F0F2F6" w:color="auto" w:val="clear"/>
          </w:tcPr>
          <w:p>
            <w:r>
              <w:rPr>
                <w:sz w:val="20"/>
              </w:rPr>
              <w:t>gt=0</w:t>
            </w:r>
          </w:p>
        </w:tc>
        <w:tc>
          <w:tcPr>
            <w:tcW w:type="dxa" w:w="2351"/>
            <w:shd w:fill="F0F2F6" w:color="auto" w:val="clear"/>
          </w:tcPr>
          <w:p>
            <w:r>
              <w:rPr>
                <w:sz w:val="20"/>
              </w:rPr>
              <w:t>3.0</w:t>
            </w:r>
          </w:p>
        </w:tc>
      </w:tr>
      <w:tr>
        <w:tc>
          <w:tcPr>
            <w:tcW w:type="dxa" w:w="2351"/>
            <w:shd w:fill="FFFFFF" w:color="auto" w:val="clear"/>
          </w:tcPr>
          <w:p>
            <w:r>
              <w:rPr>
                <w:sz w:val="20"/>
              </w:rPr>
              <w:t>Garage_Size</w:t>
            </w:r>
          </w:p>
        </w:tc>
        <w:tc>
          <w:tcPr>
            <w:tcW w:type="dxa" w:w="2351"/>
            <w:shd w:fill="FFFFFF" w:color="auto" w:val="clear"/>
          </w:tcPr>
          <w:p>
            <w:r>
              <w:rPr>
                <w:sz w:val="20"/>
              </w:rPr>
              <w:t>integer</w:t>
            </w:r>
          </w:p>
        </w:tc>
        <w:tc>
          <w:tcPr>
            <w:tcW w:type="dxa" w:w="2351"/>
            <w:shd w:fill="FFFFFF" w:color="auto" w:val="clear"/>
          </w:tcPr>
          <w:p>
            <w:r>
              <w:rPr>
                <w:sz w:val="20"/>
              </w:rPr>
              <w:t>ge=0</w:t>
            </w:r>
          </w:p>
        </w:tc>
        <w:tc>
          <w:tcPr>
            <w:tcW w:type="dxa" w:w="2351"/>
            <w:shd w:fill="FFFFFF" w:color="auto" w:val="clear"/>
          </w:tcPr>
          <w:p>
            <w:r>
              <w:rPr>
                <w:sz w:val="20"/>
              </w:rPr>
              <w:t>1</w:t>
            </w:r>
          </w:p>
        </w:tc>
      </w:tr>
      <w:tr>
        <w:tc>
          <w:tcPr>
            <w:tcW w:type="dxa" w:w="2351"/>
            <w:shd w:fill="F0F2F6" w:color="auto" w:val="clear"/>
          </w:tcPr>
          <w:p>
            <w:r>
              <w:rPr>
                <w:sz w:val="20"/>
              </w:rPr>
              <w:t>Neighborhood_Quality</w:t>
            </w:r>
          </w:p>
        </w:tc>
        <w:tc>
          <w:tcPr>
            <w:tcW w:type="dxa" w:w="2351"/>
            <w:shd w:fill="F0F2F6" w:color="auto" w:val="clear"/>
          </w:tcPr>
          <w:p>
            <w:r>
              <w:rPr>
                <w:sz w:val="20"/>
              </w:rPr>
              <w:t>integer</w:t>
            </w:r>
          </w:p>
        </w:tc>
        <w:tc>
          <w:tcPr>
            <w:tcW w:type="dxa" w:w="2351"/>
            <w:shd w:fill="F0F2F6" w:color="auto" w:val="clear"/>
          </w:tcPr>
          <w:p>
            <w:r>
              <w:rPr>
                <w:sz w:val="20"/>
              </w:rPr>
              <w:t>1 &lt;= x &lt;= 10</w:t>
            </w:r>
          </w:p>
        </w:tc>
        <w:tc>
          <w:tcPr>
            <w:tcW w:type="dxa" w:w="2351"/>
            <w:shd w:fill="F0F2F6" w:color="auto" w:val="clear"/>
          </w:tcPr>
          <w:p>
            <w:r>
              <w:rPr>
                <w:sz w:val="20"/>
              </w:rPr>
              <w:t>7</w:t>
            </w:r>
          </w:p>
        </w:tc>
      </w:tr>
    </w:tbl>
    <w:p>
      <w:pPr>
        <w:spacing w:after="80"/>
      </w:pPr>
    </w:p>
    <w:p>
      <w:pPr>
        <w:spacing w:before="240" w:after="120"/>
      </w:pPr>
      <w:r>
        <w:rPr>
          <w:b/>
          <w:color w:val="2A5298"/>
          <w:sz w:val="28"/>
        </w:rPr>
        <w:t>11.2 PredictionResponse Schema</w:t>
      </w:r>
    </w:p>
    <w:tbl>
      <w:tblPr>
        <w:tblStyle w:val="TableGrid"/>
        <w:tblW w:type="auto" w:w="0"/>
        <w:tblLook w:firstColumn="1" w:firstRow="1" w:lastColumn="0" w:lastRow="0" w:noHBand="0" w:noVBand="1" w:val="04A0"/>
      </w:tblPr>
      <w:tblGrid>
        <w:gridCol w:w="3135"/>
        <w:gridCol w:w="3135"/>
        <w:gridCol w:w="3135"/>
      </w:tblGrid>
      <w:tr>
        <w:tc>
          <w:tcPr>
            <w:tcW w:type="dxa" w:w="3135"/>
            <w:shd w:fill="1e3c72" w:color="auto" w:val="clear"/>
          </w:tcPr>
          <w:p>
            <w:r>
              <w:rPr>
                <w:b/>
                <w:color w:val="FFFFFF"/>
                <w:sz w:val="20"/>
              </w:rPr>
              <w:t>Field</w:t>
            </w:r>
          </w:p>
        </w:tc>
        <w:tc>
          <w:tcPr>
            <w:tcW w:type="dxa" w:w="3135"/>
            <w:shd w:fill="1e3c72" w:color="auto" w:val="clear"/>
          </w:tcPr>
          <w:p>
            <w:r>
              <w:rPr>
                <w:b/>
                <w:color w:val="FFFFFF"/>
                <w:sz w:val="20"/>
              </w:rPr>
              <w:t>Type</w:t>
            </w:r>
          </w:p>
        </w:tc>
        <w:tc>
          <w:tcPr>
            <w:tcW w:type="dxa" w:w="3135"/>
            <w:shd w:fill="1e3c72" w:color="auto" w:val="clear"/>
          </w:tcPr>
          <w:p>
            <w:r>
              <w:rPr>
                <w:b/>
                <w:color w:val="FFFFFF"/>
                <w:sz w:val="20"/>
              </w:rPr>
              <w:t>Example</w:t>
            </w:r>
          </w:p>
        </w:tc>
      </w:tr>
      <w:tr>
        <w:tc>
          <w:tcPr>
            <w:tcW w:type="dxa" w:w="3135"/>
            <w:shd w:fill="F0F2F6" w:color="auto" w:val="clear"/>
          </w:tcPr>
          <w:p>
            <w:r>
              <w:rPr>
                <w:sz w:val="20"/>
              </w:rPr>
              <w:t>predicted_price</w:t>
            </w:r>
          </w:p>
        </w:tc>
        <w:tc>
          <w:tcPr>
            <w:tcW w:type="dxa" w:w="3135"/>
            <w:shd w:fill="F0F2F6" w:color="auto" w:val="clear"/>
          </w:tcPr>
          <w:p>
            <w:r>
              <w:rPr>
                <w:sz w:val="20"/>
              </w:rPr>
              <w:t>float</w:t>
            </w:r>
          </w:p>
        </w:tc>
        <w:tc>
          <w:tcPr>
            <w:tcW w:type="dxa" w:w="3135"/>
            <w:shd w:fill="F0F2F6" w:color="auto" w:val="clear"/>
          </w:tcPr>
          <w:p>
            <w:r>
              <w:rPr>
                <w:sz w:val="20"/>
              </w:rPr>
              <w:t>612345.67</w:t>
            </w:r>
          </w:p>
        </w:tc>
      </w:tr>
      <w:tr>
        <w:tc>
          <w:tcPr>
            <w:tcW w:type="dxa" w:w="3135"/>
            <w:shd w:fill="FFFFFF" w:color="auto" w:val="clear"/>
          </w:tcPr>
          <w:p>
            <w:r>
              <w:rPr>
                <w:sz w:val="20"/>
              </w:rPr>
              <w:t>formatted_price</w:t>
            </w:r>
          </w:p>
        </w:tc>
        <w:tc>
          <w:tcPr>
            <w:tcW w:type="dxa" w:w="3135"/>
            <w:shd w:fill="FFFFFF" w:color="auto" w:val="clear"/>
          </w:tcPr>
          <w:p>
            <w:r>
              <w:rPr>
                <w:sz w:val="20"/>
              </w:rPr>
              <w:t>string</w:t>
            </w:r>
          </w:p>
        </w:tc>
        <w:tc>
          <w:tcPr>
            <w:tcW w:type="dxa" w:w="3135"/>
            <w:shd w:fill="FFFFFF" w:color="auto" w:val="clear"/>
          </w:tcPr>
          <w:p>
            <w:r>
              <w:rPr>
                <w:sz w:val="20"/>
              </w:rPr>
              <w:t>$612,345.67</w:t>
            </w:r>
          </w:p>
        </w:tc>
      </w:tr>
      <w:tr>
        <w:tc>
          <w:tcPr>
            <w:tcW w:type="dxa" w:w="3135"/>
            <w:shd w:fill="F0F2F6" w:color="auto" w:val="clear"/>
          </w:tcPr>
          <w:p>
            <w:r>
              <w:rPr>
                <w:sz w:val="20"/>
              </w:rPr>
              <w:t>confidence_range</w:t>
            </w:r>
          </w:p>
        </w:tc>
        <w:tc>
          <w:tcPr>
            <w:tcW w:type="dxa" w:w="3135"/>
            <w:shd w:fill="F0F2F6" w:color="auto" w:val="clear"/>
          </w:tcPr>
          <w:p>
            <w:r>
              <w:rPr>
                <w:sz w:val="20"/>
              </w:rPr>
              <w:t>object</w:t>
            </w:r>
          </w:p>
        </w:tc>
        <w:tc>
          <w:tcPr>
            <w:tcW w:type="dxa" w:w="3135"/>
            <w:shd w:fill="F0F2F6" w:color="auto" w:val="clear"/>
          </w:tcPr>
          <w:p>
            <w:r>
              <w:rPr>
                <w:sz w:val="20"/>
              </w:rPr>
              <w:t>{ "low": "$551,111", "high": "$673,580" }</w:t>
            </w:r>
          </w:p>
        </w:tc>
      </w:tr>
    </w:tbl>
    <w:p>
      <w:pPr>
        <w:spacing w:after="80"/>
      </w:pPr>
    </w:p>
    <w:p>
      <w:pPr>
        <w:spacing w:before="240" w:after="120"/>
      </w:pPr>
      <w:r>
        <w:rPr>
          <w:b/>
          <w:color w:val="1E3C72"/>
          <w:sz w:val="36"/>
        </w:rPr>
        <w:t>12. Project File Structure</w:t>
      </w:r>
    </w:p>
    <w:p>
      <w:pPr>
        <w:spacing w:after="20"/>
      </w:pPr>
      <w:r>
        <w:rPr>
          <w:rFonts w:ascii="Courier New" w:hAnsi="Courier New"/>
          <w:color w:val="57606A"/>
          <w:sz w:val="18"/>
        </w:rPr>
        <w:t>house_price_project/</w:t>
      </w:r>
    </w:p>
    <w:p>
      <w:pPr>
        <w:spacing w:after="20"/>
      </w:pPr>
      <w:r>
        <w:rPr>
          <w:rFonts w:ascii="Courier New" w:hAnsi="Courier New"/>
          <w:color w:val="57606A"/>
          <w:sz w:val="18"/>
        </w:rPr>
        <w:t xml:space="preserve">    data/</w:t>
      </w:r>
    </w:p>
    <w:p>
      <w:pPr>
        <w:spacing w:after="20"/>
      </w:pPr>
      <w:r>
        <w:rPr>
          <w:rFonts w:ascii="Courier New" w:hAnsi="Courier New"/>
          <w:color w:val="57606A"/>
          <w:sz w:val="18"/>
        </w:rPr>
        <w:t xml:space="preserve">        house_price.csv          - Raw dataset (1,000 rows)</w:t>
      </w:r>
    </w:p>
    <w:p>
      <w:pPr>
        <w:spacing w:after="20"/>
      </w:pPr>
      <w:r>
        <w:rPr>
          <w:rFonts w:ascii="Courier New" w:hAnsi="Courier New"/>
          <w:color w:val="57606A"/>
          <w:sz w:val="18"/>
        </w:rPr>
        <w:t xml:space="preserve">    model/                       - Auto-generated after training</w:t>
      </w:r>
    </w:p>
    <w:p>
      <w:pPr>
        <w:spacing w:after="20"/>
      </w:pPr>
      <w:r>
        <w:rPr>
          <w:rFonts w:ascii="Courier New" w:hAnsi="Courier New"/>
          <w:color w:val="57606A"/>
          <w:sz w:val="18"/>
        </w:rPr>
        <w:t xml:space="preserve">        model.pkl                - Fitted sklearn Pipeline</w:t>
      </w:r>
    </w:p>
    <w:p>
      <w:pPr>
        <w:spacing w:after="20"/>
      </w:pPr>
      <w:r>
        <w:rPr>
          <w:rFonts w:ascii="Courier New" w:hAnsi="Courier New"/>
          <w:color w:val="57606A"/>
          <w:sz w:val="18"/>
        </w:rPr>
        <w:t xml:space="preserve">        metadata.json            - Feature meta + metrics</w:t>
      </w:r>
    </w:p>
    <w:p>
      <w:pPr>
        <w:spacing w:after="20"/>
      </w:pPr>
      <w:r>
        <w:rPr>
          <w:rFonts w:ascii="Courier New" w:hAnsi="Courier New"/>
          <w:color w:val="57606A"/>
          <w:sz w:val="18"/>
        </w:rPr>
        <w:t xml:space="preserve">    backend/</w:t>
      </w:r>
    </w:p>
    <w:p>
      <w:pPr>
        <w:spacing w:after="20"/>
      </w:pPr>
      <w:r>
        <w:rPr>
          <w:rFonts w:ascii="Courier New" w:hAnsi="Courier New"/>
          <w:color w:val="57606A"/>
          <w:sz w:val="18"/>
        </w:rPr>
        <w:t xml:space="preserve">        __init__.py</w:t>
      </w:r>
    </w:p>
    <w:p>
      <w:pPr>
        <w:spacing w:after="20"/>
      </w:pPr>
      <w:r>
        <w:rPr>
          <w:rFonts w:ascii="Courier New" w:hAnsi="Courier New"/>
          <w:color w:val="57606A"/>
          <w:sz w:val="18"/>
        </w:rPr>
        <w:t xml:space="preserve">        train_model.py           - Data loading, training, evaluation, saving</w:t>
      </w:r>
    </w:p>
    <w:p>
      <w:pPr>
        <w:spacing w:after="20"/>
      </w:pPr>
      <w:r>
        <w:rPr>
          <w:rFonts w:ascii="Courier New" w:hAnsi="Courier New"/>
          <w:color w:val="57606A"/>
          <w:sz w:val="18"/>
        </w:rPr>
        <w:t xml:space="preserve">        app.py                   - FastAPI REST server</w:t>
      </w:r>
    </w:p>
    <w:p>
      <w:pPr>
        <w:spacing w:after="20"/>
      </w:pPr>
      <w:r>
        <w:rPr>
          <w:rFonts w:ascii="Courier New" w:hAnsi="Courier New"/>
          <w:color w:val="57606A"/>
          <w:sz w:val="18"/>
        </w:rPr>
        <w:t xml:space="preserve">    frontend/</w:t>
      </w:r>
    </w:p>
    <w:p>
      <w:pPr>
        <w:spacing w:after="20"/>
      </w:pPr>
      <w:r>
        <w:rPr>
          <w:rFonts w:ascii="Courier New" w:hAnsi="Courier New"/>
          <w:color w:val="57606A"/>
          <w:sz w:val="18"/>
        </w:rPr>
        <w:t xml:space="preserve">        frontend.py              - Streamlit dashboard</w:t>
      </w:r>
    </w:p>
    <w:p>
      <w:pPr>
        <w:spacing w:after="20"/>
      </w:pPr>
      <w:r>
        <w:rPr>
          <w:rFonts w:ascii="Courier New" w:hAnsi="Courier New"/>
          <w:color w:val="57606A"/>
          <w:sz w:val="18"/>
        </w:rPr>
        <w:t xml:space="preserve">    requirements.txt             - All Python dependencies</w:t>
      </w:r>
    </w:p>
    <w:p>
      <w:pPr>
        <w:spacing w:after="20"/>
      </w:pPr>
      <w:r>
        <w:rPr>
          <w:rFonts w:ascii="Courier New" w:hAnsi="Courier New"/>
          <w:color w:val="57606A"/>
          <w:sz w:val="18"/>
        </w:rPr>
        <w:t xml:space="preserve">    run.ps1                      - One-click PowerShell startup</w:t>
      </w:r>
    </w:p>
    <w:p>
      <w:pPr>
        <w:spacing w:after="20"/>
      </w:pPr>
      <w:r>
        <w:rPr>
          <w:rFonts w:ascii="Courier New" w:hAnsi="Courier New"/>
          <w:color w:val="57606A"/>
          <w:sz w:val="18"/>
        </w:rPr>
        <w:t xml:space="preserve">    README.md                    - Setup and usage guide</w:t>
      </w:r>
    </w:p>
    <w:p>
      <w:pPr>
        <w:spacing w:before="0" w:after="160"/>
        <w:jc w:val="left"/>
      </w:pPr>
      <w:r>
        <w:rPr>
          <w:b w:val="0"/>
          <w:i w:val="0"/>
          <w:sz w:val="22"/>
        </w:rPr>
      </w:r>
    </w:p>
    <w:p>
      <w:pPr>
        <w:spacing w:before="240" w:after="120"/>
      </w:pPr>
      <w:r>
        <w:rPr>
          <w:b/>
          <w:color w:val="1E3C72"/>
          <w:sz w:val="36"/>
        </w:rPr>
        <w:t>13. Setup &amp; Running Instructions</w:t>
      </w:r>
    </w:p>
    <w:p>
      <w:pPr>
        <w:spacing w:before="240" w:after="120"/>
      </w:pPr>
      <w:r>
        <w:rPr>
          <w:b/>
          <w:color w:val="2A5298"/>
          <w:sz w:val="28"/>
        </w:rPr>
        <w:t>13.1 Prerequisites</w:t>
      </w:r>
    </w:p>
    <w:p>
      <w:pPr>
        <w:pStyle w:val="ListBullet"/>
        <w:spacing w:after="60"/>
      </w:pPr>
      <w:r>
        <w:rPr>
          <w:sz w:val="22"/>
        </w:rPr>
        <w:t>Python 3.10 or later</w:t>
      </w:r>
    </w:p>
    <w:p>
      <w:pPr>
        <w:pStyle w:val="ListBullet"/>
        <w:spacing w:after="60"/>
      </w:pPr>
      <w:r>
        <w:rPr>
          <w:sz w:val="22"/>
        </w:rPr>
        <w:t>pip (Python package manager)</w:t>
      </w:r>
    </w:p>
    <w:p>
      <w:pPr>
        <w:pStyle w:val="ListBullet"/>
        <w:spacing w:after="60"/>
      </w:pPr>
      <w:r>
        <w:rPr>
          <w:sz w:val="22"/>
        </w:rPr>
        <w:t>PowerShell (Windows) or bash (macOS/Linux)</w:t>
      </w:r>
    </w:p>
    <w:p>
      <w:pPr>
        <w:spacing w:before="240" w:after="120"/>
      </w:pPr>
      <w:r>
        <w:rPr>
          <w:b/>
          <w:color w:val="2A5298"/>
          <w:sz w:val="28"/>
        </w:rPr>
        <w:t>13.2 Installation</w:t>
      </w:r>
    </w:p>
    <w:tbl>
      <w:tblPr>
        <w:tblStyle w:val="TableGrid"/>
        <w:tblW w:type="auto" w:w="0"/>
        <w:tblLook w:firstColumn="1" w:firstRow="1" w:lastColumn="0" w:lastRow="0" w:noHBand="0" w:noVBand="1" w:val="04A0"/>
      </w:tblPr>
      <w:tblGrid>
        <w:gridCol w:w="3135"/>
        <w:gridCol w:w="3135"/>
        <w:gridCol w:w="3135"/>
      </w:tblGrid>
      <w:tr>
        <w:tc>
          <w:tcPr>
            <w:tcW w:type="dxa" w:w="3135"/>
            <w:shd w:fill="1e3c72" w:color="auto" w:val="clear"/>
          </w:tcPr>
          <w:p>
            <w:r>
              <w:rPr>
                <w:b/>
                <w:color w:val="FFFFFF"/>
                <w:sz w:val="20"/>
              </w:rPr>
              <w:t>Step</w:t>
            </w:r>
          </w:p>
        </w:tc>
        <w:tc>
          <w:tcPr>
            <w:tcW w:type="dxa" w:w="3135"/>
            <w:shd w:fill="1e3c72" w:color="auto" w:val="clear"/>
          </w:tcPr>
          <w:p>
            <w:r>
              <w:rPr>
                <w:b/>
                <w:color w:val="FFFFFF"/>
                <w:sz w:val="20"/>
              </w:rPr>
              <w:t>Action</w:t>
            </w:r>
          </w:p>
        </w:tc>
        <w:tc>
          <w:tcPr>
            <w:tcW w:type="dxa" w:w="3135"/>
            <w:shd w:fill="1e3c72" w:color="auto" w:val="clear"/>
          </w:tcPr>
          <w:p>
            <w:r>
              <w:rPr>
                <w:b/>
                <w:color w:val="FFFFFF"/>
                <w:sz w:val="20"/>
              </w:rPr>
              <w:t>Command</w:t>
            </w:r>
          </w:p>
        </w:tc>
      </w:tr>
      <w:tr>
        <w:tc>
          <w:tcPr>
            <w:tcW w:type="dxa" w:w="3135"/>
            <w:shd w:fill="F0F2F6" w:color="auto" w:val="clear"/>
          </w:tcPr>
          <w:p>
            <w:r>
              <w:rPr>
                <w:sz w:val="20"/>
              </w:rPr>
              <w:t>1</w:t>
            </w:r>
          </w:p>
        </w:tc>
        <w:tc>
          <w:tcPr>
            <w:tcW w:type="dxa" w:w="3135"/>
            <w:shd w:fill="F0F2F6" w:color="auto" w:val="clear"/>
          </w:tcPr>
          <w:p>
            <w:r>
              <w:rPr>
                <w:sz w:val="20"/>
              </w:rPr>
              <w:t>Navigate to project folder</w:t>
            </w:r>
          </w:p>
        </w:tc>
        <w:tc>
          <w:tcPr>
            <w:tcW w:type="dxa" w:w="3135"/>
            <w:shd w:fill="F0F2F6" w:color="auto" w:val="clear"/>
          </w:tcPr>
          <w:p>
            <w:r>
              <w:rPr>
                <w:sz w:val="20"/>
              </w:rPr>
              <w:t>cd house_price_project</w:t>
            </w:r>
          </w:p>
        </w:tc>
      </w:tr>
      <w:tr>
        <w:tc>
          <w:tcPr>
            <w:tcW w:type="dxa" w:w="3135"/>
            <w:shd w:fill="FFFFFF" w:color="auto" w:val="clear"/>
          </w:tcPr>
          <w:p>
            <w:r>
              <w:rPr>
                <w:sz w:val="20"/>
              </w:rPr>
              <w:t>2</w:t>
            </w:r>
          </w:p>
        </w:tc>
        <w:tc>
          <w:tcPr>
            <w:tcW w:type="dxa" w:w="3135"/>
            <w:shd w:fill="FFFFFF" w:color="auto" w:val="clear"/>
          </w:tcPr>
          <w:p>
            <w:r>
              <w:rPr>
                <w:sz w:val="20"/>
              </w:rPr>
              <w:t>Install dependencies</w:t>
            </w:r>
          </w:p>
        </w:tc>
        <w:tc>
          <w:tcPr>
            <w:tcW w:type="dxa" w:w="3135"/>
            <w:shd w:fill="FFFFFF" w:color="auto" w:val="clear"/>
          </w:tcPr>
          <w:p>
            <w:r>
              <w:rPr>
                <w:sz w:val="20"/>
              </w:rPr>
              <w:t>pip install -r requirements.txt</w:t>
            </w:r>
          </w:p>
        </w:tc>
      </w:tr>
      <w:tr>
        <w:tc>
          <w:tcPr>
            <w:tcW w:type="dxa" w:w="3135"/>
            <w:shd w:fill="F0F2F6" w:color="auto" w:val="clear"/>
          </w:tcPr>
          <w:p>
            <w:r>
              <w:rPr>
                <w:sz w:val="20"/>
              </w:rPr>
              <w:t>3</w:t>
            </w:r>
          </w:p>
        </w:tc>
        <w:tc>
          <w:tcPr>
            <w:tcW w:type="dxa" w:w="3135"/>
            <w:shd w:fill="F0F2F6" w:color="auto" w:val="clear"/>
          </w:tcPr>
          <w:p>
            <w:r>
              <w:rPr>
                <w:sz w:val="20"/>
              </w:rPr>
              <w:t>Train the model</w:t>
            </w:r>
          </w:p>
        </w:tc>
        <w:tc>
          <w:tcPr>
            <w:tcW w:type="dxa" w:w="3135"/>
            <w:shd w:fill="F0F2F6" w:color="auto" w:val="clear"/>
          </w:tcPr>
          <w:p>
            <w:r>
              <w:rPr>
                <w:sz w:val="20"/>
              </w:rPr>
              <w:t>python -m backend.train_model</w:t>
            </w:r>
          </w:p>
        </w:tc>
      </w:tr>
      <w:tr>
        <w:tc>
          <w:tcPr>
            <w:tcW w:type="dxa" w:w="3135"/>
            <w:shd w:fill="FFFFFF" w:color="auto" w:val="clear"/>
          </w:tcPr>
          <w:p>
            <w:r>
              <w:rPr>
                <w:sz w:val="20"/>
              </w:rPr>
              <w:t>4</w:t>
            </w:r>
          </w:p>
        </w:tc>
        <w:tc>
          <w:tcPr>
            <w:tcW w:type="dxa" w:w="3135"/>
            <w:shd w:fill="FFFFFF" w:color="auto" w:val="clear"/>
          </w:tcPr>
          <w:p>
            <w:r>
              <w:rPr>
                <w:sz w:val="20"/>
              </w:rPr>
              <w:t>Start FastAPI backend</w:t>
            </w:r>
          </w:p>
        </w:tc>
        <w:tc>
          <w:tcPr>
            <w:tcW w:type="dxa" w:w="3135"/>
            <w:shd w:fill="FFFFFF" w:color="auto" w:val="clear"/>
          </w:tcPr>
          <w:p>
            <w:r>
              <w:rPr>
                <w:sz w:val="20"/>
              </w:rPr>
              <w:t>uvicorn backend.app:app --reload --port 8000</w:t>
            </w:r>
          </w:p>
        </w:tc>
      </w:tr>
      <w:tr>
        <w:tc>
          <w:tcPr>
            <w:tcW w:type="dxa" w:w="3135"/>
            <w:shd w:fill="F0F2F6" w:color="auto" w:val="clear"/>
          </w:tcPr>
          <w:p>
            <w:r>
              <w:rPr>
                <w:sz w:val="20"/>
              </w:rPr>
              <w:t>5</w:t>
            </w:r>
          </w:p>
        </w:tc>
        <w:tc>
          <w:tcPr>
            <w:tcW w:type="dxa" w:w="3135"/>
            <w:shd w:fill="F0F2F6" w:color="auto" w:val="clear"/>
          </w:tcPr>
          <w:p>
            <w:r>
              <w:rPr>
                <w:sz w:val="20"/>
              </w:rPr>
              <w:t>Start Streamlit frontend</w:t>
            </w:r>
          </w:p>
        </w:tc>
        <w:tc>
          <w:tcPr>
            <w:tcW w:type="dxa" w:w="3135"/>
            <w:shd w:fill="F0F2F6" w:color="auto" w:val="clear"/>
          </w:tcPr>
          <w:p>
            <w:r>
              <w:rPr>
                <w:sz w:val="20"/>
              </w:rPr>
              <w:t>streamlit run frontend/frontend.py</w:t>
            </w:r>
          </w:p>
        </w:tc>
      </w:tr>
    </w:tbl>
    <w:p>
      <w:pPr>
        <w:spacing w:after="80"/>
      </w:pPr>
    </w:p>
    <w:p>
      <w:pPr>
        <w:spacing w:before="240" w:after="120"/>
      </w:pPr>
      <w:r>
        <w:rPr>
          <w:b/>
          <w:color w:val="2A5298"/>
          <w:sz w:val="28"/>
        </w:rPr>
        <w:t>13.3 One-Click Startup (Windows)</w:t>
      </w:r>
    </w:p>
    <w:p>
      <w:pPr>
        <w:spacing w:before="0" w:after="80"/>
        <w:jc w:val="left"/>
      </w:pPr>
      <w:r>
        <w:rPr>
          <w:b w:val="0"/>
          <w:i w:val="0"/>
          <w:sz w:val="22"/>
        </w:rPr>
        <w:t>Run the included PowerShell script to train (if needed), start the backend, and launch the frontend in one step:</w:t>
      </w:r>
    </w:p>
    <w:p>
      <w:pPr>
        <w:spacing w:after="200"/>
      </w:pPr>
      <w:r>
        <w:rPr>
          <w:rFonts w:ascii="Courier New" w:hAnsi="Courier New"/>
          <w:b/>
          <w:color w:val="2A5298"/>
          <w:sz w:val="22"/>
        </w:rPr>
        <w:t>.\run.ps1</w:t>
      </w:r>
    </w:p>
    <w:p>
      <w:pPr>
        <w:spacing w:before="240" w:after="120"/>
      </w:pPr>
      <w:r>
        <w:rPr>
          <w:b/>
          <w:color w:val="2A5298"/>
          <w:sz w:val="28"/>
        </w:rPr>
        <w:t>13.4 Access Points</w:t>
      </w:r>
    </w:p>
    <w:tbl>
      <w:tblPr>
        <w:tblStyle w:val="TableGrid"/>
        <w:tblW w:type="auto" w:w="0"/>
        <w:tblLook w:firstColumn="1" w:firstRow="1" w:lastColumn="0" w:lastRow="0" w:noHBand="0" w:noVBand="1" w:val="04A0"/>
      </w:tblPr>
      <w:tblGrid>
        <w:gridCol w:w="4703"/>
        <w:gridCol w:w="4703"/>
      </w:tblGrid>
      <w:tr>
        <w:tc>
          <w:tcPr>
            <w:tcW w:type="dxa" w:w="4703"/>
            <w:shd w:fill="1e3c72" w:color="auto" w:val="clear"/>
          </w:tcPr>
          <w:p>
            <w:r>
              <w:rPr>
                <w:b/>
                <w:color w:val="FFFFFF"/>
                <w:sz w:val="20"/>
              </w:rPr>
              <w:t>Service</w:t>
            </w:r>
          </w:p>
        </w:tc>
        <w:tc>
          <w:tcPr>
            <w:tcW w:type="dxa" w:w="4703"/>
            <w:shd w:fill="1e3c72" w:color="auto" w:val="clear"/>
          </w:tcPr>
          <w:p>
            <w:r>
              <w:rPr>
                <w:b/>
                <w:color w:val="FFFFFF"/>
                <w:sz w:val="20"/>
              </w:rPr>
              <w:t>URL</w:t>
            </w:r>
          </w:p>
        </w:tc>
      </w:tr>
      <w:tr>
        <w:tc>
          <w:tcPr>
            <w:tcW w:type="dxa" w:w="4703"/>
            <w:shd w:fill="F0F2F6" w:color="auto" w:val="clear"/>
          </w:tcPr>
          <w:p>
            <w:r>
              <w:rPr>
                <w:sz w:val="20"/>
              </w:rPr>
              <w:t>Streamlit Frontend</w:t>
            </w:r>
          </w:p>
        </w:tc>
        <w:tc>
          <w:tcPr>
            <w:tcW w:type="dxa" w:w="4703"/>
            <w:shd w:fill="F0F2F6" w:color="auto" w:val="clear"/>
          </w:tcPr>
          <w:p>
            <w:r>
              <w:rPr>
                <w:sz w:val="20"/>
              </w:rPr>
              <w:t>http://localhost:8501</w:t>
            </w:r>
          </w:p>
        </w:tc>
      </w:tr>
      <w:tr>
        <w:tc>
          <w:tcPr>
            <w:tcW w:type="dxa" w:w="4703"/>
            <w:shd w:fill="FFFFFF" w:color="auto" w:val="clear"/>
          </w:tcPr>
          <w:p>
            <w:r>
              <w:rPr>
                <w:sz w:val="20"/>
              </w:rPr>
              <w:t>FastAPI Swagger Docs</w:t>
            </w:r>
          </w:p>
        </w:tc>
        <w:tc>
          <w:tcPr>
            <w:tcW w:type="dxa" w:w="4703"/>
            <w:shd w:fill="FFFFFF" w:color="auto" w:val="clear"/>
          </w:tcPr>
          <w:p>
            <w:r>
              <w:rPr>
                <w:sz w:val="20"/>
              </w:rPr>
              <w:t>http://localhost:8000/docs</w:t>
            </w:r>
          </w:p>
        </w:tc>
      </w:tr>
      <w:tr>
        <w:tc>
          <w:tcPr>
            <w:tcW w:type="dxa" w:w="4703"/>
            <w:shd w:fill="F0F2F6" w:color="auto" w:val="clear"/>
          </w:tcPr>
          <w:p>
            <w:r>
              <w:rPr>
                <w:sz w:val="20"/>
              </w:rPr>
              <w:t>FastAPI Health Check</w:t>
            </w:r>
          </w:p>
        </w:tc>
        <w:tc>
          <w:tcPr>
            <w:tcW w:type="dxa" w:w="4703"/>
            <w:shd w:fill="F0F2F6" w:color="auto" w:val="clear"/>
          </w:tcPr>
          <w:p>
            <w:r>
              <w:rPr>
                <w:sz w:val="20"/>
              </w:rPr>
              <w:t>http://localhost:8000/</w:t>
            </w:r>
          </w:p>
        </w:tc>
      </w:tr>
      <w:tr>
        <w:tc>
          <w:tcPr>
            <w:tcW w:type="dxa" w:w="4703"/>
            <w:shd w:fill="FFFFFF" w:color="auto" w:val="clear"/>
          </w:tcPr>
          <w:p>
            <w:r>
              <w:rPr>
                <w:sz w:val="20"/>
              </w:rPr>
              <w:t>Metadata Endpoint</w:t>
            </w:r>
          </w:p>
        </w:tc>
        <w:tc>
          <w:tcPr>
            <w:tcW w:type="dxa" w:w="4703"/>
            <w:shd w:fill="FFFFFF" w:color="auto" w:val="clear"/>
          </w:tcPr>
          <w:p>
            <w:r>
              <w:rPr>
                <w:sz w:val="20"/>
              </w:rPr>
              <w:t>http://localhost:8000/metadata</w:t>
            </w:r>
          </w:p>
        </w:tc>
      </w:tr>
    </w:tbl>
    <w:p>
      <w:pPr>
        <w:spacing w:after="80"/>
      </w:pPr>
    </w:p>
    <w:p>
      <w:pPr>
        <w:spacing w:before="240" w:after="120"/>
      </w:pPr>
      <w:r>
        <w:rPr>
          <w:b/>
          <w:color w:val="1E3C72"/>
          <w:sz w:val="36"/>
        </w:rPr>
        <w:t>14. Conclusion</w:t>
      </w:r>
    </w:p>
    <w:p>
      <w:pPr>
        <w:spacing w:before="0" w:after="160"/>
        <w:jc w:val="left"/>
      </w:pPr>
      <w:r>
        <w:rPr>
          <w:b w:val="0"/>
          <w:i w:val="0"/>
          <w:sz w:val="22"/>
        </w:rPr>
        <w:t>This project demonstrates a complete production-grade machine learning application delivering measurable and accurate predictions. The Gradient Boosting Regressor achieves a test R2 of 0.9966, a MAE of $12,114, and an RMSE of $14,840 - results that indicate the seven property features are highly predictive of residential sale price.</w:t>
      </w:r>
    </w:p>
    <w:p>
      <w:pPr>
        <w:spacing w:before="0" w:after="80"/>
        <w:jc w:val="left"/>
      </w:pPr>
      <w:r>
        <w:rPr>
          <w:b/>
          <w:i w:val="0"/>
          <w:sz w:val="22"/>
        </w:rPr>
        <w:t>Key achievements:</w:t>
      </w:r>
    </w:p>
    <w:p>
      <w:pPr>
        <w:pStyle w:val="ListBullet"/>
        <w:spacing w:after="60"/>
      </w:pPr>
      <w:r>
        <w:rPr>
          <w:sz w:val="22"/>
        </w:rPr>
        <w:t>End-to-end Python stack: data ingestion, ML training, REST API, and interactive UI.</w:t>
      </w:r>
    </w:p>
    <w:p>
      <w:pPr>
        <w:pStyle w:val="ListBullet"/>
        <w:spacing w:after="60"/>
      </w:pPr>
      <w:r>
        <w:rPr>
          <w:sz w:val="22"/>
        </w:rPr>
        <w:t>Excellent model accuracy: R2 = 0.9966 on 200 held-out test samples.</w:t>
      </w:r>
    </w:p>
    <w:p>
      <w:pPr>
        <w:pStyle w:val="ListBullet"/>
        <w:spacing w:after="60"/>
      </w:pPr>
      <w:r>
        <w:rPr>
          <w:sz w:val="22"/>
        </w:rPr>
        <w:t>Clean separation of concerns: model, API, and UI are independently runnable modules.</w:t>
      </w:r>
    </w:p>
    <w:p>
      <w:pPr>
        <w:pStyle w:val="ListBullet"/>
        <w:spacing w:after="60"/>
      </w:pPr>
      <w:r>
        <w:rPr>
          <w:sz w:val="22"/>
        </w:rPr>
        <w:t>Developer-friendly: automatic Swagger docs, type-safe Pydantic schemas, and one-click startup.</w:t>
      </w:r>
    </w:p>
    <w:p>
      <w:pPr>
        <w:pStyle w:val="ListBullet"/>
        <w:spacing w:after="60"/>
      </w:pPr>
      <w:r>
        <w:rPr>
          <w:sz w:val="22"/>
        </w:rPr>
        <w:t>Rich analytics: feature importance, radar profiling, and real-time sensitivity analysis.</w:t>
      </w:r>
    </w:p>
    <w:p>
      <w:pPr>
        <w:spacing w:before="0" w:after="200"/>
        <w:jc w:val="left"/>
      </w:pPr>
      <w:r>
        <w:rPr>
          <w:b w:val="0"/>
          <w:i w:val="0"/>
          <w:sz w:val="22"/>
        </w:rPr>
        <w:t>The modular design makes it straightforward to extend: swap in a different model, add cross-validation, integrate a real estate database, or deploy the API to the cloud with minimal changes.</w:t>
      </w:r>
    </w:p>
    <w:p>
      <w:pPr>
        <w:pBdr>
          <w:bottom w:val="single" w:sz="4" w:space="1" w:color="2a5298"/>
        </w:pBdr>
        <w:spacing w:before="120" w:after="120"/>
      </w:pPr>
    </w:p>
    <w:p>
      <w:pPr>
        <w:spacing w:before="0" w:after="0"/>
        <w:jc w:val="center"/>
      </w:pPr>
      <w:r>
        <w:rPr>
          <w:b w:val="0"/>
          <w:i w:val="0"/>
          <w:color w:val="57606A"/>
          <w:sz w:val="18"/>
        </w:rPr>
        <w:t>House Price Prediction Project  |  Python Machine Learning Report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